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药品安全社会共治系统公众端操作指引</w:t>
      </w:r>
    </w:p>
    <w:p>
      <w:pPr>
        <w:numPr>
          <w:ilvl w:val="0"/>
          <w:numId w:val="0"/>
        </w:numPr>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（网页版）</w:t>
      </w:r>
    </w:p>
    <w:p>
      <w:pPr>
        <w:numPr>
          <w:ilvl w:val="0"/>
          <w:numId w:val="0"/>
        </w:numPr>
        <w:ind w:firstLine="640" w:firstLineChars="200"/>
        <w:rPr>
          <w:rFonts w:hint="default" w:ascii="仿宋_GB2312" w:hAnsi="仿宋_GB2312" w:eastAsia="仿宋_GB2312" w:cs="仿宋_GB2312"/>
          <w:sz w:val="32"/>
          <w:szCs w:val="32"/>
          <w:lang w:val="en-US" w:eastAsia="zh-CN"/>
        </w:rPr>
      </w:pPr>
    </w:p>
    <w:p>
      <w:pPr>
        <w:numPr>
          <w:ilvl w:val="0"/>
          <w:numId w:val="1"/>
        </w:numPr>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登录方式</w:t>
      </w:r>
    </w:p>
    <w:p>
      <w:pPr>
        <w:numPr>
          <w:ilvl w:val="0"/>
          <w:numId w:val="0"/>
        </w:numPr>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通过浏览器点击</w:t>
      </w:r>
      <w:bookmarkStart w:id="0" w:name="_GoBack"/>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"https://shiyao.juant.com.cn" </w:instrText>
      </w:r>
      <w:r>
        <w:rPr>
          <w:rFonts w:hint="eastAsia" w:ascii="仿宋_GB2312" w:hAnsi="仿宋_GB2312" w:eastAsia="仿宋_GB2312" w:cs="仿宋_GB2312"/>
          <w:sz w:val="32"/>
          <w:szCs w:val="32"/>
          <w:lang w:val="en-US" w:eastAsia="zh-CN"/>
        </w:rPr>
        <w:fldChar w:fldCharType="separate"/>
      </w:r>
      <w:r>
        <w:rPr>
          <w:rStyle w:val="5"/>
          <w:rFonts w:hint="eastAsia" w:ascii="仿宋_GB2312" w:hAnsi="仿宋_GB2312" w:eastAsia="仿宋_GB2312" w:cs="仿宋_GB2312"/>
          <w:sz w:val="32"/>
          <w:szCs w:val="32"/>
          <w:lang w:val="en-US" w:eastAsia="zh-CN"/>
        </w:rPr>
        <w:t>https://shiyao.juant.com.cn</w:t>
      </w:r>
      <w:r>
        <w:rPr>
          <w:rFonts w:hint="eastAsia" w:ascii="仿宋_GB2312" w:hAnsi="仿宋_GB2312" w:eastAsia="仿宋_GB2312" w:cs="仿宋_GB2312"/>
          <w:sz w:val="32"/>
          <w:szCs w:val="32"/>
          <w:lang w:val="en-US" w:eastAsia="zh-CN"/>
        </w:rPr>
        <w:fldChar w:fldCharType="end"/>
      </w:r>
      <w:bookmarkEnd w:id="0"/>
      <w:r>
        <w:rPr>
          <w:rFonts w:hint="eastAsia" w:ascii="仿宋_GB2312" w:hAnsi="仿宋_GB2312" w:eastAsia="仿宋_GB2312" w:cs="仿宋_GB2312"/>
          <w:sz w:val="32"/>
          <w:szCs w:val="32"/>
          <w:lang w:val="en-US" w:eastAsia="zh-CN"/>
        </w:rPr>
        <w:t>登录；</w:t>
      </w:r>
    </w:p>
    <w:p>
      <w:pPr>
        <w:numPr>
          <w:ilvl w:val="0"/>
          <w:numId w:val="2"/>
        </w:numP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查看动态消息</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方式一：点击首页“动态消息”下的对应标题，即可查看具体的动态消息内容。</w:t>
      </w:r>
    </w:p>
    <w:p>
      <w:pPr>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方式二：点击首页上方导航栏的“新闻公告”或首页“动态消息”右侧的“查看更多”，跳转页面后可选择查看具体的动态消息。</w:t>
      </w:r>
    </w:p>
    <w:p>
      <w:pPr>
        <w:jc w:val="center"/>
        <w:rPr>
          <w:rFonts w:hint="eastAsia" w:ascii="仿宋_GB2312" w:hAnsi="仿宋_GB2312" w:eastAsia="仿宋_GB2312" w:cs="仿宋_GB2312"/>
          <w:sz w:val="32"/>
          <w:szCs w:val="32"/>
        </w:rPr>
      </w:pPr>
      <w:r>
        <w:drawing>
          <wp:inline distT="0" distB="0" distL="114300" distR="114300">
            <wp:extent cx="4001770" cy="1640205"/>
            <wp:effectExtent l="0" t="0" r="17780" b="171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4001770" cy="1640205"/>
                    </a:xfrm>
                    <a:prstGeom prst="rect">
                      <a:avLst/>
                    </a:prstGeom>
                    <a:noFill/>
                    <a:ln>
                      <a:noFill/>
                    </a:ln>
                  </pic:spPr>
                </pic:pic>
              </a:graphicData>
            </a:graphic>
          </wp:inline>
        </w:drawing>
      </w:r>
    </w:p>
    <w:p>
      <w:pPr>
        <w:numPr>
          <w:ilvl w:val="0"/>
          <w:numId w:val="2"/>
        </w:numPr>
        <w:ind w:left="0" w:leftChars="0" w:firstLine="0" w:firstLineChars="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查找药店/经营乙类非处方药连锁便利店</w:t>
      </w:r>
    </w:p>
    <w:p>
      <w:pPr>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3.1 查找药店</w:t>
      </w:r>
    </w:p>
    <w:p>
      <w:p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3.1.1点击首页导航栏的“药店”或首页“药品经营单位”下方的“药店”，即可跳转页面； </w:t>
      </w:r>
    </w:p>
    <w:p>
      <w:pPr>
        <w:jc w:val="center"/>
      </w:pPr>
      <w:r>
        <w:drawing>
          <wp:inline distT="0" distB="0" distL="114300" distR="114300">
            <wp:extent cx="3931920" cy="1648460"/>
            <wp:effectExtent l="0" t="0" r="11430" b="889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5"/>
                    <a:stretch>
                      <a:fillRect/>
                    </a:stretch>
                  </pic:blipFill>
                  <pic:spPr>
                    <a:xfrm>
                      <a:off x="0" y="0"/>
                      <a:ext cx="3931920" cy="1648460"/>
                    </a:xfrm>
                    <a:prstGeom prst="rect">
                      <a:avLst/>
                    </a:prstGeom>
                    <a:noFill/>
                    <a:ln>
                      <a:noFill/>
                    </a:ln>
                  </pic:spPr>
                </pic:pic>
              </a:graphicData>
            </a:graphic>
          </wp:inline>
        </w:drawing>
      </w:r>
    </w:p>
    <w:p>
      <w:pPr>
        <w:jc w:val="center"/>
      </w:pPr>
    </w:p>
    <w:p>
      <w:pPr>
        <w:jc w:val="center"/>
        <w:rPr>
          <w:rFonts w:hint="eastAsia"/>
          <w:lang w:val="en-US" w:eastAsia="zh-CN"/>
        </w:rPr>
      </w:pPr>
      <w:r>
        <w:drawing>
          <wp:inline distT="0" distB="0" distL="114300" distR="114300">
            <wp:extent cx="3956050" cy="1914525"/>
            <wp:effectExtent l="0" t="0" r="635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3956050" cy="1914525"/>
                    </a:xfrm>
                    <a:prstGeom prst="rect">
                      <a:avLst/>
                    </a:prstGeom>
                    <a:noFill/>
                    <a:ln>
                      <a:noFill/>
                    </a:ln>
                  </pic:spPr>
                </pic:pic>
              </a:graphicData>
            </a:graphic>
          </wp:inline>
        </w:drawing>
      </w:r>
    </w:p>
    <w:p>
      <w:pP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3.1.2 选择并点击对应药店，即可跳转页面，页面信息包括药店店名、营业时间、药店地址、药师/执业药师人员信息、经营范围和重点关注药械存量等。如选择并点击“珠海市横琴区广济药店”，即可跳转下方页面。</w:t>
      </w:r>
    </w:p>
    <w:p>
      <w:pPr>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3942715" cy="2940050"/>
            <wp:effectExtent l="0" t="0" r="635" b="12700"/>
            <wp:docPr id="4" name="图片 4" descr="QQ截图2022121415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截图20221214151633"/>
                    <pic:cNvPicPr>
                      <a:picLocks noChangeAspect="1"/>
                    </pic:cNvPicPr>
                  </pic:nvPicPr>
                  <pic:blipFill>
                    <a:blip r:embed="rId7"/>
                    <a:stretch>
                      <a:fillRect/>
                    </a:stretch>
                  </pic:blipFill>
                  <pic:spPr>
                    <a:xfrm>
                      <a:off x="0" y="0"/>
                      <a:ext cx="3942715" cy="2940050"/>
                    </a:xfrm>
                    <a:prstGeom prst="rect">
                      <a:avLst/>
                    </a:prstGeom>
                  </pic:spPr>
                </pic:pic>
              </a:graphicData>
            </a:graphic>
          </wp:inline>
        </w:drawing>
      </w:r>
    </w:p>
    <w:p>
      <w:p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3.2 查找经营乙类非处方连锁便利店操作方式参照查找药店方法。</w:t>
      </w:r>
    </w:p>
    <w:p>
      <w:pPr>
        <w:numPr>
          <w:ilvl w:val="0"/>
          <w:numId w:val="2"/>
        </w:numPr>
        <w:ind w:left="0" w:leftChars="0" w:firstLine="0" w:firstLineChars="0"/>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了解药店的营业情况</w:t>
      </w:r>
    </w:p>
    <w:p>
      <w:pPr>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首页“今日营业情况”正下方分别有实时动态更新的“正常营业”和“临时休息”数量。点击“正常营业”可查找正在营业的药店；“点击“临时休息”可了解非正常营业的药店。</w:t>
      </w:r>
    </w:p>
    <w:p>
      <w:pPr>
        <w:jc w:val="center"/>
        <w:rPr>
          <w:rFonts w:hint="eastAsia" w:ascii="仿宋_GB2312" w:hAnsi="仿宋_GB2312" w:eastAsia="仿宋_GB2312" w:cs="仿宋_GB2312"/>
          <w:sz w:val="32"/>
          <w:szCs w:val="32"/>
        </w:rPr>
      </w:pPr>
      <w:r>
        <w:drawing>
          <wp:inline distT="0" distB="0" distL="114300" distR="114300">
            <wp:extent cx="3894455" cy="1635125"/>
            <wp:effectExtent l="0" t="0" r="10795" b="317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8"/>
                    <a:stretch>
                      <a:fillRect/>
                    </a:stretch>
                  </pic:blipFill>
                  <pic:spPr>
                    <a:xfrm>
                      <a:off x="0" y="0"/>
                      <a:ext cx="3894455" cy="1635125"/>
                    </a:xfrm>
                    <a:prstGeom prst="rect">
                      <a:avLst/>
                    </a:prstGeom>
                    <a:noFill/>
                    <a:ln>
                      <a:noFill/>
                    </a:ln>
                  </pic:spPr>
                </pic:pic>
              </a:graphicData>
            </a:graphic>
          </wp:inline>
        </w:drawing>
      </w:r>
    </w:p>
    <w:p>
      <w:pPr>
        <w:numPr>
          <w:ilvl w:val="0"/>
          <w:numId w:val="2"/>
        </w:numPr>
        <w:ind w:left="0" w:leftChars="0" w:firstLine="0" w:firstLineChars="0"/>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了解药店/经营乙类非处方药连锁便利店分布</w:t>
      </w:r>
    </w:p>
    <w:p>
      <w:pP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5.1 了解药店分布</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首页“药店分布”下方分别有实时动态更新的4个社区药店分布情况，点击对应社区即可跳转页面查看对应社区的所有药店。</w:t>
      </w:r>
    </w:p>
    <w:p>
      <w:pPr>
        <w:jc w:val="center"/>
      </w:pPr>
      <w:r>
        <w:drawing>
          <wp:inline distT="0" distB="0" distL="114300" distR="114300">
            <wp:extent cx="4141470" cy="1756410"/>
            <wp:effectExtent l="0" t="0" r="11430" b="1524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9"/>
                    <a:stretch>
                      <a:fillRect/>
                    </a:stretch>
                  </pic:blipFill>
                  <pic:spPr>
                    <a:xfrm>
                      <a:off x="0" y="0"/>
                      <a:ext cx="4141470" cy="1756410"/>
                    </a:xfrm>
                    <a:prstGeom prst="rect">
                      <a:avLst/>
                    </a:prstGeom>
                    <a:noFill/>
                    <a:ln>
                      <a:noFill/>
                    </a:ln>
                  </pic:spPr>
                </pic:pic>
              </a:graphicData>
            </a:graphic>
          </wp:inline>
        </w:drawing>
      </w:r>
    </w:p>
    <w:p>
      <w:pPr>
        <w:keepNext w:val="0"/>
        <w:keepLines w:val="0"/>
        <w:widowControl/>
        <w:suppressLineNumbers w:val="0"/>
        <w:jc w:val="center"/>
      </w:pPr>
    </w:p>
    <w:p>
      <w:pPr>
        <w:jc w:val="center"/>
        <w:rPr>
          <w:rFonts w:hint="eastAsia" w:ascii="仿宋_GB2312" w:hAnsi="仿宋_GB2312" w:eastAsia="仿宋_GB2312" w:cs="仿宋_GB2312"/>
          <w:sz w:val="32"/>
          <w:szCs w:val="32"/>
        </w:rPr>
      </w:pPr>
      <w:r>
        <w:drawing>
          <wp:inline distT="0" distB="0" distL="114300" distR="114300">
            <wp:extent cx="3909060" cy="1890395"/>
            <wp:effectExtent l="0" t="0" r="15240" b="1460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0"/>
                    <a:stretch>
                      <a:fillRect/>
                    </a:stretch>
                  </pic:blipFill>
                  <pic:spPr>
                    <a:xfrm>
                      <a:off x="0" y="0"/>
                      <a:ext cx="3909060" cy="1890395"/>
                    </a:xfrm>
                    <a:prstGeom prst="rect">
                      <a:avLst/>
                    </a:prstGeom>
                    <a:noFill/>
                    <a:ln>
                      <a:noFill/>
                    </a:ln>
                  </pic:spPr>
                </pic:pic>
              </a:graphicData>
            </a:graphic>
          </wp:inline>
        </w:drawing>
      </w:r>
    </w:p>
    <w:p>
      <w:pP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5.2 了解经营乙类非处方药连锁便利店分布的操作方式参照查找药店方法。</w:t>
      </w:r>
    </w:p>
    <w:p>
      <w:pPr>
        <w:numPr>
          <w:ilvl w:val="0"/>
          <w:numId w:val="2"/>
        </w:numPr>
        <w:ind w:left="0" w:leftChars="0" w:firstLine="0" w:firstLineChars="0"/>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了解重点关注药械的存量</w:t>
      </w:r>
    </w:p>
    <w:p>
      <w:pPr>
        <w:numPr>
          <w:ilvl w:val="0"/>
          <w:numId w:val="0"/>
        </w:numPr>
        <w:ind w:left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6.1 了解重点关注药品的存量</w:t>
      </w:r>
    </w:p>
    <w:p>
      <w:pPr>
        <w:numPr>
          <w:ilvl w:val="0"/>
          <w:numId w:val="0"/>
        </w:numPr>
        <w:ind w:leftChars="0"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方式一：点击首页上方导航栏的“重点关注药械”，选择并点击对应药品存量。如，点击“解热镇痛感冒药”类下的“板蓝根颗粒”，即可查看合作区所有药店的板蓝根颗粒存量、药店上报存量的时间和药店联系方式。由于属非实时数据，仅供参考，前往购买前建议电话咨询药店。</w:t>
      </w:r>
    </w:p>
    <w:p>
      <w:pPr>
        <w:numPr>
          <w:ilvl w:val="0"/>
          <w:numId w:val="0"/>
        </w:numPr>
        <w:jc w:val="center"/>
      </w:pPr>
      <w:r>
        <w:drawing>
          <wp:inline distT="0" distB="0" distL="114300" distR="114300">
            <wp:extent cx="3923030" cy="1629410"/>
            <wp:effectExtent l="0" t="0" r="1270" b="889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1"/>
                    <a:stretch>
                      <a:fillRect/>
                    </a:stretch>
                  </pic:blipFill>
                  <pic:spPr>
                    <a:xfrm>
                      <a:off x="0" y="0"/>
                      <a:ext cx="3923030" cy="1629410"/>
                    </a:xfrm>
                    <a:prstGeom prst="rect">
                      <a:avLst/>
                    </a:prstGeom>
                    <a:noFill/>
                    <a:ln>
                      <a:noFill/>
                    </a:ln>
                  </pic:spPr>
                </pic:pic>
              </a:graphicData>
            </a:graphic>
          </wp:inline>
        </w:drawing>
      </w:r>
    </w:p>
    <w:p>
      <w:pPr>
        <w:numPr>
          <w:ilvl w:val="0"/>
          <w:numId w:val="0"/>
        </w:numPr>
        <w:jc w:val="center"/>
      </w:pPr>
    </w:p>
    <w:p>
      <w:pPr>
        <w:numPr>
          <w:ilvl w:val="0"/>
          <w:numId w:val="0"/>
        </w:numPr>
        <w:jc w:val="center"/>
      </w:pPr>
      <w:r>
        <w:drawing>
          <wp:inline distT="0" distB="0" distL="114300" distR="114300">
            <wp:extent cx="3827780" cy="1453515"/>
            <wp:effectExtent l="0" t="0" r="1270" b="1333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2"/>
                    <a:stretch>
                      <a:fillRect/>
                    </a:stretch>
                  </pic:blipFill>
                  <pic:spPr>
                    <a:xfrm>
                      <a:off x="0" y="0"/>
                      <a:ext cx="3827780" cy="1453515"/>
                    </a:xfrm>
                    <a:prstGeom prst="rect">
                      <a:avLst/>
                    </a:prstGeom>
                    <a:noFill/>
                    <a:ln>
                      <a:noFill/>
                    </a:ln>
                  </pic:spPr>
                </pic:pic>
              </a:graphicData>
            </a:graphic>
          </wp:inline>
        </w:drawing>
      </w:r>
    </w:p>
    <w:p>
      <w:pPr>
        <w:numPr>
          <w:ilvl w:val="0"/>
          <w:numId w:val="0"/>
        </w:numPr>
        <w:jc w:val="center"/>
      </w:pPr>
    </w:p>
    <w:p>
      <w:pPr>
        <w:numPr>
          <w:ilvl w:val="0"/>
          <w:numId w:val="0"/>
        </w:numPr>
        <w:jc w:val="center"/>
        <w:rPr>
          <w:rFonts w:hint="eastAsia"/>
          <w:lang w:val="en-US" w:eastAsia="zh-CN"/>
        </w:rPr>
      </w:pPr>
      <w:r>
        <w:drawing>
          <wp:inline distT="0" distB="0" distL="114300" distR="114300">
            <wp:extent cx="3832860" cy="1735455"/>
            <wp:effectExtent l="0" t="0" r="15240" b="1714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3"/>
                    <a:stretch>
                      <a:fillRect/>
                    </a:stretch>
                  </pic:blipFill>
                  <pic:spPr>
                    <a:xfrm>
                      <a:off x="0" y="0"/>
                      <a:ext cx="3832860" cy="1735455"/>
                    </a:xfrm>
                    <a:prstGeom prst="rect">
                      <a:avLst/>
                    </a:prstGeom>
                    <a:noFill/>
                    <a:ln>
                      <a:noFill/>
                    </a:ln>
                  </pic:spPr>
                </pic:pic>
              </a:graphicData>
            </a:graphic>
          </wp:inline>
        </w:drawing>
      </w:r>
    </w:p>
    <w:p>
      <w:pPr>
        <w:numPr>
          <w:ilvl w:val="0"/>
          <w:numId w:val="0"/>
        </w:numPr>
        <w:ind w:leftChars="0"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方式二：首页中间的“重点关注药品”栏处，选择并点击药品类别。如，点击“解热镇痛感冒药”即可跳转并展示对应类别的药品，再点击“板蓝根颗粒”即可查看合作区所有药店的板蓝根颗粒存量、药店上报存量的时间和药店联系方式。由于属非实时数据，仅供参考，前往购买前建议电话咨询药店。</w:t>
      </w:r>
    </w:p>
    <w:p>
      <w:pPr>
        <w:jc w:val="center"/>
      </w:pPr>
      <w:r>
        <w:drawing>
          <wp:inline distT="0" distB="0" distL="114300" distR="114300">
            <wp:extent cx="5264785" cy="1071245"/>
            <wp:effectExtent l="0" t="0" r="12065" b="1460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4"/>
                    <a:stretch>
                      <a:fillRect/>
                    </a:stretch>
                  </pic:blipFill>
                  <pic:spPr>
                    <a:xfrm>
                      <a:off x="0" y="0"/>
                      <a:ext cx="5264785" cy="1071245"/>
                    </a:xfrm>
                    <a:prstGeom prst="rect">
                      <a:avLst/>
                    </a:prstGeom>
                    <a:noFill/>
                    <a:ln>
                      <a:noFill/>
                    </a:ln>
                  </pic:spPr>
                </pic:pic>
              </a:graphicData>
            </a:graphic>
          </wp:inline>
        </w:drawing>
      </w:r>
      <w:r>
        <w:drawing>
          <wp:inline distT="0" distB="0" distL="114300" distR="114300">
            <wp:extent cx="3827780" cy="1453515"/>
            <wp:effectExtent l="0" t="0" r="1270" b="1333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12"/>
                    <a:stretch>
                      <a:fillRect/>
                    </a:stretch>
                  </pic:blipFill>
                  <pic:spPr>
                    <a:xfrm>
                      <a:off x="0" y="0"/>
                      <a:ext cx="3827780" cy="1453515"/>
                    </a:xfrm>
                    <a:prstGeom prst="rect">
                      <a:avLst/>
                    </a:prstGeom>
                    <a:noFill/>
                    <a:ln>
                      <a:noFill/>
                    </a:ln>
                  </pic:spPr>
                </pic:pic>
              </a:graphicData>
            </a:graphic>
          </wp:inline>
        </w:drawing>
      </w:r>
    </w:p>
    <w:p>
      <w:pPr>
        <w:jc w:val="center"/>
        <w:rPr>
          <w:rFonts w:hint="eastAsia" w:ascii="仿宋_GB2312" w:hAnsi="仿宋_GB2312" w:cs="仿宋_GB2312" w:eastAsiaTheme="minorEastAsia"/>
          <w:sz w:val="32"/>
          <w:szCs w:val="32"/>
          <w:lang w:val="en-US" w:eastAsia="zh-CN"/>
        </w:rPr>
      </w:pPr>
      <w:r>
        <w:drawing>
          <wp:inline distT="0" distB="0" distL="114300" distR="114300">
            <wp:extent cx="3832860" cy="1735455"/>
            <wp:effectExtent l="0" t="0" r="15240" b="1714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3"/>
                    <a:stretch>
                      <a:fillRect/>
                    </a:stretch>
                  </pic:blipFill>
                  <pic:spPr>
                    <a:xfrm>
                      <a:off x="0" y="0"/>
                      <a:ext cx="3832860" cy="1735455"/>
                    </a:xfrm>
                    <a:prstGeom prst="rect">
                      <a:avLst/>
                    </a:prstGeom>
                    <a:noFill/>
                    <a:ln>
                      <a:noFill/>
                    </a:ln>
                  </pic:spPr>
                </pic:pic>
              </a:graphicData>
            </a:graphic>
          </wp:inline>
        </w:drawing>
      </w:r>
      <w:r>
        <w:rPr>
          <w:rFonts w:hint="eastAsia"/>
          <w:lang w:val="en-US" w:eastAsia="zh-CN"/>
        </w:rPr>
        <w:t xml:space="preserve">   </w:t>
      </w:r>
    </w:p>
    <w:p>
      <w:pPr>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6.2 了解重点关注医疗器械的存量操作方式参照查找重点关注药品方式。</w:t>
      </w:r>
    </w:p>
    <w:p>
      <w:pPr>
        <w:numPr>
          <w:ilvl w:val="0"/>
          <w:numId w:val="0"/>
        </w:numPr>
        <w:ind w:leftChars="0"/>
        <w:rPr>
          <w:rFonts w:hint="eastAsia" w:ascii="仿宋_GB2312" w:hAnsi="仿宋_GB2312" w:eastAsia="仿宋_GB2312" w:cs="仿宋_GB2312"/>
          <w:sz w:val="32"/>
          <w:szCs w:val="32"/>
          <w:lang w:val="en-US" w:eastAsia="zh-CN"/>
        </w:rPr>
      </w:pPr>
    </w:p>
    <w:p>
      <w:pPr>
        <w:jc w:val="center"/>
      </w:pPr>
      <w:r>
        <w:drawing>
          <wp:inline distT="0" distB="0" distL="114300" distR="114300">
            <wp:extent cx="3923030" cy="1629410"/>
            <wp:effectExtent l="0" t="0" r="1270" b="889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1"/>
                    <a:stretch>
                      <a:fillRect/>
                    </a:stretch>
                  </pic:blipFill>
                  <pic:spPr>
                    <a:xfrm>
                      <a:off x="0" y="0"/>
                      <a:ext cx="3923030" cy="1629410"/>
                    </a:xfrm>
                    <a:prstGeom prst="rect">
                      <a:avLst/>
                    </a:prstGeom>
                    <a:noFill/>
                    <a:ln>
                      <a:noFill/>
                    </a:ln>
                  </pic:spPr>
                </pic:pic>
              </a:graphicData>
            </a:graphic>
          </wp:inline>
        </w:drawing>
      </w:r>
    </w:p>
    <w:p>
      <w:pPr>
        <w:jc w:val="center"/>
      </w:pPr>
    </w:p>
    <w:p>
      <w:pPr>
        <w:jc w:val="center"/>
        <w:rPr>
          <w:rFonts w:hint="eastAsia"/>
          <w:lang w:val="en-US" w:eastAsia="zh-CN"/>
        </w:rPr>
      </w:pPr>
      <w:r>
        <w:drawing>
          <wp:inline distT="0" distB="0" distL="114300" distR="114300">
            <wp:extent cx="3946525" cy="1510665"/>
            <wp:effectExtent l="0" t="0" r="15875" b="13335"/>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15"/>
                    <a:stretch>
                      <a:fillRect/>
                    </a:stretch>
                  </pic:blipFill>
                  <pic:spPr>
                    <a:xfrm>
                      <a:off x="0" y="0"/>
                      <a:ext cx="3946525" cy="1510665"/>
                    </a:xfrm>
                    <a:prstGeom prst="rect">
                      <a:avLst/>
                    </a:prstGeom>
                    <a:noFill/>
                    <a:ln>
                      <a:noFill/>
                    </a:ln>
                  </pic:spPr>
                </pic:pic>
              </a:graphicData>
            </a:graphic>
          </wp:inline>
        </w:drawing>
      </w:r>
    </w:p>
    <w:p>
      <w:pPr>
        <w:numPr>
          <w:ilvl w:val="0"/>
          <w:numId w:val="2"/>
        </w:numPr>
        <w:ind w:left="0" w:leftChars="0" w:firstLine="0" w:firstLineChars="0"/>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学习科普宣传内容</w:t>
      </w:r>
    </w:p>
    <w:p>
      <w:pPr>
        <w:ind w:firstLine="64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方式一：点击首页上方导航栏的“科普宣传”，跳转页面后，选择并点击查看相关科普宣传内容；</w:t>
      </w:r>
    </w:p>
    <w:p>
      <w:pPr>
        <w:jc w:val="center"/>
        <w:rPr>
          <w:rFonts w:hint="default" w:ascii="仿宋_GB2312" w:hAnsi="仿宋_GB2312" w:eastAsia="仿宋_GB2312" w:cs="仿宋_GB2312"/>
          <w:sz w:val="32"/>
          <w:szCs w:val="32"/>
          <w:lang w:val="en-US" w:eastAsia="zh-CN"/>
        </w:rPr>
      </w:pPr>
      <w:r>
        <w:drawing>
          <wp:inline distT="0" distB="0" distL="114300" distR="114300">
            <wp:extent cx="4080510" cy="1713865"/>
            <wp:effectExtent l="0" t="0" r="15240" b="63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6"/>
                    <a:stretch>
                      <a:fillRect/>
                    </a:stretch>
                  </pic:blipFill>
                  <pic:spPr>
                    <a:xfrm>
                      <a:off x="0" y="0"/>
                      <a:ext cx="4080510" cy="1713865"/>
                    </a:xfrm>
                    <a:prstGeom prst="rect">
                      <a:avLst/>
                    </a:prstGeom>
                    <a:noFill/>
                    <a:ln>
                      <a:noFill/>
                    </a:ln>
                  </pic:spPr>
                </pic:pic>
              </a:graphicData>
            </a:graphic>
          </wp:inline>
        </w:drawing>
      </w:r>
    </w:p>
    <w:p>
      <w:pPr>
        <w:ind w:firstLine="64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方式二：首页“科普宣传”栏下方展示科普宣传内容，点击对应文件名可跳转页面查看具体内容；或通过点击“查看更多”并跳转页面，筛选更具学习价值的科普宣传内容，再点击对应文件名即可跳转页面查看具体内容。</w:t>
      </w:r>
    </w:p>
    <w:p>
      <w:pPr>
        <w:jc w:val="center"/>
        <w:rPr>
          <w:rFonts w:hint="eastAsia" w:ascii="仿宋_GB2312" w:hAnsi="仿宋_GB2312" w:cs="仿宋_GB2312" w:eastAsiaTheme="minorEastAsia"/>
          <w:sz w:val="32"/>
          <w:szCs w:val="32"/>
          <w:lang w:val="en-US" w:eastAsia="zh-CN"/>
        </w:rPr>
      </w:pPr>
      <w:r>
        <w:drawing>
          <wp:inline distT="0" distB="0" distL="114300" distR="114300">
            <wp:extent cx="5264785" cy="2171065"/>
            <wp:effectExtent l="0" t="0" r="12065" b="635"/>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17"/>
                    <a:stretch>
                      <a:fillRect/>
                    </a:stretch>
                  </pic:blipFill>
                  <pic:spPr>
                    <a:xfrm>
                      <a:off x="0" y="0"/>
                      <a:ext cx="5264785" cy="2171065"/>
                    </a:xfrm>
                    <a:prstGeom prst="rect">
                      <a:avLst/>
                    </a:prstGeom>
                    <a:noFill/>
                    <a:ln>
                      <a:noFill/>
                    </a:ln>
                  </pic:spPr>
                </pic:pic>
              </a:graphicData>
            </a:graphic>
          </wp:inline>
        </w:drawing>
      </w:r>
    </w:p>
    <w:p>
      <w:pPr>
        <w:numPr>
          <w:ilvl w:val="0"/>
          <w:numId w:val="2"/>
        </w:numPr>
        <w:ind w:left="0" w:leftChars="0" w:firstLine="0" w:firstLineChars="0"/>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一键选择便民服务</w:t>
      </w:r>
    </w:p>
    <w:p>
      <w:pPr>
        <w:ind w:firstLine="640" w:firstLineChars="200"/>
        <w:jc w:val="left"/>
        <w:rPr>
          <w:rFonts w:hint="default"/>
          <w:lang w:val="en-US"/>
        </w:rPr>
      </w:pPr>
      <w:r>
        <w:rPr>
          <w:rFonts w:hint="eastAsia" w:ascii="仿宋_GB2312" w:hAnsi="仿宋_GB2312" w:eastAsia="仿宋_GB2312" w:cs="仿宋_GB2312"/>
          <w:sz w:val="32"/>
          <w:szCs w:val="32"/>
          <w:lang w:val="en-US" w:eastAsia="zh-CN"/>
        </w:rPr>
        <w:t>点击首页下方的“广东政务服务网”、“广东智慧药监”、“横琴粤澳深度合作区”即可跳转对应官网；点击“我要咨询”、“我要建议”或“我要投诉”可开展投诉建议的便民服务；点击首页下方的“办事服务沟通交流”可了解合作区食品药品许可业务窗的联系方式；点击“珠海发热门诊”可了解珠海及合作区的发热门诊信息。</w:t>
      </w:r>
    </w:p>
    <w:p>
      <w:pPr>
        <w:jc w:val="center"/>
        <w:rPr>
          <w:rFonts w:hint="eastAsia" w:ascii="仿宋_GB2312" w:hAnsi="仿宋_GB2312" w:eastAsia="仿宋_GB2312" w:cs="仿宋_GB2312"/>
          <w:sz w:val="32"/>
          <w:szCs w:val="32"/>
          <w:lang w:val="en-US" w:eastAsia="zh-CN"/>
        </w:rPr>
      </w:pPr>
      <w:r>
        <w:drawing>
          <wp:inline distT="0" distB="0" distL="114300" distR="114300">
            <wp:extent cx="3874135" cy="2569210"/>
            <wp:effectExtent l="0" t="0" r="12065" b="254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18"/>
                    <a:stretch>
                      <a:fillRect/>
                    </a:stretch>
                  </pic:blipFill>
                  <pic:spPr>
                    <a:xfrm>
                      <a:off x="0" y="0"/>
                      <a:ext cx="3874135" cy="2569210"/>
                    </a:xfrm>
                    <a:prstGeom prst="rect">
                      <a:avLst/>
                    </a:prstGeom>
                    <a:noFill/>
                    <a:ln>
                      <a:noFill/>
                    </a:ln>
                  </pic:spPr>
                </pic:pic>
              </a:graphicData>
            </a:graphic>
          </wp:inline>
        </w:drawing>
      </w: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35705C"/>
    <w:multiLevelType w:val="singleLevel"/>
    <w:tmpl w:val="AD35705C"/>
    <w:lvl w:ilvl="0" w:tentative="0">
      <w:start w:val="2"/>
      <w:numFmt w:val="decimal"/>
      <w:suff w:val="space"/>
      <w:lvlText w:val="%1."/>
      <w:lvlJc w:val="left"/>
    </w:lvl>
  </w:abstractNum>
  <w:abstractNum w:abstractNumId="1">
    <w:nsid w:val="FED78E4B"/>
    <w:multiLevelType w:val="singleLevel"/>
    <w:tmpl w:val="FED78E4B"/>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0848F6"/>
    <w:rsid w:val="093E6F51"/>
    <w:rsid w:val="0A124BD3"/>
    <w:rsid w:val="0C1F5283"/>
    <w:rsid w:val="0D567BE1"/>
    <w:rsid w:val="0E1E65FF"/>
    <w:rsid w:val="13B534D8"/>
    <w:rsid w:val="18127BDD"/>
    <w:rsid w:val="2150351F"/>
    <w:rsid w:val="23FB1B89"/>
    <w:rsid w:val="288D3B0A"/>
    <w:rsid w:val="2DA04DF6"/>
    <w:rsid w:val="337215B4"/>
    <w:rsid w:val="3FC07E92"/>
    <w:rsid w:val="44D95E51"/>
    <w:rsid w:val="48952DDE"/>
    <w:rsid w:val="4D7D1F57"/>
    <w:rsid w:val="52311772"/>
    <w:rsid w:val="5FBC33F7"/>
    <w:rsid w:val="66E21EFB"/>
    <w:rsid w:val="707253BA"/>
    <w:rsid w:val="729C38FD"/>
    <w:rsid w:val="73254B1A"/>
    <w:rsid w:val="75F10B81"/>
    <w:rsid w:val="7CC2339A"/>
    <w:rsid w:val="7D5539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2022-12-14T06:56:00Z</dcterms:created>
  <dc:creator>lenovo</dc:creator>
  <cp:lastModifiedBy>Rocky</cp:lastModifiedBy>
  <cp:lastPrinted>2022-12-16T03:23:35Z</cp:lastPrinted>
  <dcterms:modified xsi:type="dcterms:W3CDTF">2022-12-16T03:33:29Z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49D4B11EFE0A4C55A364AFBFF8836818</vt:lpwstr>
  </property>
</Properties>
</file>