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9"/>
        </w:tabs>
        <w:spacing w:line="579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1</w:t>
      </w:r>
    </w:p>
    <w:p>
      <w:pPr>
        <w:spacing w:line="579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合作区试点区域饭堂年度考评</w:t>
      </w:r>
    </w:p>
    <w:p>
      <w:pPr>
        <w:spacing w:line="579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指标体系及说明</w:t>
      </w:r>
    </w:p>
    <w:p>
      <w:pPr>
        <w:pStyle w:val="4"/>
        <w:spacing w:before="0" w:beforeAutospacing="0" w:after="0" w:afterAutospacing="0" w:line="579" w:lineRule="exact"/>
        <w:ind w:firstLine="1"/>
        <w:jc w:val="both"/>
        <w:rPr>
          <w:rFonts w:ascii="Times New Roman" w:hAnsi="Times New Roman" w:eastAsia="仿宋" w:cs="Times New Roman"/>
          <w:b/>
          <w:color w:val="000000"/>
          <w:sz w:val="30"/>
          <w:szCs w:val="30"/>
        </w:rPr>
      </w:pPr>
    </w:p>
    <w:p>
      <w:pPr>
        <w:pStyle w:val="4"/>
        <w:spacing w:before="0" w:beforeAutospacing="0" w:after="0" w:afterAutospacing="0" w:line="579" w:lineRule="exact"/>
        <w:ind w:firstLine="1"/>
        <w:jc w:val="both"/>
        <w:rPr>
          <w:rFonts w:ascii="Times New Roman" w:hAnsi="Times New Roman" w:eastAsia="仿宋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试点区域饭堂年度考评最终分值</w:t>
      </w:r>
      <w:r>
        <w:rPr>
          <w:rFonts w:ascii="Times New Roman" w:hAnsi="Times New Roman" w:eastAsia="仿宋" w:cs="Times New Roman"/>
          <w:b/>
          <w:color w:val="000000"/>
          <w:sz w:val="30"/>
          <w:szCs w:val="30"/>
        </w:rPr>
        <w:t>=商事服务局评分+城市规划和建设局评分+满意度分值</w:t>
      </w:r>
    </w:p>
    <w:p>
      <w:pPr>
        <w:pStyle w:val="4"/>
        <w:spacing w:before="0" w:beforeAutospacing="0" w:after="0" w:afterAutospacing="0" w:line="579" w:lineRule="exact"/>
        <w:ind w:firstLine="1"/>
        <w:jc w:val="both"/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  <w:t>●商事服务局（满分40分）：</w:t>
      </w:r>
    </w:p>
    <w:p>
      <w:pPr>
        <w:pStyle w:val="4"/>
        <w:spacing w:before="0" w:beforeAutospacing="0" w:after="0" w:afterAutospacing="0" w:line="579" w:lineRule="exact"/>
        <w:ind w:firstLine="1"/>
        <w:jc w:val="both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  <w:t>第一部分（20分）：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根据市场监督管理法律法规规章及有关规范性文件要求，对企业进行考核，具体考核标准和要求如下:</w:t>
      </w:r>
    </w:p>
    <w:tbl>
      <w:tblPr>
        <w:tblStyle w:val="6"/>
        <w:tblpPr w:leftFromText="180" w:rightFromText="180" w:vertAnchor="text" w:horzAnchor="margin" w:tblpXSpec="center" w:tblpY="27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278"/>
        <w:gridCol w:w="2200"/>
      </w:tblGrid>
      <w:tr>
        <w:trPr>
          <w:trHeight w:val="53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序号</w:t>
            </w:r>
          </w:p>
        </w:tc>
        <w:tc>
          <w:tcPr>
            <w:tcW w:w="5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考核内容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分值</w:t>
            </w:r>
          </w:p>
        </w:tc>
      </w:tr>
      <w:tr>
        <w:trPr>
          <w:trHeight w:val="584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营业执照未亮照或者未规范使用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扣3分</w:t>
            </w:r>
          </w:p>
        </w:tc>
      </w:tr>
      <w:tr>
        <w:trPr>
          <w:trHeight w:val="253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企业名称未规范使用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扣5分</w:t>
            </w:r>
          </w:p>
        </w:tc>
      </w:tr>
      <w:tr>
        <w:trPr>
          <w:trHeight w:val="516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超出章程规定的经营期限开展经营活动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扣10分</w:t>
            </w:r>
          </w:p>
        </w:tc>
      </w:tr>
      <w:tr>
        <w:trPr>
          <w:trHeight w:val="596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住所（经营场所）使用期限到期未续期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扣10分</w:t>
            </w:r>
          </w:p>
        </w:tc>
      </w:tr>
      <w:tr>
        <w:trPr>
          <w:trHeight w:val="49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5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擅自变更登记事项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扣20分（建议一票否决）</w:t>
            </w:r>
          </w:p>
        </w:tc>
      </w:tr>
      <w:tr>
        <w:trPr>
          <w:trHeight w:val="55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5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未按时公示年度报告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扣20分（建议一票否决）</w:t>
            </w:r>
          </w:p>
        </w:tc>
      </w:tr>
      <w:tr>
        <w:trPr>
          <w:trHeight w:val="55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5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被列入经营异常名录或者严重违法失信企业名单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扣20分（建议一票否决）</w:t>
            </w:r>
          </w:p>
        </w:tc>
      </w:tr>
      <w:tr>
        <w:trPr>
          <w:trHeight w:val="22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5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存在上述考核内容以外的市场监督管理领域行政处罚记录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扣20分（建议一票否决）</w:t>
            </w:r>
          </w:p>
        </w:tc>
      </w:tr>
    </w:tbl>
    <w:p>
      <w:pPr>
        <w:pStyle w:val="4"/>
        <w:spacing w:before="0" w:beforeAutospacing="0" w:after="0" w:afterAutospacing="0" w:line="600" w:lineRule="exact"/>
        <w:jc w:val="center"/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</w:pPr>
    </w:p>
    <w:p>
      <w:pPr>
        <w:pStyle w:val="4"/>
        <w:spacing w:before="0" w:beforeAutospacing="0" w:after="0" w:afterAutospacing="0" w:line="600" w:lineRule="exact"/>
        <w:ind w:firstLine="1"/>
        <w:jc w:val="both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  <w:t>第二部分（20分）：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根据上级主管部门印发的《餐饮服务日常检查记录表》（现行版见附件2，如有更新以上级部门通知为准）开展检查，每发现一个关键项不合格扣10分，重点项不合格扣3分，一般项不合格扣1分，合理缺项不扣分；从满分20分中减掉扣分得出该次检查得分。每季度检查不少于1次，以周期内每次检查的平均分为周期最终得分。</w:t>
      </w:r>
    </w:p>
    <w:p>
      <w:pPr>
        <w:pStyle w:val="4"/>
        <w:spacing w:before="0" w:beforeAutospacing="0" w:after="0" w:afterAutospacing="0" w:line="600" w:lineRule="exact"/>
        <w:ind w:firstLine="1"/>
        <w:jc w:val="both"/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</w:pPr>
    </w:p>
    <w:p>
      <w:pPr>
        <w:pStyle w:val="4"/>
        <w:spacing w:before="0" w:beforeAutospacing="0" w:after="0" w:afterAutospacing="0" w:line="600" w:lineRule="exact"/>
        <w:ind w:firstLine="1"/>
        <w:jc w:val="both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  <w:t>●城市规划和建设局（满分20分）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：</w:t>
      </w:r>
    </w:p>
    <w:p>
      <w:pPr>
        <w:pStyle w:val="4"/>
        <w:spacing w:before="0" w:beforeAutospacing="0" w:after="0" w:afterAutospacing="0" w:line="600" w:lineRule="exact"/>
        <w:ind w:firstLine="1"/>
        <w:jc w:val="both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根据合作区对餐饮机构生活垃圾分类工作的要求，从单位内部组织领导、分类投放桶布置、垃圾分类宣传、餐厨垃圾收运等多方面对区域饭堂进行垃圾分类考核评分，具体考核标准和内容如下表：</w:t>
      </w:r>
    </w:p>
    <w:tbl>
      <w:tblPr>
        <w:tblStyle w:val="6"/>
        <w:tblpPr w:leftFromText="180" w:rightFromText="180" w:vertAnchor="text" w:horzAnchor="margin" w:tblpXSpec="center" w:tblpY="27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5"/>
        <w:gridCol w:w="1113"/>
        <w:gridCol w:w="3849"/>
        <w:gridCol w:w="708"/>
      </w:tblGrid>
      <w:tr>
        <w:trPr>
          <w:trHeight w:val="53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考核内容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考核方式</w:t>
            </w:r>
          </w:p>
        </w:tc>
        <w:tc>
          <w:tcPr>
            <w:tcW w:w="3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评分标准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分值</w:t>
            </w:r>
          </w:p>
        </w:tc>
      </w:tr>
      <w:tr>
        <w:trPr>
          <w:trHeight w:val="170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有成立单位内部生活垃圾分类工作领导小组的文件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查阅资料</w:t>
            </w:r>
          </w:p>
        </w:tc>
        <w:tc>
          <w:tcPr>
            <w:tcW w:w="3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有成立单位内部生活垃圾分类工作领导小组，明确垃圾分类工作的负责人，明确内部生活垃圾分类工作职责分工的文件得1分，否则不得分。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  <w:tr>
        <w:trPr>
          <w:trHeight w:val="51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有本单位垃圾分类实施方案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查阅资料</w:t>
            </w:r>
          </w:p>
        </w:tc>
        <w:tc>
          <w:tcPr>
            <w:tcW w:w="3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有方案，得1分，没有不得分。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  <w:tr>
        <w:trPr>
          <w:trHeight w:val="84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设置明确垃圾分类投放指引、有日常保洁制度、有分类管理台账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查阅资料现场检查</w:t>
            </w:r>
          </w:p>
        </w:tc>
        <w:tc>
          <w:tcPr>
            <w:tcW w:w="3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三项齐全，且分类台账完整无错漏，得3分；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三项齐全，但分类台账不完整，得2分；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有缺漏项，得1分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</w:tr>
      <w:tr>
        <w:trPr>
          <w:trHeight w:val="84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有垃圾分类自查自纠制度且每季度开展自查自纠工作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查阅资料</w:t>
            </w:r>
          </w:p>
        </w:tc>
        <w:tc>
          <w:tcPr>
            <w:tcW w:w="3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有制度且每季度开展自查自纠得2分；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有缺漏项，得1分。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>
        <w:trPr>
          <w:trHeight w:val="12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按照四分类要求合理设置分类投放桶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现场检查</w:t>
            </w:r>
          </w:p>
        </w:tc>
        <w:tc>
          <w:tcPr>
            <w:tcW w:w="3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已布置且标识正确的，得3分；</w:t>
            </w:r>
            <w:r>
              <w:rPr>
                <w:rFonts w:ascii="Times New Roman" w:hAnsi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szCs w:val="21"/>
              </w:rPr>
              <w:t>已布置但标识不正确的，得1分；</w:t>
            </w:r>
            <w:r>
              <w:rPr>
                <w:rFonts w:ascii="Times New Roman" w:hAnsi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szCs w:val="21"/>
              </w:rPr>
              <w:t>没有不得分。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</w:tr>
      <w:tr>
        <w:trPr>
          <w:trHeight w:val="12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是否按照四分类要求分类投放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现场检查</w:t>
            </w:r>
          </w:p>
        </w:tc>
        <w:tc>
          <w:tcPr>
            <w:tcW w:w="3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抽查2个垃圾桶，每个垃圾桶完全准确投放得2分；少量错误投放得1分；投放错误量超50%，不得分。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布设生活垃圾分类宣传标语或粘贴宣传海报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现场检查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有布置，得1分；没有不得分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  <w:tr>
        <w:trPr>
          <w:trHeight w:val="122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定期对垃圾分类管理人员、员工、保洁人员进行培训且考核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查阅资料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有培训且考核得2分；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有缺漏项，得1分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>
        <w:trPr>
          <w:trHeight w:val="8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不主动提供一次性餐具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现场检查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不主动提供，得1分；主动提供不得分。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  <w:tr>
        <w:trPr>
          <w:trHeight w:val="7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使用符合性能、食品安全要求和环保要求的外卖包装产品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现场检查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符合要求，得1分；不符合要求不得分。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  <w:tr>
        <w:trPr>
          <w:trHeight w:val="6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采取相关措施提倡“光盘行动”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现场检查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有措施，得1分；没有不得分。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  <w:tr>
        <w:trPr>
          <w:trHeight w:val="77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与市政府批准的餐厨垃圾收运单位签订收运协议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查阅资料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有签订协议，得1分；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没有不得分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  <w:tr>
        <w:trPr>
          <w:trHeight w:val="8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明确垃圾分类督导员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查阅资料现场检查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已明确且在现场，得1分；没有不得分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</w:tbl>
    <w:p>
      <w:pPr>
        <w:pStyle w:val="4"/>
        <w:spacing w:before="0" w:beforeAutospacing="0" w:after="0" w:afterAutospacing="0" w:line="600" w:lineRule="exact"/>
        <w:jc w:val="both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>
      <w:pPr>
        <w:pStyle w:val="4"/>
        <w:spacing w:before="0" w:beforeAutospacing="0" w:after="0" w:afterAutospacing="0" w:line="600" w:lineRule="exact"/>
        <w:ind w:firstLine="1"/>
        <w:jc w:val="both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  <w:t>●满意度分值（满分40分）：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主要依据本次问卷调查结果根据问卷调查，从项目申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请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餐饮单位就餐品质、硬件服务、软件服务、综合评价4大方面得出的综合分值。满意度分值指标体系如下表：</w:t>
      </w:r>
    </w:p>
    <w:tbl>
      <w:tblPr>
        <w:tblStyle w:val="6"/>
        <w:tblpPr w:leftFromText="180" w:rightFromText="180" w:vertAnchor="text" w:horzAnchor="page" w:tblpX="1555" w:tblpY="311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316"/>
        <w:gridCol w:w="684"/>
        <w:gridCol w:w="54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105" w:hRule="atLeast"/>
          <w:tblHeader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指标类别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具体指标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权重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一、就餐品质(12)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形式多样性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考核区域饭堂提供的种类，供横琴企业员工选择的数量满意度，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评分标准为选择“非常满意”的得3分，“比较满意”的得2分，“一般”的得1分， 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食材新鲜度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考核横琴企业员工对供餐食材的满意度，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评分标准为选择“非常满意”的得3分，“比较满意”的得2分，“一般”的得1分， 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口感度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考核横琴企业员工对口感的满意度，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评分标准为选择“非常满意”的得3分，“比较满意”的得2分，“一般”的得1分， 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912" w:hRule="atLeas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份量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考核横琴企业员工对供餐份量的满意度，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评分标准为选择“非常满意”的得3分，“比较满意”的得2分，“一般”的得1分， 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二、硬件服务(8)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就餐环境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考核横琴企业员工对就餐环境的满意度，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评分标准为选择“非常满意”的得2分， “一般”的得1分， 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用餐标识是否明确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用餐标识是否明确。正确的得满分，错误的得零分。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个性化服务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现场查看：1.有洗手间且干净整洁的得2分；有洗手间但不够干净整洁的得1.5分；没有洗手间的不得分。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2.提供无线网络的，得2分；没有的得0分。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制度保障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根据查看，餐饮单位是否建立确保食品干净、环境整洁的管理办法及投诉机制。建立的得2分，未建立的相应扣分。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三、软件服务（4）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管理和服务水平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考核横琴企业员工对管理是否混乱的评价，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评分标准为选择“非常满意”的得2分， “一般”的得1分， 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候餐时间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考核横琴企业员工对候餐时间的满意度，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评分标准为选择“非常满意”的得2分， “一般”的得1分， 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四、综合评价(16)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性价比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考核横琴企业员工对供餐性价比的评价得分，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评分标准为选择“非常满意”的得10分，“比较满意”的得7.5分，“一般”的得5分，“较不满意”得2.5分，“不满意”得0分，最终按有效问卷数平均得分。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综合水平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考核横琴企业员工对区域饭堂供餐综合水平的评价得分，</w:t>
            </w:r>
            <w:r>
              <w:rPr>
                <w:rFonts w:ascii="Times New Roman" w:hAnsi="Times New Roman"/>
                <w:color w:val="000000"/>
                <w:szCs w:val="21"/>
              </w:rPr>
              <w:t>评分标准为选择“非常满意”的得6分，“比较满意”的得4分，“一般”的得2分，“较不满意”得1分，“不满意”得0分，最终按有效问卷数平均得分。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3098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40分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ind w:firstLine="540" w:firstLineChars="300"/>
        <w:rPr>
          <w:rFonts w:ascii="Times New Roman" w:hAnsi="Times New Roman"/>
          <w:bCs/>
          <w:color w:val="000000"/>
          <w:sz w:val="18"/>
          <w:szCs w:val="1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方正小标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F68C1"/>
    <w:rsid w:val="772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 w:val="0"/>
      <w:spacing w:after="120" w:afterLines="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Office_2.8.1.4649_F1E327BC-269C-435d-A152-05C5408002CA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2023-04-10T11:37:00Z</dcterms:created>
  <dc:creator>chilingpun</dc:creator>
  <cp:lastModifiedBy>chilingpun</cp:lastModifiedBy>
  <dcterms:modified xsi:type="dcterms:W3CDTF">2023-04-10T11:38:06Z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2052-2.8.1.4649</vt:lpwstr>
  </property>
</Properties>
</file>