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方正小标宋简体"/>
          <w:color w:val="000000"/>
          <w:kern w:val="0"/>
          <w:sz w:val="32"/>
          <w:szCs w:val="32"/>
          <w:lang w:bidi="ar"/>
        </w:rPr>
      </w:pPr>
      <w:r>
        <w:rPr>
          <w:rFonts w:hint="eastAsia" w:ascii="黑体" w:hAnsi="黑体" w:eastAsia="黑体" w:cs="方正小标宋简体"/>
          <w:color w:val="000000"/>
          <w:kern w:val="0"/>
          <w:sz w:val="32"/>
          <w:szCs w:val="32"/>
          <w:lang w:bidi="ar"/>
        </w:rPr>
        <w:t>附件</w:t>
      </w:r>
      <w:r>
        <w:rPr>
          <w:rFonts w:hint="eastAsia" w:ascii="黑体" w:hAnsi="黑体" w:eastAsia="黑体" w:cs="方正小标宋简体"/>
          <w:color w:val="000000"/>
          <w:kern w:val="0"/>
          <w:sz w:val="32"/>
          <w:szCs w:val="32"/>
          <w:lang w:val="en-US" w:eastAsia="zh-CN" w:bidi="ar"/>
        </w:rPr>
        <w:t>3</w:t>
      </w:r>
    </w:p>
    <w:p>
      <w:pPr>
        <w:widowControl/>
        <w:jc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企业参展指引</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atLeast"/>
        <w:ind w:left="0"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展会主题</w:t>
      </w:r>
    </w:p>
    <w:p>
      <w:pPr>
        <w:spacing w:line="560" w:lineRule="exact"/>
        <w:ind w:firstLine="640" w:firstLineChars="200"/>
        <w:rPr>
          <w:sz w:val="32"/>
          <w:szCs w:val="32"/>
        </w:rPr>
      </w:pPr>
      <w:r>
        <w:rPr>
          <w:rFonts w:hint="eastAsia" w:ascii="仿宋_GB2312" w:hAnsi="仿宋_GB2312" w:eastAsia="仿宋_GB2312" w:cs="仿宋_GB2312"/>
          <w:sz w:val="32"/>
          <w:szCs w:val="32"/>
          <w:lang w:val="en-US" w:eastAsia="zh-Hans"/>
        </w:rPr>
        <w:t>第三届</w:t>
      </w:r>
      <w:r>
        <w:rPr>
          <w:rFonts w:hint="eastAsia" w:ascii="仿宋_GB2312" w:hAnsi="仿宋_GB2312" w:eastAsia="仿宋_GB2312" w:cs="仿宋_GB2312"/>
          <w:sz w:val="32"/>
          <w:szCs w:val="32"/>
        </w:rPr>
        <w:t>BEYOND国际科技创新博览</w:t>
      </w:r>
      <w:r>
        <w:rPr>
          <w:rFonts w:hint="eastAsia" w:ascii="仿宋_GB2312" w:hAnsi="仿宋_GB2312" w:eastAsia="仿宋_GB2312" w:cs="仿宋_GB2312"/>
          <w:sz w:val="32"/>
          <w:szCs w:val="32"/>
          <w:lang w:val="en-US" w:eastAsia="zh-CN"/>
        </w:rPr>
        <w:t>会</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atLeast"/>
        <w:ind w:left="0"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展会时间</w:t>
      </w:r>
    </w:p>
    <w:p>
      <w:pPr>
        <w:spacing w:line="560" w:lineRule="exact"/>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2023年5月10日-12日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展会地点</w:t>
      </w:r>
    </w:p>
    <w:p>
      <w:pPr>
        <w:spacing w:line="560" w:lineRule="exact"/>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澳门威尼斯人-金光大道金光会展中心</w:t>
      </w:r>
    </w:p>
    <w:p>
      <w:pPr>
        <w:ind w:left="560" w:leftChars="200"/>
        <w:jc w:val="center"/>
      </w:pPr>
      <w:r>
        <w:drawing>
          <wp:inline distT="0" distB="0" distL="114300" distR="114300">
            <wp:extent cx="3112770" cy="3296285"/>
            <wp:effectExtent l="0" t="0" r="190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112770" cy="3296285"/>
                    </a:xfrm>
                    <a:prstGeom prst="rect">
                      <a:avLst/>
                    </a:prstGeom>
                    <a:noFill/>
                    <a:ln>
                      <a:noFill/>
                    </a:ln>
                  </pic:spPr>
                </pic:pic>
              </a:graphicData>
            </a:graphic>
          </wp:inline>
        </w:drawing>
      </w:r>
    </w:p>
    <w:p>
      <w:pPr>
        <w:keepNext w:val="0"/>
        <w:keepLines w:val="0"/>
        <w:pageBreakBefore w:val="0"/>
        <w:widowControl w:val="0"/>
        <w:numPr>
          <w:numId w:val="0"/>
        </w:numPr>
        <w:kinsoku/>
        <w:wordWrap/>
        <w:overflowPunct/>
        <w:topLinePunct w:val="0"/>
        <w:autoSpaceDE/>
        <w:autoSpaceDN/>
        <w:bidi w:val="0"/>
        <w:adjustRightInd w:val="0"/>
        <w:snapToGrid w:val="0"/>
        <w:spacing w:before="624" w:beforeLines="200" w:line="560" w:lineRule="atLeast"/>
        <w:ind w:leftChars="200"/>
        <w:textAlignment w:val="auto"/>
        <w:outlineLvl w:val="9"/>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签证办理</w:t>
      </w:r>
    </w:p>
    <w:p>
      <w:pPr>
        <w:adjustRightInd w:val="0"/>
        <w:snapToGrid w:val="0"/>
        <w:spacing w:line="560" w:lineRule="atLeast"/>
        <w:ind w:firstLine="640" w:firstLineChars="200"/>
        <w:rPr>
          <w:rFonts w:ascii="楷体" w:hAnsi="楷体" w:eastAsia="楷体" w:cs="楷体"/>
          <w:sz w:val="32"/>
          <w:szCs w:val="32"/>
        </w:rPr>
      </w:pPr>
      <w:r>
        <w:rPr>
          <w:rFonts w:hint="eastAsia" w:ascii="楷体" w:hAnsi="楷体" w:eastAsia="楷体" w:cs="楷体"/>
          <w:sz w:val="32"/>
          <w:szCs w:val="32"/>
        </w:rPr>
        <w:t>（一）个人旅游签</w:t>
      </w:r>
    </w:p>
    <w:p>
      <w:pPr>
        <w:spacing w:line="560" w:lineRule="exact"/>
        <w:ind w:firstLine="640" w:firstLineChars="200"/>
        <w:rPr>
          <w:rFonts w:hint="eastAsia" w:ascii="仿宋_GB2312" w:hAnsi="仿宋_GB2312" w:eastAsia="仿宋_GB2312" w:cs="仿宋_GB2312"/>
          <w:sz w:val="32"/>
          <w:szCs w:val="32"/>
          <w:lang w:val="en-US" w:eastAsia="zh-Hans"/>
        </w:rPr>
      </w:pPr>
      <w:r>
        <w:rPr>
          <w:rFonts w:hint="default" w:ascii="仿宋_GB2312" w:hAnsi="仿宋_GB2312" w:cs="仿宋_GB2312"/>
          <w:sz w:val="32"/>
          <w:szCs w:val="32"/>
          <w:lang w:eastAsia="zh-Hans"/>
        </w:rPr>
        <w:t xml:space="preserve">1. </w:t>
      </w:r>
      <w:r>
        <w:rPr>
          <w:rFonts w:hint="eastAsia" w:ascii="仿宋_GB2312" w:hAnsi="仿宋_GB2312" w:eastAsia="仿宋_GB2312" w:cs="仿宋_GB2312"/>
          <w:sz w:val="32"/>
          <w:szCs w:val="32"/>
          <w:lang w:val="en-US" w:eastAsia="zh-Hans"/>
        </w:rPr>
        <w:t>持有港澳通行证的居民，可到当地出入境大厅办理自助签注服务，申请赴澳门，可以签发3个月一次签注、1年一次签注，每次在澳门逗留不超过7天。具体签注流程请咨询当地出入境大厅。</w:t>
      </w:r>
    </w:p>
    <w:p>
      <w:pPr>
        <w:spacing w:line="560" w:lineRule="exact"/>
        <w:ind w:firstLine="640" w:firstLineChars="200"/>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未持有港澳通行证的居民，请自行前往所在地出入境大厅申请办理证件。</w:t>
      </w:r>
    </w:p>
    <w:p>
      <w:pPr>
        <w:spacing w:line="560" w:lineRule="exact"/>
        <w:ind w:firstLine="640" w:firstLineChars="200"/>
        <w:rPr>
          <w:rFonts w:ascii="仿宋" w:hAnsi="仿宋" w:eastAsia="仿宋" w:cs="仿宋"/>
          <w:color w:val="222222"/>
          <w:spacing w:val="5"/>
          <w:sz w:val="32"/>
          <w:szCs w:val="32"/>
          <w:shd w:val="clear" w:color="auto" w:fill="FFFFFF"/>
        </w:rPr>
      </w:pPr>
      <w:r>
        <w:rPr>
          <w:rFonts w:hint="eastAsia" w:ascii="仿宋_GB2312" w:hAnsi="仿宋_GB2312" w:eastAsia="仿宋_GB2312" w:cs="仿宋_GB2312"/>
          <w:sz w:val="32"/>
          <w:szCs w:val="32"/>
          <w:lang w:val="en-US" w:eastAsia="zh-Hans"/>
        </w:rPr>
        <w:t>全国出入境大厅办事机构一览：</w:t>
      </w:r>
      <w:r>
        <w:fldChar w:fldCharType="begin"/>
      </w:r>
      <w:r>
        <w:instrText xml:space="preserve"> HYPERLINK "https://s.nia.gov.cn/mps/views/query/query-address.html" </w:instrText>
      </w:r>
      <w:r>
        <w:fldChar w:fldCharType="separate"/>
      </w:r>
      <w:r>
        <w:rPr>
          <w:rStyle w:val="12"/>
          <w:rFonts w:hint="eastAsia" w:ascii="微软雅黑" w:hAnsi="微软雅黑" w:eastAsia="微软雅黑" w:cs="微软雅黑"/>
          <w:color w:val="2F80ED"/>
          <w:sz w:val="27"/>
          <w:szCs w:val="27"/>
          <w:u w:val="none"/>
          <w:shd w:val="clear" w:color="auto" w:fill="FFFFFF"/>
        </w:rPr>
        <w:t>https://s.nia.gov.cn/mps/views/query/query-address.html</w:t>
      </w:r>
      <w:r>
        <w:rPr>
          <w:rStyle w:val="12"/>
          <w:rFonts w:hint="eastAsia" w:ascii="微软雅黑" w:hAnsi="微软雅黑" w:eastAsia="微软雅黑" w:cs="微软雅黑"/>
          <w:color w:val="2F80ED"/>
          <w:sz w:val="27"/>
          <w:szCs w:val="27"/>
          <w:u w:val="none"/>
          <w:shd w:val="clear" w:color="auto" w:fill="FFFFFF"/>
        </w:rPr>
        <w:fldChar w:fldCharType="end"/>
      </w:r>
    </w:p>
    <w:p>
      <w:pPr>
        <w:adjustRightInd w:val="0"/>
        <w:snapToGrid w:val="0"/>
        <w:spacing w:line="560" w:lineRule="atLeast"/>
        <w:ind w:firstLine="640" w:firstLineChars="200"/>
        <w:rPr>
          <w:rFonts w:ascii="仿宋" w:hAnsi="仿宋" w:eastAsia="仿宋" w:cs="仿宋"/>
          <w:color w:val="222222"/>
          <w:spacing w:val="5"/>
          <w:sz w:val="32"/>
          <w:szCs w:val="32"/>
          <w:shd w:val="clear" w:color="auto" w:fill="FFFFFF"/>
          <w:lang w:eastAsia="zh-Hans"/>
        </w:rPr>
      </w:pPr>
      <w:r>
        <w:rPr>
          <w:rFonts w:hint="eastAsia" w:ascii="楷体" w:hAnsi="楷体" w:eastAsia="楷体" w:cs="楷体"/>
          <w:sz w:val="32"/>
          <w:szCs w:val="32"/>
        </w:rPr>
        <w:t>（二）</w:t>
      </w:r>
      <w:r>
        <w:rPr>
          <w:rFonts w:hint="eastAsia" w:ascii="楷体" w:hAnsi="楷体" w:eastAsia="楷体" w:cs="楷体"/>
          <w:sz w:val="32"/>
          <w:szCs w:val="32"/>
          <w:lang w:eastAsia="zh-Hans"/>
        </w:rPr>
        <w:t>会展出入境</w:t>
      </w:r>
    </w:p>
    <w:p>
      <w:pPr>
        <w:adjustRightInd w:val="0"/>
        <w:snapToGrid w:val="0"/>
        <w:spacing w:line="560" w:lineRule="exact"/>
        <w:ind w:firstLine="660" w:firstLineChars="200"/>
        <w:jc w:val="left"/>
        <w:rPr>
          <w:rFonts w:hint="eastAsia" w:ascii="仿宋_GB2312" w:hAnsi="仿宋_GB2312" w:eastAsia="仿宋_GB2312" w:cs="仿宋_GB2312"/>
          <w:color w:val="222222"/>
          <w:spacing w:val="5"/>
          <w:sz w:val="32"/>
          <w:szCs w:val="32"/>
          <w:shd w:val="clear" w:color="auto" w:fill="FFFFFF"/>
        </w:rPr>
      </w:pPr>
      <w:r>
        <w:rPr>
          <w:rFonts w:hint="default" w:ascii="仿宋_GB2312" w:hAnsi="仿宋_GB2312" w:cs="仿宋_GB2312"/>
          <w:color w:val="222222"/>
          <w:spacing w:val="5"/>
          <w:sz w:val="32"/>
          <w:szCs w:val="32"/>
          <w:shd w:val="clear" w:color="auto" w:fill="FFFFFF"/>
          <w:lang w:eastAsia="zh-Hans"/>
        </w:rPr>
        <w:t xml:space="preserve">2. </w:t>
      </w:r>
      <w:r>
        <w:rPr>
          <w:rFonts w:hint="eastAsia" w:ascii="仿宋_GB2312" w:hAnsi="仿宋_GB2312" w:eastAsia="仿宋_GB2312" w:cs="仿宋_GB2312"/>
          <w:color w:val="222222"/>
          <w:spacing w:val="5"/>
          <w:sz w:val="32"/>
          <w:szCs w:val="32"/>
          <w:shd w:val="clear" w:color="auto" w:fill="FFFFFF"/>
          <w:lang w:eastAsia="zh-Hans"/>
        </w:rPr>
        <w:t>按照《内地与澳门关于建立更紧密经贸关系的安排》框架下内地与澳门会展合作机制，BEYOND Expo 2023已列入2023年《申请享有会展出入境签注便利措施的会展活动清单》，</w:t>
      </w:r>
      <w:r>
        <w:rPr>
          <w:rFonts w:hint="eastAsia" w:ascii="仿宋_GB2312" w:hAnsi="仿宋_GB2312" w:eastAsia="仿宋_GB2312" w:cs="仿宋_GB2312"/>
          <w:color w:val="222222"/>
          <w:spacing w:val="5"/>
          <w:sz w:val="32"/>
          <w:szCs w:val="32"/>
          <w:shd w:val="clear" w:color="auto" w:fill="FFFFFF"/>
        </w:rPr>
        <w:t>参展人持纸质邀请函、港澳通行证于其户籍所在地或长期持有居住证的出境大厅办理多次往返签注。（仅在横琴口岸多次往返，多次往返的日期，以出入境最终签注的签注日期为准）。</w:t>
      </w:r>
    </w:p>
    <w:p>
      <w:pPr>
        <w:adjustRightInd w:val="0"/>
        <w:snapToGrid w:val="0"/>
        <w:spacing w:line="560" w:lineRule="exact"/>
        <w:ind w:firstLine="660" w:firstLineChars="200"/>
        <w:jc w:val="left"/>
      </w:pPr>
      <w:r>
        <w:rPr>
          <w:rFonts w:hint="eastAsia" w:ascii="仿宋_GB2312" w:hAnsi="仿宋_GB2312" w:eastAsia="仿宋_GB2312" w:cs="仿宋_GB2312"/>
          <w:color w:val="222222"/>
          <w:spacing w:val="5"/>
          <w:sz w:val="32"/>
          <w:szCs w:val="32"/>
          <w:shd w:val="clear" w:color="auto" w:fill="FFFFFF"/>
        </w:rPr>
        <w:t>电子邀请函将于报名成功后发送至邮箱，自行打印为纸质邀请函即可，请注意查收邮箱。</w:t>
      </w:r>
    </w:p>
    <w:p>
      <w:pPr>
        <w:keepNext w:val="0"/>
        <w:keepLines w:val="0"/>
        <w:pageBreakBefore w:val="0"/>
        <w:widowControl w:val="0"/>
        <w:numPr>
          <w:numId w:val="0"/>
        </w:numPr>
        <w:kinsoku/>
        <w:wordWrap/>
        <w:overflowPunct/>
        <w:topLinePunct w:val="0"/>
        <w:autoSpaceDE/>
        <w:autoSpaceDN/>
        <w:bidi w:val="0"/>
        <w:adjustRightInd w:val="0"/>
        <w:snapToGrid w:val="0"/>
        <w:spacing w:line="560" w:lineRule="atLeast"/>
        <w:ind w:firstLine="640" w:firstLineChars="200"/>
        <w:textAlignment w:val="auto"/>
        <w:outlineLvl w:val="9"/>
        <w:rPr>
          <w:rFonts w:ascii="仿宋" w:hAnsi="仿宋" w:eastAsia="仿宋" w:cs="仿宋"/>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出行/交通</w:t>
      </w:r>
    </w:p>
    <w:p>
      <w:pPr>
        <w:adjustRightInd w:val="0"/>
        <w:snapToGrid w:val="0"/>
        <w:spacing w:line="560" w:lineRule="atLeast"/>
        <w:ind w:firstLine="643" w:firstLineChars="200"/>
        <w:rPr>
          <w:rFonts w:ascii="仿宋" w:hAnsi="仿宋" w:eastAsia="仿宋" w:cs="仿宋"/>
          <w:b/>
          <w:bCs/>
          <w:sz w:val="32"/>
          <w:szCs w:val="32"/>
        </w:rPr>
      </w:pPr>
      <w:r>
        <w:rPr>
          <w:rFonts w:hint="eastAsia" w:ascii="仿宋" w:hAnsi="仿宋" w:eastAsia="仿宋" w:cs="仿宋"/>
          <w:b/>
          <w:bCs/>
          <w:sz w:val="32"/>
          <w:szCs w:val="32"/>
        </w:rPr>
        <w:t>（一）横琴口岸出发前往金光会展中心</w:t>
      </w:r>
    </w:p>
    <w:p>
      <w:pPr>
        <w:adjustRightInd w:val="0"/>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经过边检站，抵澳过关后 </w:t>
      </w:r>
    </w:p>
    <w:p>
      <w:pPr>
        <w:adjustRightInd w:val="0"/>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推荐路线1：乘坐免费穿梭巴士</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 xml:space="preserve">威尼斯人有免费的穿梭巴士从横琴口岸澳门口岸区接送游客到威尼斯人，再步行至金光会展中心。 </w:t>
      </w:r>
    </w:p>
    <w:p>
      <w:pPr>
        <w:adjustRightInd w:val="0"/>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推荐路线2：乘坐公共巴士</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 xml:space="preserve">在“T560-横琴澳方口岸”车站搭乘 25B/701X 路线坐一站至“T360-连贯公路/新濠影汇”下车，同站转乘 51A/MT4 路线在“T397-路凼西/银河”下车，步行约200 米至金光会展中心。（巴士只接受 MPay/澳门通卡/现金支付，每段车费为澳门币 6 元） </w:t>
      </w:r>
    </w:p>
    <w:p>
      <w:pPr>
        <w:adjustRightInd w:val="0"/>
        <w:snapToGrid w:val="0"/>
        <w:spacing w:line="560" w:lineRule="atLeast"/>
        <w:ind w:firstLine="643" w:firstLineChars="200"/>
        <w:rPr>
          <w:rFonts w:ascii="仿宋" w:hAnsi="仿宋" w:eastAsia="仿宋" w:cs="仿宋"/>
          <w:sz w:val="32"/>
          <w:szCs w:val="32"/>
        </w:rPr>
      </w:pPr>
      <w:r>
        <w:rPr>
          <w:rFonts w:hint="eastAsia" w:ascii="仿宋" w:hAnsi="仿宋" w:eastAsia="仿宋" w:cs="仿宋"/>
          <w:b/>
          <w:bCs/>
          <w:sz w:val="32"/>
          <w:szCs w:val="32"/>
        </w:rPr>
        <w:t>（二）从澳门机场出发前往金光会展中心</w:t>
      </w:r>
    </w:p>
    <w:p>
      <w:pPr>
        <w:adjustRightInd w:val="0"/>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推荐路线1：乘坐轻轨</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从</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机场</w:t>
      </w:r>
      <w:r>
        <w:rPr>
          <w:rFonts w:hint="eastAsia" w:ascii="仿宋_GB2312" w:hAnsi="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轻轨站上车，搭乘往海洋方向的列车，在“路凼西站”下车，步行至金光会展（轻轨费用支持微信和支付宝支付）。</w:t>
      </w:r>
    </w:p>
    <w:p>
      <w:pPr>
        <w:adjustRightInd w:val="0"/>
        <w:snapToGrid w:val="0"/>
        <w:spacing w:line="560" w:lineRule="atLeas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推荐路线2：乘坐公共巴士</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 xml:space="preserve">在“T356-澳门机场”车站搭乘 51A 路线坐 5 站至“T396-路凼西/金光会展”下车，步行至金光会展（巴士只接受 MPay/澳门通卡/现金支付，每段车费为澳门币6元）。 </w:t>
      </w:r>
    </w:p>
    <w:p>
      <w:pPr>
        <w:adjustRightInd w:val="0"/>
        <w:snapToGrid w:val="0"/>
        <w:spacing w:line="560" w:lineRule="atLeast"/>
        <w:ind w:firstLine="643" w:firstLineChars="200"/>
        <w:rPr>
          <w:rFonts w:ascii="仿宋" w:hAnsi="仿宋" w:eastAsia="仿宋" w:cs="仿宋"/>
          <w:sz w:val="32"/>
          <w:szCs w:val="32"/>
        </w:rPr>
      </w:pPr>
      <w:r>
        <w:rPr>
          <w:rFonts w:hint="eastAsia" w:ascii="仿宋" w:hAnsi="仿宋" w:eastAsia="仿宋" w:cs="仿宋"/>
          <w:b/>
          <w:bCs/>
          <w:sz w:val="32"/>
          <w:szCs w:val="32"/>
        </w:rPr>
        <w:t>（三）从香港机场出发前往金光会展中心</w:t>
      </w:r>
    </w:p>
    <w:p>
      <w:pPr>
        <w:adjustRightInd w:val="0"/>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路线1：在“富豪机场酒店”车站，搭乘B4路线坐三站至“港珠澳大桥旅检大楼”下车，完成手续后过关乘坐港珠澳大桥口岸穿梭巴士到达澳门口岸，在“东北大马路/保利达”车站乘坐73S路线坐四站至“路凼西/ 金光会展”下车，步行至金光会展中心。</w:t>
      </w:r>
    </w:p>
    <w:p>
      <w:pPr>
        <w:adjustRightInd w:val="0"/>
        <w:snapToGrid w:val="0"/>
        <w:spacing w:line="560" w:lineRule="atLeas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推荐路线 2：从“机场”站机场快线上车，搭乘前往香港方向的地铁，在“九龙”地铁站下车，A入口出站。在“圆方”车站转乘港澳一号（巴黎人方向）至“威尼斯人”公交站下车，步行至金光会展中心。</w:t>
      </w:r>
    </w:p>
    <w:p>
      <w:pPr>
        <w:keepNext w:val="0"/>
        <w:keepLines w:val="0"/>
        <w:pageBreakBefore w:val="0"/>
        <w:widowControl w:val="0"/>
        <w:numPr>
          <w:numId w:val="0"/>
        </w:numPr>
        <w:kinsoku/>
        <w:wordWrap/>
        <w:overflowPunct/>
        <w:topLinePunct w:val="0"/>
        <w:autoSpaceDE/>
        <w:autoSpaceDN/>
        <w:bidi w:val="0"/>
        <w:adjustRightInd w:val="0"/>
        <w:snapToGrid w:val="0"/>
        <w:spacing w:line="560" w:lineRule="atLeast"/>
        <w:ind w:firstLine="640" w:firstLineChars="200"/>
        <w:textAlignment w:val="auto"/>
        <w:outlineLvl w:val="9"/>
      </w:pPr>
      <w:r>
        <w:rPr>
          <w:rFonts w:hint="eastAsia" w:ascii="黑体" w:hAnsi="黑体" w:eastAsia="黑体" w:cs="黑体"/>
          <w:sz w:val="32"/>
          <w:szCs w:val="32"/>
          <w:lang w:eastAsia="zh-CN"/>
        </w:rPr>
        <w:t>六、</w:t>
      </w:r>
      <w:r>
        <w:rPr>
          <w:rFonts w:hint="eastAsia" w:ascii="黑体" w:hAnsi="黑体" w:eastAsia="黑体" w:cs="黑体"/>
          <w:sz w:val="32"/>
          <w:szCs w:val="32"/>
        </w:rPr>
        <w:t>住宿推荐</w:t>
      </w:r>
    </w:p>
    <w:p>
      <w:pPr>
        <w:adjustRightInd w:val="0"/>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住宿最近可选择澳门金沙度假区。</w:t>
      </w:r>
    </w:p>
    <w:p>
      <w:pPr>
        <w:adjustRightInd w:val="0"/>
        <w:snapToGrid w:val="0"/>
        <w:spacing w:line="560" w:lineRule="atLeas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澳门金沙度假区内有澳门威尼斯人、澳门巴黎人、澳门四季酒店及四季名荟，以及设有澳门伦敦人酒店、伦敦人御园、全球最大的喜来登酒店（澳门喜来登大酒店）、澳门康莱德酒店及澳门瑞吉酒店的澳门伦敦人所组成，有豪华及价格适中的酒店客房及套房可供选择。</w:t>
      </w:r>
    </w:p>
    <w:p>
      <w:pPr>
        <w:keepNext w:val="0"/>
        <w:keepLines w:val="0"/>
        <w:pageBreakBefore w:val="0"/>
        <w:widowControl w:val="0"/>
        <w:numPr>
          <w:numId w:val="0"/>
        </w:numPr>
        <w:kinsoku/>
        <w:wordWrap/>
        <w:overflowPunct/>
        <w:topLinePunct w:val="0"/>
        <w:autoSpaceDE/>
        <w:autoSpaceDN/>
        <w:bidi w:val="0"/>
        <w:adjustRightInd w:val="0"/>
        <w:snapToGrid w:val="0"/>
        <w:spacing w:line="560" w:lineRule="atLeast"/>
        <w:ind w:firstLine="640" w:firstLineChars="200"/>
        <w:textAlignment w:val="auto"/>
        <w:outlineLvl w:val="9"/>
        <w:rPr>
          <w:rFonts w:ascii="仿宋" w:hAnsi="仿宋" w:eastAsia="仿宋" w:cs="仿宋"/>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用餐推荐</w:t>
      </w:r>
    </w:p>
    <w:p>
      <w:pPr>
        <w:adjustRightInd w:val="0"/>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澳门金沙度假区有米其林星级餐厅、酒吧及酒廊等可供用餐选择。</w:t>
      </w:r>
    </w:p>
    <w:p>
      <w:pPr>
        <w:adjustRightInd w:val="0"/>
        <w:snapToGrid w:val="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威尼斯人3楼的美食广场汇聚各国美食，涵盖泰国菜、韩国料理、港式菜系、日本料理等多家美食，营业时间久，味美价廉。</w:t>
      </w:r>
    </w:p>
    <w:sectPr>
      <w:headerReference r:id="rId3" w:type="default"/>
      <w:footerReference r:id="rId4" w:type="default"/>
      <w:pgSz w:w="11906" w:h="16838"/>
      <w:pgMar w:top="1701" w:right="1800" w:bottom="1701"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6"/>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8A215"/>
    <w:multiLevelType w:val="singleLevel"/>
    <w:tmpl w:val="6348A215"/>
    <w:lvl w:ilvl="0" w:tentative="0">
      <w:start w:val="1"/>
      <w:numFmt w:val="chineseCounting"/>
      <w:suff w:val="nothing"/>
      <w:lvlText w:val="%1、"/>
      <w:lvlJc w:val="left"/>
      <w:pPr>
        <w:ind w:left="280"/>
      </w:pPr>
      <w:rPr>
        <w:rFonts w:hint="eastAsia" w:ascii="黑体" w:hAnsi="黑体" w:eastAsia="黑体" w:cs="黑体"/>
        <w:b w:val="0"/>
        <w:b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mNTE0ODNmZjgwMWViNDZiYTBmOGVhMzNkNTg2M2UifQ=="/>
  </w:docVars>
  <w:rsids>
    <w:rsidRoot w:val="00277D04"/>
    <w:rsid w:val="00196C1F"/>
    <w:rsid w:val="00277D04"/>
    <w:rsid w:val="00427BD5"/>
    <w:rsid w:val="004E5B84"/>
    <w:rsid w:val="00B13021"/>
    <w:rsid w:val="038002F5"/>
    <w:rsid w:val="07796712"/>
    <w:rsid w:val="091066B6"/>
    <w:rsid w:val="09B6253B"/>
    <w:rsid w:val="0CEB2686"/>
    <w:rsid w:val="113C1166"/>
    <w:rsid w:val="116D3E12"/>
    <w:rsid w:val="137D703E"/>
    <w:rsid w:val="15FF7019"/>
    <w:rsid w:val="17723962"/>
    <w:rsid w:val="19B71A81"/>
    <w:rsid w:val="1A790BC2"/>
    <w:rsid w:val="1CE4477D"/>
    <w:rsid w:val="1F417C9E"/>
    <w:rsid w:val="210668C5"/>
    <w:rsid w:val="2183526F"/>
    <w:rsid w:val="2450754A"/>
    <w:rsid w:val="26C07973"/>
    <w:rsid w:val="291B67AE"/>
    <w:rsid w:val="2A4B1F10"/>
    <w:rsid w:val="2A853DF7"/>
    <w:rsid w:val="2CC15BCF"/>
    <w:rsid w:val="2D412A32"/>
    <w:rsid w:val="30197731"/>
    <w:rsid w:val="36605556"/>
    <w:rsid w:val="3AFA574E"/>
    <w:rsid w:val="3BD2363B"/>
    <w:rsid w:val="403D3FE3"/>
    <w:rsid w:val="43081BD1"/>
    <w:rsid w:val="438764C5"/>
    <w:rsid w:val="443274E2"/>
    <w:rsid w:val="4D896004"/>
    <w:rsid w:val="556E5844"/>
    <w:rsid w:val="564E0426"/>
    <w:rsid w:val="5CB62351"/>
    <w:rsid w:val="5D334FB6"/>
    <w:rsid w:val="5DD24F07"/>
    <w:rsid w:val="60CB67FA"/>
    <w:rsid w:val="62EA0017"/>
    <w:rsid w:val="637C707C"/>
    <w:rsid w:val="65BF7169"/>
    <w:rsid w:val="6A8D318F"/>
    <w:rsid w:val="6C1072B3"/>
    <w:rsid w:val="6D115975"/>
    <w:rsid w:val="6F0217DE"/>
    <w:rsid w:val="6F2B5569"/>
    <w:rsid w:val="730619C4"/>
    <w:rsid w:val="762A1FEB"/>
    <w:rsid w:val="772023D0"/>
    <w:rsid w:val="781452B2"/>
    <w:rsid w:val="7CFD682C"/>
    <w:rsid w:val="7EAD0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28"/>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方正小标宋简体" w:asciiTheme="minorHAnsi" w:hAnsiTheme="minorHAnsi"/>
      <w:b/>
      <w:kern w:val="44"/>
      <w:sz w:val="44"/>
    </w:rPr>
  </w:style>
  <w:style w:type="paragraph" w:styleId="3">
    <w:name w:val="heading 2"/>
    <w:basedOn w:val="1"/>
    <w:next w:val="1"/>
    <w:semiHidden/>
    <w:unhideWhenUsed/>
    <w:qFormat/>
    <w:uiPriority w:val="0"/>
    <w:pPr>
      <w:keepNext/>
      <w:keepLines/>
      <w:spacing w:line="413" w:lineRule="auto"/>
      <w:outlineLvl w:val="1"/>
    </w:pPr>
    <w:rPr>
      <w:rFonts w:ascii="Arial" w:hAnsi="Arial" w:eastAsia="黑体" w:cs="黑体"/>
      <w:sz w:val="32"/>
      <w:szCs w:val="32"/>
    </w:rPr>
  </w:style>
  <w:style w:type="paragraph" w:styleId="4">
    <w:name w:val="heading 3"/>
    <w:basedOn w:val="1"/>
    <w:next w:val="1"/>
    <w:semiHidden/>
    <w:unhideWhenUsed/>
    <w:qFormat/>
    <w:uiPriority w:val="0"/>
    <w:pPr>
      <w:keepNext/>
      <w:keepLines/>
      <w:spacing w:before="260" w:after="260" w:line="413" w:lineRule="auto"/>
      <w:outlineLvl w:val="2"/>
    </w:pPr>
    <w:rPr>
      <w:b/>
      <w:sz w:val="32"/>
    </w:rPr>
  </w:style>
  <w:style w:type="character" w:default="1" w:styleId="10">
    <w:name w:val="Default Paragraph Font"/>
    <w:semiHidden/>
    <w:unhideWhenUsed/>
    <w:qFormat/>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5">
    <w:name w:val="Body Text"/>
    <w:basedOn w:val="1"/>
    <w:qFormat/>
    <w:uiPriority w:val="0"/>
    <w:pPr>
      <w:spacing w:line="240" w:lineRule="atLeast"/>
    </w:pPr>
    <w:rPr>
      <w:rFonts w:cs="Times New Roman"/>
      <w:sz w:val="32"/>
    </w:rPr>
  </w:style>
  <w:style w:type="paragraph" w:styleId="6">
    <w:name w:val="footer"/>
    <w:basedOn w:val="1"/>
    <w:link w:val="20"/>
    <w:qFormat/>
    <w:uiPriority w:val="0"/>
    <w:pPr>
      <w:tabs>
        <w:tab w:val="center" w:pos="4153"/>
        <w:tab w:val="right" w:pos="8306"/>
      </w:tabs>
      <w:snapToGrid w:val="0"/>
      <w:jc w:val="left"/>
    </w:pPr>
    <w:rPr>
      <w:sz w:val="18"/>
      <w:szCs w:val="18"/>
    </w:rPr>
  </w:style>
  <w:style w:type="paragraph" w:styleId="7">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rPr>
      <w:rFonts w:ascii="Calibri" w:hAnsi="Calibri"/>
      <w:sz w:val="32"/>
    </w:rPr>
  </w:style>
  <w:style w:type="paragraph" w:styleId="9">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表格内文字"/>
    <w:basedOn w:val="1"/>
    <w:qFormat/>
    <w:uiPriority w:val="0"/>
    <w:pPr>
      <w:spacing w:line="0" w:lineRule="atLeast"/>
      <w:jc w:val="center"/>
    </w:pPr>
    <w:rPr>
      <w:rFonts w:hint="eastAsia"/>
      <w:szCs w:val="32"/>
    </w:rPr>
  </w:style>
  <w:style w:type="paragraph" w:customStyle="1" w:styleId="16">
    <w:name w:val="附件"/>
    <w:basedOn w:val="1"/>
    <w:qFormat/>
    <w:uiPriority w:val="0"/>
    <w:pPr>
      <w:spacing w:line="560" w:lineRule="atLeast"/>
      <w:jc w:val="left"/>
    </w:pPr>
    <w:rPr>
      <w:rFonts w:hint="eastAsia" w:ascii="黑体" w:hAnsi="黑体" w:eastAsia="黑体" w:cs="黑体"/>
      <w:szCs w:val="28"/>
    </w:rPr>
  </w:style>
  <w:style w:type="paragraph" w:customStyle="1" w:styleId="17">
    <w:name w:val="样式1"/>
    <w:basedOn w:val="1"/>
    <w:qFormat/>
    <w:uiPriority w:val="0"/>
    <w:pPr>
      <w:widowControl/>
      <w:spacing w:line="20" w:lineRule="atLeast"/>
      <w:jc w:val="center"/>
      <w:textAlignment w:val="center"/>
    </w:pPr>
    <w:rPr>
      <w:rFonts w:hint="eastAsia" w:ascii="方正小标宋简体" w:hAnsi="方正小标宋简体" w:cs="Times New Roman"/>
      <w:b/>
      <w:bCs/>
      <w:color w:val="000000"/>
      <w:kern w:val="0"/>
      <w:szCs w:val="44"/>
    </w:rPr>
  </w:style>
  <w:style w:type="paragraph" w:customStyle="1" w:styleId="18">
    <w:name w:val="表格"/>
    <w:basedOn w:val="1"/>
    <w:qFormat/>
    <w:uiPriority w:val="0"/>
    <w:pPr>
      <w:widowControl/>
      <w:adjustRightInd w:val="0"/>
      <w:snapToGrid w:val="0"/>
      <w:spacing w:line="20" w:lineRule="atLeast"/>
      <w:jc w:val="center"/>
      <w:textAlignment w:val="center"/>
    </w:pPr>
    <w:rPr>
      <w:rFonts w:hint="eastAsia" w:ascii="仿宋_GB2312" w:hAnsi="仿宋_GB2312" w:cs="Times New Roman"/>
      <w:color w:val="000000"/>
      <w:kern w:val="0"/>
      <w:szCs w:val="28"/>
    </w:rPr>
  </w:style>
  <w:style w:type="character" w:customStyle="1" w:styleId="19">
    <w:name w:val="页眉 字符"/>
    <w:basedOn w:val="10"/>
    <w:link w:val="7"/>
    <w:qFormat/>
    <w:uiPriority w:val="0"/>
    <w:rPr>
      <w:rFonts w:eastAsia="仿宋_GB2312" w:cstheme="minorBidi"/>
      <w:kern w:val="2"/>
      <w:sz w:val="18"/>
      <w:szCs w:val="18"/>
    </w:rPr>
  </w:style>
  <w:style w:type="character" w:customStyle="1" w:styleId="20">
    <w:name w:val="页脚 字符"/>
    <w:basedOn w:val="10"/>
    <w:link w:val="6"/>
    <w:qFormat/>
    <w:uiPriority w:val="0"/>
    <w:rPr>
      <w:rFonts w:eastAsia="仿宋_GB2312"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1340</Words>
  <Characters>1472</Characters>
  <Lines>11</Lines>
  <Paragraphs>3</Paragraphs>
  <TotalTime>34</TotalTime>
  <ScaleCrop>false</ScaleCrop>
  <LinksUpToDate>false</LinksUpToDate>
  <CharactersWithSpaces>1501</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2023-03-17T22:20:00Z</dcterms:created>
  <dc:creator>ZAIC</dc:creator>
  <cp:lastModifiedBy>郝洁琼</cp:lastModifiedBy>
  <cp:lastPrinted>2023-04-10T06:36:36Z</cp:lastPrinted>
  <dcterms:modified xsi:type="dcterms:W3CDTF">2023-04-10T07:01:58Z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B67EA8AB0A652BE197692A6455C382CF</vt:lpwstr>
  </property>
</Properties>
</file>