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《横琴粤澳深度合作区促进引领型企业实质性运营发展扶持办法》政策解读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79"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为贯彻落实中共中央、国务院《横琴粤澳深度合作区建设总体方案》</w:t>
      </w:r>
      <w:r>
        <w:rPr>
          <w:rFonts w:hint="eastAsia" w:ascii="仿宋_GB2312" w:hAnsi="仿宋_GB2312" w:eastAsia="仿宋_GB2312" w:cs="仿宋_GB2312"/>
          <w:sz w:val="32"/>
          <w:szCs w:val="32"/>
          <w:lang w:val="en-US" w:eastAsia="zh-CN"/>
        </w:rPr>
        <w:t>（以下简称《总体方案》）</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u w:val="none"/>
          <w:lang w:val="en-US" w:eastAsia="zh-CN" w:bidi="ar-SA"/>
        </w:rPr>
        <w:t>进一步吸引和培育具有核心竞争力的企业集群，做大做强实体经济，增加实体经济产值，</w:t>
      </w:r>
      <w:r>
        <w:rPr>
          <w:rFonts w:hint="default" w:ascii="仿宋_GB2312" w:hAnsi="仿宋_GB2312" w:eastAsia="仿宋_GB2312" w:cs="仿宋_GB2312"/>
          <w:kern w:val="2"/>
          <w:sz w:val="32"/>
          <w:szCs w:val="32"/>
          <w:u w:val="none"/>
          <w:lang w:val="en-US" w:eastAsia="zh-CN" w:bidi="ar-SA"/>
        </w:rPr>
        <w:t>提升合作区综合实力和竞争力</w:t>
      </w:r>
      <w:r>
        <w:rPr>
          <w:rFonts w:hint="eastAsia" w:ascii="仿宋_GB2312" w:hAnsi="仿宋_GB2312" w:eastAsia="仿宋_GB2312" w:cs="仿宋_GB2312"/>
          <w:kern w:val="2"/>
          <w:sz w:val="32"/>
          <w:szCs w:val="32"/>
          <w:u w:val="none"/>
          <w:lang w:val="en-US" w:eastAsia="zh-CN" w:bidi="ar-SA"/>
        </w:rPr>
        <w:t>，发挥引领型企业促进澳门经济适度多元发展的重要作用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w:t>
      </w:r>
      <w:r>
        <w:rPr>
          <w:rFonts w:hint="eastAsia" w:ascii="仿宋_GB2312" w:hAnsi="仿宋_GB2312" w:eastAsia="仿宋_GB2312" w:cs="仿宋_GB2312"/>
          <w:sz w:val="32"/>
          <w:szCs w:val="32"/>
          <w:lang w:val="en-US" w:eastAsia="zh-CN"/>
        </w:rPr>
        <w:t>《总体方案》</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财政部税务总局关于横琴粤澳深度合作区企业所得税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优惠</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政策的通知</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有关</w:t>
      </w:r>
      <w:r>
        <w:rPr>
          <w:rFonts w:hint="eastAsia" w:ascii="仿宋_GB2312" w:hAnsi="仿宋_GB2312" w:eastAsia="仿宋_GB2312" w:cs="仿宋_GB2312"/>
          <w:color w:val="000000" w:themeColor="text1"/>
          <w:sz w:val="32"/>
          <w:szCs w:val="32"/>
          <w:highlight w:val="none"/>
          <w14:textFill>
            <w14:solidFill>
              <w14:schemeClr w14:val="tx1"/>
            </w14:solidFill>
          </w14:textFill>
        </w:rPr>
        <w:t>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lang w:eastAsia="zh-CN"/>
        </w:rPr>
        <w:t>在广泛听取各方意见，经充分研究论证的基础上，</w:t>
      </w:r>
      <w:r>
        <w:rPr>
          <w:rFonts w:hint="eastAsia" w:ascii="仿宋_GB2312" w:hAnsi="仿宋_GB2312" w:eastAsia="仿宋_GB2312" w:cs="仿宋_GB2312"/>
          <w:sz w:val="32"/>
          <w:szCs w:val="32"/>
          <w:lang w:val="en-US" w:eastAsia="zh-CN"/>
        </w:rPr>
        <w:t>横琴粤澳深度合作区经济发展局（以下简称经济发展局）</w:t>
      </w:r>
      <w:r>
        <w:rPr>
          <w:rFonts w:hint="eastAsia" w:ascii="仿宋_GB2312" w:hAnsi="仿宋_GB2312" w:eastAsia="仿宋_GB2312" w:cs="仿宋_GB2312"/>
          <w:sz w:val="32"/>
          <w:szCs w:val="32"/>
          <w:lang w:eastAsia="zh-CN"/>
        </w:rPr>
        <w:t>日前颁布了《横琴粤澳深度合作区促进引领型企业实质性运营发展扶持办法》（以下简称《</w:t>
      </w:r>
      <w:r>
        <w:rPr>
          <w:rFonts w:hint="eastAsia" w:ascii="仿宋_GB2312" w:hAnsi="仿宋_GB2312" w:eastAsia="仿宋_GB2312" w:cs="仿宋_GB2312"/>
          <w:sz w:val="32"/>
          <w:szCs w:val="32"/>
          <w:lang w:val="en-US" w:eastAsia="zh-CN"/>
        </w:rPr>
        <w:t>扶持办法</w:t>
      </w:r>
      <w:r>
        <w:rPr>
          <w:rFonts w:hint="eastAsia" w:ascii="仿宋_GB2312" w:hAnsi="仿宋_GB2312" w:eastAsia="仿宋_GB2312" w:cs="仿宋_GB2312"/>
          <w:sz w:val="32"/>
          <w:szCs w:val="32"/>
          <w:lang w:eastAsia="zh-CN"/>
        </w:rPr>
        <w:t>》），并于202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日正式实施。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一、《扶持办法》</w:t>
      </w:r>
      <w:r>
        <w:rPr>
          <w:rFonts w:hint="eastAsia" w:ascii="黑体" w:hAnsi="黑体" w:eastAsia="黑体" w:cs="黑体"/>
          <w:b w:val="0"/>
          <w:bCs w:val="0"/>
          <w:sz w:val="32"/>
          <w:szCs w:val="32"/>
        </w:rPr>
        <w:t>的</w:t>
      </w:r>
      <w:r>
        <w:rPr>
          <w:rFonts w:hint="eastAsia" w:ascii="黑体" w:hAnsi="黑体" w:eastAsia="黑体" w:cs="黑体"/>
          <w:b w:val="0"/>
          <w:bCs w:val="0"/>
          <w:sz w:val="32"/>
          <w:szCs w:val="32"/>
          <w:lang w:val="en-US" w:eastAsia="zh-CN"/>
        </w:rPr>
        <w:t>制定</w:t>
      </w:r>
      <w:r>
        <w:rPr>
          <w:rFonts w:hint="eastAsia" w:ascii="黑体" w:hAnsi="黑体" w:eastAsia="黑体" w:cs="黑体"/>
          <w:b w:val="0"/>
          <w:bCs w:val="0"/>
          <w:sz w:val="32"/>
          <w:szCs w:val="32"/>
        </w:rPr>
        <w:t>背景</w:t>
      </w:r>
    </w:p>
    <w:p>
      <w:pPr>
        <w:keepNext w:val="0"/>
        <w:keepLines w:val="0"/>
        <w:pageBreakBefore w:val="0"/>
        <w:kinsoku/>
        <w:wordWrap/>
        <w:overflowPunct/>
        <w:topLinePunct w:val="0"/>
        <w:autoSpaceDE/>
        <w:autoSpaceDN/>
        <w:bidi w:val="0"/>
        <w:spacing w:line="579" w:lineRule="exact"/>
        <w:ind w:firstLine="640" w:firstLineChars="200"/>
        <w:rPr>
          <w:rFonts w:hint="eastAsia"/>
          <w:sz w:val="32"/>
          <w:szCs w:val="32"/>
          <w:lang w:val="en-US" w:eastAsia="zh-CN"/>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《总体方案》为合作区赋予了新的战略定位和历史使命，原横琴新区政策目前已不适应合作区体制、机制、经济、社会等新形势发展，逐渐失去竞争优势，带动经济增长新动能不足。</w:t>
      </w:r>
      <w:r>
        <w:rPr>
          <w:rFonts w:ascii="仿宋_GB2312" w:hAnsi="仿宋_GB2312" w:eastAsia="仿宋_GB2312" w:cs="仿宋_GB2312"/>
          <w:color w:val="000000" w:themeColor="text1"/>
          <w:sz w:val="32"/>
          <w:szCs w:val="32"/>
          <w:highlight w:val="none"/>
          <w14:textFill>
            <w14:solidFill>
              <w14:schemeClr w14:val="tx1"/>
            </w14:solidFill>
          </w14:textFill>
        </w:rPr>
        <w:t>为引导已在合作区注册的</w:t>
      </w:r>
      <w:r>
        <w:rPr>
          <w:rFonts w:hint="eastAsia" w:ascii="仿宋_GB2312" w:hAnsi="仿宋_GB2312" w:eastAsia="仿宋_GB2312" w:cs="仿宋_GB2312"/>
          <w:color w:val="000000" w:themeColor="text1"/>
          <w:sz w:val="32"/>
          <w:szCs w:val="32"/>
          <w:highlight w:val="none"/>
          <w14:textFill>
            <w14:solidFill>
              <w14:schemeClr w14:val="tx1"/>
            </w14:solidFill>
          </w14:textFill>
        </w:rPr>
        <w:t>引领型</w:t>
      </w:r>
      <w:r>
        <w:rPr>
          <w:rFonts w:ascii="仿宋_GB2312" w:hAnsi="仿宋_GB2312" w:eastAsia="仿宋_GB2312" w:cs="仿宋_GB2312"/>
          <w:color w:val="000000" w:themeColor="text1"/>
          <w:sz w:val="32"/>
          <w:szCs w:val="32"/>
          <w:highlight w:val="none"/>
          <w14:textFill>
            <w14:solidFill>
              <w14:schemeClr w14:val="tx1"/>
            </w14:solidFill>
          </w14:textFill>
        </w:rPr>
        <w:t>企业回归合作区实质性运营，进一步吸引和培育具有核心竞争力的企业集群，做大做强实体经济，增加实体经济产值，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迫切需要</w:t>
      </w:r>
      <w:r>
        <w:rPr>
          <w:rFonts w:ascii="仿宋_GB2312" w:hAnsi="仿宋_GB2312" w:eastAsia="仿宋_GB2312" w:cs="仿宋_GB2312"/>
          <w:color w:val="000000" w:themeColor="text1"/>
          <w:sz w:val="32"/>
          <w:szCs w:val="32"/>
          <w:highlight w:val="none"/>
          <w14:textFill>
            <w14:solidFill>
              <w14:schemeClr w14:val="tx1"/>
            </w14:solidFill>
          </w14:textFill>
        </w:rPr>
        <w:t>参考全国重点省市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的经验</w:t>
      </w:r>
      <w:r>
        <w:rPr>
          <w:rFonts w:ascii="仿宋_GB2312" w:hAnsi="仿宋_GB2312" w:eastAsia="仿宋_GB2312" w:cs="仿宋_GB2312"/>
          <w:color w:val="000000" w:themeColor="text1"/>
          <w:sz w:val="32"/>
          <w:szCs w:val="32"/>
          <w:highlight w:val="none"/>
          <w14:textFill>
            <w14:solidFill>
              <w14:schemeClr w14:val="tx1"/>
            </w14:solidFill>
          </w14:textFill>
        </w:rPr>
        <w:t>，并结合合作区实际情况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出台支持引领型企业实质性运营发展的政策举措，</w:t>
      </w:r>
      <w:r>
        <w:rPr>
          <w:rFonts w:hint="eastAsia" w:ascii="仿宋_GB2312" w:hAnsi="仿宋_GB2312" w:eastAsia="仿宋_GB2312" w:cs="仿宋_GB2312"/>
          <w:color w:val="000000" w:themeColor="text1"/>
          <w:sz w:val="32"/>
          <w:szCs w:val="32"/>
          <w:highlight w:val="none"/>
          <w14:textFill>
            <w14:solidFill>
              <w14:schemeClr w14:val="tx1"/>
            </w14:solidFill>
          </w14:textFill>
        </w:rPr>
        <w:t>提升合作区综合实力和竞争力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2"/>
          <w:sz w:val="32"/>
          <w:szCs w:val="32"/>
          <w:u w:val="none"/>
          <w:lang w:val="en-US" w:eastAsia="zh-CN" w:bidi="ar-SA"/>
        </w:rPr>
        <w:t>发挥引领型企业促进澳门经济适度多元发展的重要作用。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、《扶持办法》</w:t>
      </w:r>
      <w:r>
        <w:rPr>
          <w:rFonts w:hint="eastAsia" w:ascii="黑体" w:hAnsi="黑体" w:eastAsia="黑体" w:cs="黑体"/>
          <w:sz w:val="32"/>
          <w:szCs w:val="32"/>
        </w:rPr>
        <w:t>主要包括哪些内容？</w:t>
      </w:r>
    </w:p>
    <w:p>
      <w:pPr>
        <w:keepNext w:val="0"/>
        <w:keepLines w:val="0"/>
        <w:pageBreakBefore w:val="0"/>
        <w:kinsoku/>
        <w:wordWrap/>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《扶持办法》共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十六</w:t>
      </w:r>
      <w:r>
        <w:rPr>
          <w:rFonts w:hint="eastAsia" w:ascii="仿宋_GB2312" w:hAnsi="仿宋_GB2312" w:eastAsia="仿宋_GB2312" w:cs="仿宋_GB2312"/>
          <w:color w:val="000000" w:themeColor="text1"/>
          <w:sz w:val="32"/>
          <w:szCs w:val="32"/>
          <w:highlight w:val="none"/>
          <w14:textFill>
            <w14:solidFill>
              <w14:schemeClr w14:val="tx1"/>
            </w14:solidFill>
          </w14:textFill>
        </w:rPr>
        <w:t>条，围绕贯彻《总体方案》的要求，突出“实质性运营”的特征。</w:t>
      </w:r>
    </w:p>
    <w:p>
      <w:pPr>
        <w:keepNext w:val="0"/>
        <w:keepLines w:val="0"/>
        <w:pageBreakBefore w:val="0"/>
        <w:kinsoku/>
        <w:wordWrap/>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sz w:val="32"/>
          <w:szCs w:val="32"/>
        </w:rPr>
      </w:pPr>
      <w:r>
        <w:rPr>
          <w:rFonts w:hint="eastAsia" w:ascii="Times New Roman" w:hAnsi="Times New Roman" w:eastAsia="仿宋_GB2312" w:cs="Times New Roman"/>
          <w:bCs/>
          <w:sz w:val="32"/>
          <w:szCs w:val="32"/>
          <w:lang w:val="en-US" w:eastAsia="zh-CN"/>
        </w:rPr>
        <w:t>第一条为制定目的，说明</w:t>
      </w:r>
      <w:r>
        <w:rPr>
          <w:rFonts w:hint="eastAsia" w:ascii="仿宋_GB2312" w:hAnsi="仿宋_GB2312" w:eastAsia="仿宋_GB2312" w:cs="仿宋_GB2312"/>
          <w:sz w:val="32"/>
          <w:szCs w:val="32"/>
          <w:lang w:eastAsia="zh-CN"/>
        </w:rPr>
        <w:t>《扶持办法》</w:t>
      </w:r>
      <w:r>
        <w:rPr>
          <w:rFonts w:hint="eastAsia" w:ascii="仿宋_GB2312" w:hAnsi="仿宋_GB2312" w:eastAsia="仿宋_GB2312" w:cs="仿宋_GB2312"/>
          <w:sz w:val="32"/>
          <w:szCs w:val="32"/>
        </w:rPr>
        <w:t>制定依据</w:t>
      </w:r>
      <w:r>
        <w:rPr>
          <w:rFonts w:hint="eastAsia" w:ascii="仿宋_GB2312" w:hAnsi="仿宋_GB2312" w:eastAsia="仿宋_GB2312" w:cs="仿宋_GB2312"/>
          <w:sz w:val="32"/>
          <w:szCs w:val="32"/>
          <w:lang w:val="en-US" w:eastAsia="zh-CN"/>
        </w:rPr>
        <w:t>和制定目的</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rPr>
        <w:t>第二</w:t>
      </w:r>
      <w:r>
        <w:rPr>
          <w:rFonts w:hint="eastAsia" w:ascii="仿宋_GB2312" w:hAnsi="仿宋_GB2312" w:eastAsia="仿宋_GB2312" w:cs="仿宋_GB2312"/>
          <w:sz w:val="32"/>
          <w:szCs w:val="32"/>
          <w:lang w:val="en-US" w:eastAsia="zh-CN"/>
        </w:rPr>
        <w:t>条为</w:t>
      </w:r>
      <w:r>
        <w:rPr>
          <w:rFonts w:hint="eastAsia" w:ascii="仿宋_GB2312" w:hAnsi="仿宋_GB2312" w:eastAsia="仿宋_GB2312" w:cs="仿宋_GB2312"/>
          <w:color w:val="000000" w:themeColor="text1"/>
          <w:sz w:val="32"/>
          <w:szCs w:val="32"/>
          <w:highlight w:val="none"/>
          <w14:textFill>
            <w14:solidFill>
              <w14:schemeClr w14:val="tx1"/>
            </w14:solidFill>
          </w14:textFill>
        </w:rPr>
        <w:t>适用对象</w:t>
      </w:r>
      <w:r>
        <w:rPr>
          <w:rFonts w:hint="eastAsia" w:ascii="仿宋_GB2312" w:hAnsi="仿宋_GB2312" w:eastAsia="仿宋_GB2312" w:cs="仿宋_GB2312"/>
          <w:sz w:val="32"/>
          <w:szCs w:val="32"/>
          <w:lang w:val="en-US" w:eastAsia="zh-CN"/>
        </w:rPr>
        <w:t>，明确了</w:t>
      </w:r>
      <w:r>
        <w:rPr>
          <w:rFonts w:hint="eastAsia" w:ascii="仿宋_GB2312" w:hAnsi="仿宋_GB2312" w:eastAsia="仿宋_GB2312" w:cs="仿宋_GB2312"/>
          <w:color w:val="000000" w:themeColor="text1"/>
          <w:sz w:val="32"/>
          <w:szCs w:val="32"/>
          <w:highlight w:val="none"/>
          <w14:textFill>
            <w14:solidFill>
              <w14:schemeClr w14:val="tx1"/>
            </w14:solidFill>
          </w14:textFill>
        </w:rPr>
        <w:t>引领型企业</w:t>
      </w:r>
      <w:r>
        <w:rPr>
          <w:rFonts w:ascii="仿宋_GB2312" w:hAnsi="仿宋_GB2312" w:eastAsia="仿宋_GB2312" w:cs="仿宋_GB2312"/>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sz w:val="32"/>
          <w:szCs w:val="32"/>
          <w:highlight w:val="none"/>
          <w14:textFill>
            <w14:solidFill>
              <w14:schemeClr w14:val="tx1"/>
            </w14:solidFill>
          </w14:textFill>
        </w:rPr>
        <w:t>在合作区的营业收入</w:t>
      </w:r>
      <w:r>
        <w:rPr>
          <w:rFonts w:ascii="仿宋_GB2312" w:hAnsi="仿宋_GB2312" w:eastAsia="仿宋_GB2312" w:cs="仿宋_GB2312"/>
          <w:color w:val="000000" w:themeColor="text1"/>
          <w:sz w:val="32"/>
          <w:szCs w:val="32"/>
          <w:highlight w:val="none"/>
          <w14:textFill>
            <w14:solidFill>
              <w14:schemeClr w14:val="tx1"/>
            </w14:solidFill>
          </w14:textFill>
        </w:rPr>
        <w:t>及经济贡献，</w:t>
      </w:r>
      <w:r>
        <w:rPr>
          <w:rFonts w:hint="eastAsia" w:ascii="仿宋_GB2312" w:hAnsi="仿宋_GB2312" w:eastAsia="仿宋_GB2312" w:cs="仿宋_GB2312"/>
          <w:color w:val="000000" w:themeColor="text1"/>
          <w:sz w:val="32"/>
          <w:szCs w:val="32"/>
          <w:highlight w:val="none"/>
          <w14:textFill>
            <w14:solidFill>
              <w14:schemeClr w14:val="tx1"/>
            </w14:solidFill>
          </w14:textFill>
        </w:rPr>
        <w:t>分</w:t>
      </w:r>
      <w:r>
        <w:rPr>
          <w:rFonts w:ascii="仿宋_GB2312" w:hAnsi="仿宋_GB2312" w:eastAsia="仿宋_GB2312" w:cs="仿宋_GB2312"/>
          <w:color w:val="000000" w:themeColor="text1"/>
          <w:sz w:val="32"/>
          <w:szCs w:val="32"/>
          <w:highlight w:val="none"/>
          <w14:textFill>
            <w14:solidFill>
              <w14:schemeClr w14:val="tx1"/>
            </w14:solidFill>
          </w14:textFill>
        </w:rPr>
        <w:t>为示范引领型企业、综合引领型企业、成长引领型企业三类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第三条为</w:t>
      </w:r>
      <w:r>
        <w:rPr>
          <w:rFonts w:hint="eastAsia" w:ascii="仿宋_GB2312" w:hAnsi="仿宋_GB2312" w:eastAsia="仿宋_GB2312" w:cs="仿宋_GB2312"/>
          <w:color w:val="000000" w:themeColor="text1"/>
          <w:sz w:val="32"/>
          <w:szCs w:val="32"/>
          <w:highlight w:val="none"/>
          <w14:textFill>
            <w14:solidFill>
              <w14:schemeClr w14:val="tx1"/>
            </w14:solidFill>
          </w14:textFill>
        </w:rPr>
        <w:t>实质性运营</w:t>
      </w:r>
      <w:r>
        <w:rPr>
          <w:rFonts w:hint="eastAsia" w:ascii="仿宋_GB2312" w:hAnsi="仿宋_GB2312" w:eastAsia="仿宋_GB2312" w:cs="仿宋_GB2312"/>
          <w:sz w:val="32"/>
          <w:szCs w:val="32"/>
          <w:lang w:val="en-US" w:eastAsia="zh-CN"/>
        </w:rPr>
        <w:t>，明确</w:t>
      </w:r>
      <w:r>
        <w:rPr>
          <w:rFonts w:ascii="仿宋_GB2312" w:hAnsi="仿宋_GB2312" w:eastAsia="仿宋_GB2312" w:cs="仿宋_GB2312"/>
          <w:color w:val="000000" w:themeColor="text1"/>
          <w:sz w:val="32"/>
          <w:szCs w:val="32"/>
          <w:highlight w:val="none"/>
          <w14:textFill>
            <w14:solidFill>
              <w14:schemeClr w14:val="tx1"/>
            </w14:solidFill>
          </w14:textFill>
        </w:rPr>
        <w:t>扶持对象“在合作区实质性运营”的要求</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sz w:val="32"/>
          <w:szCs w:val="32"/>
          <w:lang w:val="en-US" w:eastAsia="zh-CN"/>
        </w:rPr>
        <w:t>第四条为</w:t>
      </w:r>
      <w:r>
        <w:rPr>
          <w:rFonts w:hint="eastAsia" w:ascii="仿宋_GB2312" w:hAnsi="仿宋_GB2312" w:eastAsia="仿宋_GB2312" w:cs="仿宋_GB2312"/>
          <w:color w:val="000000" w:themeColor="text1"/>
          <w:sz w:val="32"/>
          <w:szCs w:val="32"/>
          <w:highlight w:val="none"/>
          <w14:textFill>
            <w14:solidFill>
              <w14:schemeClr w14:val="tx1"/>
            </w14:solidFill>
          </w14:textFill>
        </w:rPr>
        <w:t>综合性优惠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明确</w:t>
      </w:r>
      <w:r>
        <w:rPr>
          <w:rFonts w:hint="eastAsia" w:ascii="仿宋_GB2312" w:hAnsi="仿宋_GB2312" w:eastAsia="仿宋_GB2312" w:cs="仿宋_GB2312"/>
          <w:color w:val="000000" w:themeColor="text1"/>
          <w:sz w:val="32"/>
          <w:szCs w:val="32"/>
          <w:highlight w:val="none"/>
          <w14:textFill>
            <w14:solidFill>
              <w14:schemeClr w14:val="tx1"/>
            </w14:solidFill>
          </w14:textFill>
        </w:rPr>
        <w:t>符合条件的引领型企业及其聘用的员工享受《总体方案》中公布的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财税、人才等</w:t>
      </w:r>
      <w:r>
        <w:rPr>
          <w:rFonts w:hint="eastAsia" w:ascii="仿宋_GB2312" w:hAnsi="仿宋_GB2312" w:eastAsia="仿宋_GB2312" w:cs="仿宋_GB2312"/>
          <w:color w:val="000000" w:themeColor="text1"/>
          <w:sz w:val="32"/>
          <w:szCs w:val="32"/>
          <w:highlight w:val="none"/>
          <w14:textFill>
            <w14:solidFill>
              <w14:schemeClr w14:val="tx1"/>
            </w14:solidFill>
          </w14:textFill>
        </w:rPr>
        <w:t>优惠措施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第五条为</w:t>
      </w:r>
      <w:r>
        <w:rPr>
          <w:rFonts w:hint="eastAsia" w:ascii="仿宋_GB2312" w:hAnsi="仿宋_GB2312" w:eastAsia="仿宋_GB2312" w:cs="仿宋_GB2312"/>
          <w:color w:val="000000" w:themeColor="text1"/>
          <w:sz w:val="32"/>
          <w:szCs w:val="32"/>
          <w:highlight w:val="none"/>
          <w14:textFill>
            <w14:solidFill>
              <w14:schemeClr w14:val="tx1"/>
            </w14:solidFill>
          </w14:textFill>
        </w:rPr>
        <w:t>经营扶持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对于符合条件的引领型企业</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可享受的</w:t>
      </w:r>
      <w:r>
        <w:rPr>
          <w:rFonts w:hint="eastAsia" w:ascii="仿宋_GB2312" w:hAnsi="仿宋_GB2312" w:eastAsia="仿宋_GB2312" w:cs="仿宋_GB2312"/>
          <w:color w:val="000000" w:themeColor="text1"/>
          <w:sz w:val="32"/>
          <w:szCs w:val="32"/>
          <w:highlight w:val="none"/>
          <w14:textFill>
            <w14:solidFill>
              <w14:schemeClr w14:val="tx1"/>
            </w14:solidFill>
          </w14:textFill>
        </w:rPr>
        <w:t>运营扶持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营收增长奖励</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使用外资奖励</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其中</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对示范引领型企业、综合引领型企业和成长引领型企业在合作区实质性运营的，每年</w:t>
      </w:r>
      <w:r>
        <w:rPr>
          <w:rFonts w:hint="eastAsia" w:ascii="仿宋_GB2312" w:hAnsi="仿宋_GB2312" w:eastAsia="仿宋_GB2312" w:cs="仿宋_GB2312"/>
          <w:color w:val="000000" w:themeColor="text1"/>
          <w:sz w:val="32"/>
          <w:szCs w:val="32"/>
          <w:highlight w:val="none"/>
          <w14:textFill>
            <w14:solidFill>
              <w14:schemeClr w14:val="tx1"/>
            </w14:solidFill>
          </w14:textFill>
        </w:rPr>
        <w:t>分别</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给予</w:t>
      </w:r>
      <w:r>
        <w:rPr>
          <w:rFonts w:ascii="仿宋_GB2312" w:hAnsi="仿宋_GB2312" w:eastAsia="仿宋_GB2312" w:cs="仿宋_GB2312"/>
          <w:bCs/>
          <w:color w:val="000000" w:themeColor="text1"/>
          <w:sz w:val="32"/>
          <w:szCs w:val="32"/>
          <w:highlight w:val="none"/>
          <w14:textFill>
            <w14:solidFill>
              <w14:schemeClr w14:val="tx1"/>
            </w14:solidFill>
          </w14:textFill>
        </w:rPr>
        <w:t>2000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万元、</w:t>
      </w:r>
      <w:r>
        <w:rPr>
          <w:rFonts w:ascii="仿宋_GB2312" w:hAnsi="仿宋_GB2312" w:eastAsia="仿宋_GB2312" w:cs="仿宋_GB2312"/>
          <w:bCs/>
          <w:color w:val="000000" w:themeColor="text1"/>
          <w:sz w:val="32"/>
          <w:szCs w:val="32"/>
          <w:highlight w:val="none"/>
          <w14:textFill>
            <w14:solidFill>
              <w14:schemeClr w14:val="tx1"/>
            </w14:solidFill>
          </w14:textFill>
        </w:rPr>
        <w:t>600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万元和</w:t>
      </w:r>
      <w:r>
        <w:rPr>
          <w:rFonts w:ascii="仿宋_GB2312" w:hAnsi="仿宋_GB2312" w:eastAsia="仿宋_GB2312" w:cs="仿宋_GB2312"/>
          <w:bCs/>
          <w:color w:val="000000" w:themeColor="text1"/>
          <w:sz w:val="32"/>
          <w:szCs w:val="32"/>
          <w:highlight w:val="none"/>
          <w14:textFill>
            <w14:solidFill>
              <w14:schemeClr w14:val="tx1"/>
            </w14:solidFill>
          </w14:textFill>
        </w:rPr>
        <w:t>100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万元的</w:t>
      </w:r>
      <w:r>
        <w:rPr>
          <w:rFonts w:hint="eastAsia" w:ascii="仿宋_GB2312" w:hAnsi="仿宋_GB2312" w:eastAsia="仿宋_GB2312" w:cs="仿宋_GB2312"/>
          <w:color w:val="000000" w:themeColor="text1"/>
          <w:sz w:val="32"/>
          <w:szCs w:val="32"/>
          <w:highlight w:val="none"/>
          <w14:textFill>
            <w14:solidFill>
              <w14:schemeClr w14:val="tx1"/>
            </w14:solidFill>
          </w14:textFill>
        </w:rPr>
        <w:t>运营</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扶持</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对</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引领型企业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上一年度</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营业收入较前一年度保持正增长的示范引领型企业、综合引领型企业和成长引领型企业</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分别给予最高5</w:t>
      </w:r>
      <w:r>
        <w:rPr>
          <w:rFonts w:ascii="仿宋_GB2312" w:hAnsi="仿宋_GB2312" w:eastAsia="仿宋_GB2312" w:cs="仿宋_GB2312"/>
          <w:bCs/>
          <w:color w:val="000000" w:themeColor="text1"/>
          <w:sz w:val="32"/>
          <w:szCs w:val="32"/>
          <w:highlight w:val="none"/>
          <w14:textFill>
            <w14:solidFill>
              <w14:schemeClr w14:val="tx1"/>
            </w14:solidFill>
          </w14:textFill>
        </w:rPr>
        <w:t>000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15</w:t>
      </w:r>
      <w:r>
        <w:rPr>
          <w:rFonts w:ascii="仿宋_GB2312" w:hAnsi="仿宋_GB2312" w:eastAsia="仿宋_GB2312" w:cs="仿宋_GB2312"/>
          <w:bCs/>
          <w:color w:val="000000" w:themeColor="text1"/>
          <w:sz w:val="32"/>
          <w:szCs w:val="32"/>
          <w:highlight w:val="none"/>
          <w14:textFill>
            <w14:solidFill>
              <w14:schemeClr w14:val="tx1"/>
            </w14:solidFill>
          </w14:textFill>
        </w:rPr>
        <w:t>00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万元和</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5</w:t>
      </w:r>
      <w:r>
        <w:rPr>
          <w:rFonts w:ascii="仿宋_GB2312" w:hAnsi="仿宋_GB2312" w:eastAsia="仿宋_GB2312" w:cs="仿宋_GB2312"/>
          <w:bCs/>
          <w:color w:val="000000" w:themeColor="text1"/>
          <w:sz w:val="32"/>
          <w:szCs w:val="32"/>
          <w:highlight w:val="none"/>
          <w14:textFill>
            <w14:solidFill>
              <w14:schemeClr w14:val="tx1"/>
            </w14:solidFill>
          </w14:textFill>
        </w:rPr>
        <w:t>00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营收增长奖励</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对</w:t>
      </w:r>
      <w:r>
        <w:rPr>
          <w:rFonts w:hint="eastAsia" w:ascii="仿宋_GB2312" w:hAnsi="仿宋_GB2312" w:eastAsia="仿宋_GB2312" w:cs="仿宋_GB2312"/>
          <w:color w:val="000000"/>
          <w:sz w:val="32"/>
          <w:szCs w:val="32"/>
        </w:rPr>
        <w:t>引领型企业实际使用外资额超过1000万美元的</w:t>
      </w:r>
      <w:r>
        <w:rPr>
          <w:rFonts w:hint="eastAsia" w:ascii="仿宋_GB2312" w:hAnsi="仿宋_GB2312" w:eastAsia="仿宋_GB2312" w:cs="仿宋_GB2312"/>
          <w:color w:val="000000"/>
          <w:sz w:val="32"/>
          <w:szCs w:val="32"/>
          <w:lang w:val="en-US" w:eastAsia="zh-CN"/>
        </w:rPr>
        <w:t>按</w:t>
      </w:r>
      <w:r>
        <w:rPr>
          <w:rFonts w:ascii="仿宋_GB2312" w:hAnsi="仿宋_GB2312" w:eastAsia="仿宋_GB2312" w:cs="仿宋_GB2312"/>
          <w:color w:val="000000" w:themeColor="text1"/>
          <w:sz w:val="32"/>
          <w:szCs w:val="32"/>
          <w:highlight w:val="none"/>
          <w14:textFill>
            <w14:solidFill>
              <w14:schemeClr w14:val="tx1"/>
            </w14:solidFill>
          </w14:textFill>
        </w:rPr>
        <w:t>实际使用外资额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sz w:val="32"/>
          <w:szCs w:val="32"/>
        </w:rPr>
        <w:t>1.5%给予奖励</w:t>
      </w:r>
      <w:r>
        <w:rPr>
          <w:rFonts w:ascii="仿宋_GB2312" w:hAnsi="仿宋_GB2312" w:eastAsia="仿宋_GB2312" w:cs="仿宋_GB2312"/>
          <w:color w:val="000000" w:themeColor="text1"/>
          <w:sz w:val="32"/>
          <w:szCs w:val="32"/>
          <w:highlight w:val="none"/>
          <w14:textFill>
            <w14:solidFill>
              <w14:schemeClr w14:val="tx1"/>
            </w14:solidFill>
          </w14:textFill>
        </w:rPr>
        <w:t>，单个企业年度最高奖励</w:t>
      </w:r>
      <w:r>
        <w:rPr>
          <w:rFonts w:hint="eastAsia" w:ascii="仿宋_GB2312" w:hAnsi="仿宋_GB2312" w:eastAsia="仿宋_GB2312" w:cs="仿宋_GB2312"/>
          <w:color w:val="000000" w:themeColor="text1"/>
          <w:sz w:val="32"/>
          <w:szCs w:val="32"/>
          <w:highlight w:val="none"/>
          <w14:textFill>
            <w14:solidFill>
              <w14:schemeClr w14:val="tx1"/>
            </w14:solidFill>
          </w14:textFill>
        </w:rPr>
        <w:t>不超过</w:t>
      </w:r>
      <w:r>
        <w:rPr>
          <w:rFonts w:ascii="仿宋_GB2312" w:hAnsi="仿宋_GB2312" w:eastAsia="仿宋_GB2312" w:cs="仿宋_GB2312"/>
          <w:color w:val="000000" w:themeColor="text1"/>
          <w:sz w:val="32"/>
          <w:szCs w:val="32"/>
          <w:highlight w:val="none"/>
          <w14:textFill>
            <w14:solidFill>
              <w14:schemeClr w14:val="tx1"/>
            </w14:solidFill>
          </w14:textFill>
        </w:rPr>
        <w:t>2000万元。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第六条为</w:t>
      </w:r>
      <w:r>
        <w:rPr>
          <w:rFonts w:hint="eastAsia" w:ascii="仿宋_GB2312" w:hAnsi="仿宋_GB2312" w:eastAsia="仿宋_GB2312" w:cs="仿宋_GB2312"/>
          <w:color w:val="000000" w:themeColor="text1"/>
          <w:sz w:val="32"/>
          <w:szCs w:val="32"/>
          <w:highlight w:val="none"/>
          <w14:textFill>
            <w14:solidFill>
              <w14:schemeClr w14:val="tx1"/>
            </w14:solidFill>
          </w14:textFill>
        </w:rPr>
        <w:t>人员聘用扶持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明确</w:t>
      </w:r>
      <w:r>
        <w:rPr>
          <w:rFonts w:hint="eastAsia" w:ascii="仿宋_GB2312" w:hAnsi="仿宋_GB2312" w:eastAsia="仿宋_GB2312" w:cs="仿宋_GB2312"/>
          <w:color w:val="000000"/>
          <w:sz w:val="32"/>
          <w:szCs w:val="32"/>
        </w:rPr>
        <w:t>引领型企业上一年度聘用员工人数超过企业往年聘用员工人数最高值的，每增加10人，给予15万元扶持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单个企业年度扶持最高不超过500万元。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第七条为贷款贴息扶持，明确对于引领型企业向银行贷款用于经营的，按照当期贷款市场报价利率的30%给予贴息扶持，单个企业年度贴息扶持总额不超过2000万元。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第八条为并购奖励，明确引领型企业并购合作区外企业，单个项目并购出资1亿元以上的，按该出资额的1%给予并购奖励，单个企业年度最高奖励1000万元。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第九条为办公用房扶持，明确对引领型企业租赁办公用房的</w:t>
      </w:r>
      <w:r>
        <w:rPr>
          <w:rFonts w:hint="eastAsia" w:ascii="仿宋_GB2312" w:hAnsi="仿宋_GB2312" w:eastAsia="仿宋_GB2312" w:cs="仿宋_GB2312"/>
          <w:bCs/>
          <w:color w:val="000000"/>
          <w:sz w:val="32"/>
          <w:szCs w:val="32"/>
          <w:highlight w:val="none"/>
        </w:rPr>
        <w:t>补贴最高不超过</w:t>
      </w:r>
      <w:r>
        <w:rPr>
          <w:rFonts w:ascii="仿宋_GB2312" w:hAnsi="仿宋_GB2312" w:eastAsia="仿宋_GB2312" w:cs="仿宋_GB2312"/>
          <w:bCs/>
          <w:color w:val="000000"/>
          <w:sz w:val="32"/>
          <w:szCs w:val="32"/>
          <w:highlight w:val="none"/>
        </w:rPr>
        <w:t>60元/平方米/月</w:t>
      </w:r>
      <w:r>
        <w:rPr>
          <w:rFonts w:hint="eastAsia" w:ascii="仿宋_GB2312" w:hAnsi="仿宋_GB2312" w:eastAsia="仿宋_GB2312" w:cs="仿宋_GB2312"/>
          <w:bCs/>
          <w:color w:val="000000"/>
          <w:sz w:val="32"/>
          <w:szCs w:val="32"/>
          <w:highlight w:val="none"/>
        </w:rPr>
        <w:t>且不超过租赁合同约定的租金价格及评估价</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kern w:val="0"/>
          <w:sz w:val="32"/>
          <w:szCs w:val="32"/>
          <w:highlight w:val="none"/>
          <w:u w:val="none"/>
        </w:rPr>
        <w:t>符合条件的澳资企业，补贴最高不超过</w:t>
      </w:r>
      <w:r>
        <w:rPr>
          <w:rFonts w:hint="eastAsia" w:ascii="仿宋_GB2312" w:hAnsi="仿宋_GB2312" w:eastAsia="仿宋_GB2312" w:cs="仿宋_GB2312"/>
          <w:kern w:val="0"/>
          <w:sz w:val="32"/>
          <w:szCs w:val="32"/>
          <w:highlight w:val="none"/>
          <w:u w:val="none"/>
          <w:lang w:val="en-US" w:eastAsia="zh-CN"/>
        </w:rPr>
        <w:t>7</w:t>
      </w:r>
      <w:r>
        <w:rPr>
          <w:rFonts w:hint="eastAsia" w:ascii="仿宋_GB2312" w:hAnsi="仿宋_GB2312" w:eastAsia="仿宋_GB2312" w:cs="仿宋_GB2312"/>
          <w:kern w:val="0"/>
          <w:sz w:val="32"/>
          <w:szCs w:val="32"/>
          <w:highlight w:val="none"/>
          <w:u w:val="none"/>
        </w:rPr>
        <w:t>0元/平方米/月且不超过租赁合同约定的租金价格及评估价</w:t>
      </w:r>
      <w:r>
        <w:rPr>
          <w:rFonts w:hint="eastAsia" w:ascii="仿宋_GB2312" w:hAnsi="仿宋_GB2312" w:eastAsia="仿宋_GB2312" w:cs="仿宋_GB2312"/>
          <w:kern w:val="0"/>
          <w:sz w:val="32"/>
          <w:szCs w:val="32"/>
          <w:highlight w:val="none"/>
          <w:u w:val="none"/>
          <w:lang w:eastAsia="zh-CN"/>
        </w:rPr>
        <w:t>；</w:t>
      </w:r>
      <w:r>
        <w:rPr>
          <w:rFonts w:hint="eastAsia" w:ascii="仿宋_GB2312" w:hAnsi="仿宋_GB2312" w:eastAsia="仿宋_GB2312" w:cs="仿宋_GB2312"/>
          <w:bCs/>
          <w:color w:val="000000"/>
          <w:sz w:val="32"/>
          <w:szCs w:val="32"/>
          <w:highlight w:val="none"/>
        </w:rPr>
        <w:t>每家企业年度租金补贴金额不超过</w:t>
      </w:r>
      <w:r>
        <w:rPr>
          <w:rFonts w:ascii="仿宋_GB2312" w:hAnsi="仿宋_GB2312" w:eastAsia="仿宋_GB2312" w:cs="仿宋_GB2312"/>
          <w:bCs/>
          <w:color w:val="000000"/>
          <w:sz w:val="32"/>
          <w:szCs w:val="32"/>
          <w:highlight w:val="none"/>
        </w:rPr>
        <w:t>500万元，</w:t>
      </w:r>
      <w:r>
        <w:rPr>
          <w:rFonts w:hint="eastAsia" w:ascii="仿宋_GB2312" w:hAnsi="仿宋_GB2312" w:eastAsia="仿宋_GB2312" w:cs="仿宋_GB2312"/>
          <w:sz w:val="32"/>
          <w:szCs w:val="32"/>
          <w:highlight w:val="none"/>
          <w:u w:val="none"/>
          <w:lang w:val="en-US" w:eastAsia="zh-CN"/>
        </w:rPr>
        <w:t>对</w:t>
      </w:r>
      <w:r>
        <w:rPr>
          <w:rFonts w:hint="eastAsia" w:ascii="仿宋_GB2312" w:hAnsi="仿宋_GB2312" w:eastAsia="仿宋_GB2312" w:cs="仿宋_GB2312"/>
          <w:sz w:val="32"/>
          <w:szCs w:val="32"/>
          <w:highlight w:val="none"/>
          <w:u w:val="none"/>
        </w:rPr>
        <w:t>同一企业</w:t>
      </w:r>
      <w:r>
        <w:rPr>
          <w:rFonts w:hint="eastAsia" w:ascii="仿宋_GB2312" w:hAnsi="仿宋_GB2312" w:eastAsia="仿宋_GB2312" w:cs="仿宋_GB2312"/>
          <w:sz w:val="32"/>
          <w:szCs w:val="32"/>
          <w:highlight w:val="none"/>
          <w:u w:val="none"/>
          <w:lang w:val="en-US" w:eastAsia="zh-CN"/>
        </w:rPr>
        <w:t>最多可连续补贴</w:t>
      </w:r>
      <w:r>
        <w:rPr>
          <w:rFonts w:hint="default" w:ascii="Times New Roman" w:hAnsi="Times New Roman" w:eastAsia="仿宋_GB2312" w:cs="Times New Roman"/>
          <w:bCs w:val="0"/>
          <w:sz w:val="32"/>
          <w:szCs w:val="32"/>
          <w:highlight w:val="none"/>
          <w:u w:val="none"/>
        </w:rPr>
        <w:t>36</w:t>
      </w:r>
      <w:r>
        <w:rPr>
          <w:rFonts w:hint="eastAsia" w:ascii="仿宋_GB2312" w:hAnsi="仿宋_GB2312" w:eastAsia="仿宋_GB2312" w:cs="仿宋_GB2312"/>
          <w:bCs/>
          <w:sz w:val="32"/>
          <w:szCs w:val="32"/>
          <w:highlight w:val="none"/>
          <w:u w:val="none"/>
        </w:rPr>
        <w:t>个月</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引领型企业购置办公用房按购房金额的20%给予补贴，单个企业补贴总金额最高2000万元。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第十条为世界500强总部落户扶持，明确世界500强企业总部落户</w:t>
      </w:r>
      <w:r>
        <w:rPr>
          <w:rFonts w:hint="eastAsia" w:ascii="仿宋_GB2312" w:hAnsi="仿宋_GB2312" w:eastAsia="仿宋_GB2312" w:cs="仿宋_GB2312"/>
          <w:bCs/>
          <w:color w:val="000000"/>
          <w:sz w:val="32"/>
          <w:szCs w:val="32"/>
          <w:highlight w:val="none"/>
        </w:rPr>
        <w:t>且在合作区实质性运营</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，给予2亿元扶持。</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第十一条为</w:t>
      </w:r>
      <w:r>
        <w:rPr>
          <w:rFonts w:hint="eastAsia" w:ascii="仿宋_GB2312" w:hAnsi="仿宋_GB2312" w:eastAsia="仿宋_GB2312" w:cs="仿宋_GB2312"/>
          <w:color w:val="000000" w:themeColor="text1"/>
          <w:sz w:val="32"/>
          <w:szCs w:val="32"/>
          <w:highlight w:val="none"/>
          <w14:textFill>
            <w14:solidFill>
              <w14:schemeClr w14:val="tx1"/>
            </w14:solidFill>
          </w14:textFill>
        </w:rPr>
        <w:t>澳资企业扶持标准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明确</w:t>
      </w:r>
      <w:r>
        <w:rPr>
          <w:rFonts w:hint="eastAsia" w:ascii="仿宋_GB2312" w:hAnsi="仿宋_GB2312" w:eastAsia="仿宋_GB2312" w:cs="仿宋_GB2312"/>
          <w:color w:val="000000" w:themeColor="text1"/>
          <w:sz w:val="32"/>
          <w:szCs w:val="32"/>
          <w14:textFill>
            <w14:solidFill>
              <w14:schemeClr w14:val="tx1"/>
            </w14:solidFill>
          </w14:textFill>
        </w:rPr>
        <w:t>引领型企业为澳资企业的，</w:t>
      </w:r>
      <w:r>
        <w:rPr>
          <w:rFonts w:hint="eastAsia" w:ascii="仿宋_GB2312" w:hAnsi="仿宋_GB2312" w:eastAsia="仿宋_GB2312" w:cs="仿宋_GB2312"/>
          <w:color w:val="000000"/>
          <w:sz w:val="32"/>
          <w:szCs w:val="32"/>
          <w:highlight w:val="none"/>
          <w:shd w:val="clear" w:color="auto" w:fill="FFFFFF"/>
          <w:lang w:val="en-US" w:eastAsia="zh-CN"/>
        </w:rPr>
        <w:t>除本办法另有规定外，</w:t>
      </w:r>
      <w:r>
        <w:rPr>
          <w:rFonts w:hint="eastAsia" w:ascii="仿宋_GB2312" w:hAnsi="仿宋_GB2312" w:eastAsia="仿宋_GB2312" w:cs="仿宋_GB2312"/>
          <w:color w:val="000000" w:themeColor="text1"/>
          <w:sz w:val="32"/>
          <w:szCs w:val="32"/>
          <w14:textFill>
            <w14:solidFill>
              <w14:schemeClr w14:val="tx1"/>
            </w14:solidFill>
          </w14:textFill>
        </w:rPr>
        <w:t>奖励和扶持标准按照既定标准的</w:t>
      </w:r>
      <w:r>
        <w:rPr>
          <w:rFonts w:ascii="仿宋_GB2312" w:hAnsi="仿宋_GB2312" w:eastAsia="仿宋_GB2312" w:cs="仿宋_GB2312"/>
          <w:color w:val="000000" w:themeColor="text1"/>
          <w:sz w:val="32"/>
          <w:szCs w:val="32"/>
          <w14:textFill>
            <w14:solidFill>
              <w14:schemeClr w14:val="tx1"/>
            </w14:solidFill>
          </w14:textFill>
        </w:rPr>
        <w:t>1.2倍执行。</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第十二条为</w:t>
      </w:r>
      <w:r>
        <w:rPr>
          <w:rFonts w:hint="eastAsia" w:ascii="仿宋_GB2312" w:hAnsi="仿宋_GB2312" w:eastAsia="仿宋_GB2312" w:cs="仿宋_GB2312"/>
          <w:color w:val="000000" w:themeColor="text1"/>
          <w:sz w:val="32"/>
          <w:szCs w:val="32"/>
          <w:highlight w:val="none"/>
          <w14:textFill>
            <w14:solidFill>
              <w14:schemeClr w14:val="tx1"/>
            </w14:solidFill>
          </w14:textFill>
        </w:rPr>
        <w:t>配套服务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明确为</w:t>
      </w:r>
      <w:r>
        <w:rPr>
          <w:rFonts w:ascii="仿宋_GB2312" w:hAnsi="仿宋_GB2312" w:eastAsia="仿宋_GB2312" w:cs="仿宋_GB2312"/>
          <w:color w:val="000000" w:themeColor="text1"/>
          <w:sz w:val="32"/>
          <w:szCs w:val="32"/>
          <w:highlight w:val="none"/>
          <w14:textFill>
            <w14:solidFill>
              <w14:schemeClr w14:val="tx1"/>
            </w14:solidFill>
          </w14:textFill>
        </w:rPr>
        <w:t>引领型企业及其高管、高端人才提供相关的企业和人才便利服务；提出组建引领型企业服务团队，助力企业在合作区更快、更好发展。</w:t>
      </w:r>
    </w:p>
    <w:p>
      <w:pPr>
        <w:keepNext w:val="0"/>
        <w:keepLines w:val="0"/>
        <w:pageBreakBefore w:val="0"/>
        <w:widowControl/>
        <w:shd w:val="clear" w:color="auto" w:fill="FFFFFF"/>
        <w:kinsoku/>
        <w:wordWrap/>
        <w:overflowPunct/>
        <w:topLinePunct w:val="0"/>
        <w:autoSpaceDE/>
        <w:autoSpaceDN/>
        <w:bidi w:val="0"/>
        <w:adjustRightInd w:val="0"/>
        <w:snapToGrid w:val="0"/>
        <w:spacing w:line="579" w:lineRule="exact"/>
        <w:ind w:firstLine="640" w:firstLineChars="200"/>
        <w:jc w:val="left"/>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第十三条为</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资金管理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明确</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合作区每年在预算中安排设立引领型企业发展扶持资金，鼓励扶持引领型企业发展壮大。奖励和扶持资金应当优先用于有利于企业提升能级的生产经营活动。</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default"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第十四条为</w:t>
      </w:r>
      <w:r>
        <w:rPr>
          <w:rFonts w:hint="eastAsia" w:ascii="仿宋_GB2312" w:hAnsi="仿宋_GB2312" w:eastAsia="仿宋_GB2312" w:cs="仿宋_GB2312"/>
          <w:color w:val="000000" w:themeColor="text1"/>
          <w:sz w:val="32"/>
          <w:szCs w:val="32"/>
          <w:highlight w:val="none"/>
          <w14:textFill>
            <w14:solidFill>
              <w14:schemeClr w14:val="tx1"/>
            </w14:solidFill>
          </w14:textFill>
        </w:rPr>
        <w:t>其它说明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明确</w:t>
      </w:r>
      <w:r>
        <w:rPr>
          <w:rFonts w:hint="eastAsia" w:ascii="仿宋_GB2312" w:hAnsi="仿宋_GB2312" w:eastAsia="仿宋_GB2312" w:cs="仿宋_GB2312"/>
          <w:sz w:val="32"/>
          <w:szCs w:val="32"/>
          <w:lang w:val="en-US" w:eastAsia="zh-CN"/>
        </w:rPr>
        <w:t>《扶持办法》</w:t>
      </w:r>
      <w:r>
        <w:rPr>
          <w:rFonts w:hint="eastAsia" w:ascii="仿宋_GB2312" w:hAnsi="仿宋_GB2312" w:eastAsia="仿宋_GB2312" w:cs="仿宋_GB2312"/>
          <w:color w:val="000000" w:themeColor="text1"/>
          <w:sz w:val="32"/>
          <w:szCs w:val="32"/>
          <w:highlight w:val="none"/>
          <w14:textFill>
            <w14:solidFill>
              <w14:schemeClr w14:val="tx1"/>
            </w14:solidFill>
          </w14:textFill>
        </w:rPr>
        <w:t>与广东省、合作区其它扶持政策相关规定有重复、交叉的，除另有规定外，按照从优、从高、不重复的原则予以支持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明确</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除</w:t>
      </w:r>
      <w:r>
        <w:rPr>
          <w:rFonts w:hint="eastAsia" w:ascii="仿宋_GB2312" w:hAnsi="仿宋_GB2312" w:eastAsia="仿宋_GB2312" w:cs="仿宋_GB2312"/>
          <w:sz w:val="32"/>
          <w:szCs w:val="32"/>
          <w:lang w:val="en-US" w:eastAsia="zh-CN"/>
        </w:rPr>
        <w:t>《扶持办法》</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第十条规定扶持外，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可享受的奖励和扶持资金总额不超过该企业上一年度在合作区留存的经济贡献</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明确</w:t>
      </w:r>
      <w:r>
        <w:rPr>
          <w:rFonts w:hint="eastAsia" w:ascii="仿宋_GB2312" w:hAnsi="仿宋_GB2312" w:eastAsia="仿宋_GB2312" w:cs="仿宋_GB2312"/>
          <w:color w:val="000000" w:themeColor="text1"/>
          <w:sz w:val="32"/>
          <w:szCs w:val="32"/>
          <w:highlight w:val="none"/>
          <w14:textFill>
            <w14:solidFill>
              <w14:schemeClr w14:val="tx1"/>
            </w14:solidFill>
          </w14:textFill>
        </w:rPr>
        <w:t>经金融监管部门审批设立或经合作区金融发展局认定的金融企业和金融类企业不适用</w:t>
      </w:r>
      <w:r>
        <w:rPr>
          <w:rFonts w:hint="eastAsia" w:ascii="仿宋_GB2312" w:hAnsi="仿宋_GB2312" w:eastAsia="仿宋_GB2312" w:cs="仿宋_GB2312"/>
          <w:sz w:val="32"/>
          <w:szCs w:val="32"/>
          <w:lang w:val="en-US" w:eastAsia="zh-CN"/>
        </w:rPr>
        <w:t>《扶持办法》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明确企业的其它义务和要求。</w:t>
      </w:r>
    </w:p>
    <w:p>
      <w:pPr>
        <w:pStyle w:val="4"/>
        <w:keepNext w:val="0"/>
        <w:keepLines w:val="0"/>
        <w:pageBreakBefore w:val="0"/>
        <w:kinsoku/>
        <w:wordWrap/>
        <w:overflowPunct/>
        <w:topLinePunct w:val="0"/>
        <w:autoSpaceDE/>
        <w:autoSpaceDN/>
        <w:bidi w:val="0"/>
        <w:spacing w:line="579" w:lineRule="exact"/>
        <w:ind w:firstLine="640" w:firstLineChars="200"/>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第十五条为</w:t>
      </w:r>
      <w:r>
        <w:rPr>
          <w:rFonts w:hint="eastAsia" w:ascii="仿宋_GB2312" w:hAnsi="仿宋_GB2312" w:eastAsia="仿宋_GB2312" w:cs="仿宋_GB2312"/>
          <w:color w:val="000000" w:themeColor="text1"/>
          <w:sz w:val="32"/>
          <w:szCs w:val="32"/>
          <w:highlight w:val="none"/>
          <w14:textFill>
            <w14:solidFill>
              <w14:schemeClr w14:val="tx1"/>
            </w14:solidFill>
          </w14:textFill>
        </w:rPr>
        <w:t>名词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定义，</w:t>
      </w:r>
      <w:r>
        <w:rPr>
          <w:rFonts w:hint="eastAsia" w:ascii="仿宋_GB2312" w:hAnsi="仿宋_GB2312" w:eastAsia="仿宋_GB2312" w:cs="仿宋_GB2312"/>
          <w:sz w:val="32"/>
          <w:szCs w:val="32"/>
          <w:lang w:val="en-US" w:eastAsia="zh-CN"/>
        </w:rPr>
        <w:t>明确了</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“办公用房”</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“经济贡献”</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“营业收入”</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“世界</w:t>
      </w:r>
      <w:r>
        <w:rPr>
          <w:rFonts w:ascii="仿宋_GB2312" w:hAnsi="仿宋_GB2312" w:eastAsia="仿宋_GB2312" w:cs="仿宋_GB2312"/>
          <w:bCs/>
          <w:color w:val="000000" w:themeColor="text1"/>
          <w:sz w:val="32"/>
          <w:szCs w:val="32"/>
          <w:highlight w:val="none"/>
          <w14:textFill>
            <w14:solidFill>
              <w14:schemeClr w14:val="tx1"/>
            </w14:solidFill>
          </w14:textFill>
        </w:rPr>
        <w:t>500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强企业”</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TW"/>
          <w14:textFill>
            <w14:solidFill>
              <w14:schemeClr w14:val="tx1"/>
            </w14:solidFill>
          </w14:textFill>
        </w:rPr>
        <w:t>“澳资企业”</w:t>
      </w:r>
      <w:r>
        <w:rPr>
          <w:rFonts w:hint="eastAsia" w:ascii="Times New Roman" w:hAnsi="Times New Roman" w:eastAsia="仿宋_GB2312" w:cs="Times New Roman"/>
          <w:color w:val="000000"/>
          <w:sz w:val="32"/>
          <w:szCs w:val="32"/>
          <w:highlight w:val="none"/>
          <w:lang w:val="en-US" w:eastAsia="zh-CN"/>
        </w:rPr>
        <w:t>等用词定义</w:t>
      </w:r>
      <w:r>
        <w:rPr>
          <w:rFonts w:hint="eastAsia" w:ascii="仿宋_GB2312" w:hAnsi="仿宋_GB2312" w:eastAsia="仿宋_GB2312" w:cs="仿宋_GB2312"/>
          <w:sz w:val="32"/>
          <w:szCs w:val="32"/>
          <w:lang w:val="en-US" w:eastAsia="zh-CN"/>
        </w:rPr>
        <w:t>，同时规定《扶持办法》</w:t>
      </w:r>
      <w:r>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t>所指金额的币种，除明确写明“美元”外，其他均为人民币。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第十六条为</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施行日期和有效期，</w:t>
      </w:r>
      <w:r>
        <w:rPr>
          <w:rFonts w:hint="eastAsia" w:ascii="仿宋_GB2312" w:hAnsi="仿宋_GB2312" w:eastAsia="仿宋_GB2312" w:cs="仿宋_GB2312"/>
          <w:sz w:val="32"/>
          <w:szCs w:val="32"/>
          <w:lang w:val="en-US" w:eastAsia="zh-CN"/>
        </w:rPr>
        <w:t>明确了《扶持办法》的施行日期、有效期和解释部门。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sz w:val="32"/>
          <w:szCs w:val="32"/>
          <w:lang w:val="en-US" w:eastAsia="zh-CN"/>
        </w:rPr>
        <w:t>三、</w:t>
      </w:r>
      <w:r>
        <w:rPr>
          <w:rFonts w:hint="eastAsia" w:ascii="黑体" w:hAnsi="黑体" w:eastAsia="黑体" w:cs="黑体"/>
          <w:b w:val="0"/>
          <w:bCs w:val="0"/>
          <w:kern w:val="2"/>
          <w:sz w:val="32"/>
          <w:szCs w:val="32"/>
          <w:lang w:val="en-US" w:eastAsia="zh-CN" w:bidi="ar-SA"/>
        </w:rPr>
        <w:t>企业是否可以叠加享受企业所得税优惠政策和《扶持办法》规定的扶持？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可以。如企业符合合作区企业所得税优惠政策，其减按15%的税率缴纳企业所得税后，只要</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按相应所属期计算</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的年度经济贡献达到500万以上，即可认定为引领型企业，企业可以享受</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扶持办法》规定的扶持。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四、企业经济贡献是如何计算的？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扶持办法》所指的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“经济贡献”</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default" w:ascii="仿宋_GB2312" w:hAnsi="仿宋_GB2312" w:eastAsia="仿宋_GB2312" w:cs="仿宋_GB2312"/>
          <w:bCs w:val="0"/>
          <w:color w:val="000000"/>
          <w:sz w:val="32"/>
          <w:szCs w:val="32"/>
          <w:highlight w:val="none"/>
          <w:lang w:val="zh-TW" w:eastAsia="zh-TW"/>
        </w:rPr>
        <w:t>是指每年在合作区的增值收入、企业年度所得，以及购买境外企业提供的</w:t>
      </w:r>
      <w:r>
        <w:rPr>
          <w:rFonts w:hint="eastAsia" w:ascii="仿宋_GB2312" w:hAnsi="仿宋_GB2312" w:eastAsia="仿宋_GB2312" w:cs="仿宋_GB2312"/>
          <w:bCs w:val="0"/>
          <w:color w:val="000000"/>
          <w:sz w:val="32"/>
          <w:szCs w:val="32"/>
          <w:highlight w:val="none"/>
          <w:lang w:val="en-US" w:eastAsia="zh-CN"/>
        </w:rPr>
        <w:t>产品</w:t>
      </w:r>
      <w:r>
        <w:rPr>
          <w:rFonts w:hint="default" w:ascii="仿宋_GB2312" w:hAnsi="仿宋_GB2312" w:eastAsia="仿宋_GB2312" w:cs="仿宋_GB2312"/>
          <w:bCs w:val="0"/>
          <w:color w:val="000000"/>
          <w:sz w:val="32"/>
          <w:szCs w:val="32"/>
          <w:highlight w:val="none"/>
          <w:lang w:val="zh-TW" w:eastAsia="zh-TW"/>
        </w:rPr>
        <w:t>、服务及知识产权而代扣代缴境外企业所得、增值收入形成的直接经济贡献总额（不含因在合作区购买土地及在购买土地上新建不动产进行销售或出租而形成的直接经济贡献）。企业年度经济贡献按相应所属期计算</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五、企业可享受的奖励扶持金额如何计算？</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如某企业2021年末在合作区成立，当年经济贡献和营收均为零。该企业2022年度经济贡献5000万元，在合作区留存部分为1100万元，营收4亿元，新增在合作区实际办公的员工40人，以低于LPR的贷款利率实际支出银行贷款利息600万元，以80元/平方米/月的价格租赁办公用房1000平方米。</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理论上该企业在2023年度可按照《扶持办法》申请2022年度的奖励扶持如下：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1.运营扶持：</w:t>
      </w:r>
      <w:r>
        <w:rPr>
          <w:rFonts w:hint="eastAsia" w:ascii="仿宋_GB2312" w:hAnsi="仿宋_GB2312" w:eastAsia="仿宋_GB2312" w:cs="仿宋_GB2312"/>
          <w:kern w:val="2"/>
          <w:sz w:val="32"/>
          <w:szCs w:val="32"/>
          <w:highlight w:val="none"/>
          <w:lang w:val="en-US" w:eastAsia="zh-CN" w:bidi="ar-SA"/>
        </w:rPr>
        <w:t>企业符合综合引领型企业标准，扶持600万元；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2.营收奖励：</w:t>
      </w:r>
      <w:r>
        <w:rPr>
          <w:rFonts w:ascii="仿宋_GB2312" w:hAnsi="仿宋_GB2312" w:eastAsia="仿宋_GB2312" w:cs="仿宋_GB2312"/>
          <w:color w:val="000000" w:themeColor="text1"/>
          <w:sz w:val="32"/>
          <w:szCs w:val="32"/>
          <w:highlight w:val="none"/>
          <w14:textFill>
            <w14:solidFill>
              <w14:schemeClr w14:val="tx1"/>
            </w14:solidFill>
          </w14:textFill>
        </w:rPr>
        <w:t>以年度营业收入3亿元为基数，年度营业收入每增加1000万元，给予20万元奖励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计算，共</w:t>
      </w:r>
      <w:r>
        <w:rPr>
          <w:rFonts w:hint="eastAsia" w:ascii="仿宋_GB2312" w:hAnsi="仿宋_GB2312" w:eastAsia="仿宋_GB2312" w:cs="仿宋_GB2312"/>
          <w:kern w:val="2"/>
          <w:sz w:val="32"/>
          <w:szCs w:val="32"/>
          <w:highlight w:val="none"/>
          <w:lang w:val="en-US" w:eastAsia="zh-CN" w:bidi="ar-SA"/>
        </w:rPr>
        <w:t>200万元；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3.人员聘用扶持：</w:t>
      </w:r>
      <w:r>
        <w:rPr>
          <w:rFonts w:hint="eastAsia" w:ascii="仿宋_GB2312" w:hAnsi="仿宋_GB2312" w:eastAsia="仿宋_GB2312" w:cs="仿宋_GB2312"/>
          <w:kern w:val="2"/>
          <w:sz w:val="32"/>
          <w:szCs w:val="32"/>
          <w:highlight w:val="none"/>
          <w:lang w:val="en-US" w:eastAsia="zh-CN" w:bidi="ar-SA"/>
        </w:rPr>
        <w:t>按每增加10人，给予15万元扶持计算，共60万元；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4.贷款贴息扶持：</w:t>
      </w:r>
      <w:r>
        <w:rPr>
          <w:rFonts w:hint="eastAsia" w:ascii="仿宋_GB2312" w:hAnsi="仿宋_GB2312" w:eastAsia="仿宋_GB2312" w:cs="仿宋_GB2312"/>
          <w:kern w:val="2"/>
          <w:sz w:val="32"/>
          <w:szCs w:val="32"/>
          <w:highlight w:val="none"/>
          <w:lang w:val="en-US" w:eastAsia="zh-CN" w:bidi="ar-SA"/>
        </w:rPr>
        <w:t>贷款利率低于LPR的，按实际利率的30%予以贴息扶持计算，共200万元；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5.办公用房租金补贴：</w:t>
      </w:r>
      <w:r>
        <w:rPr>
          <w:rFonts w:hint="eastAsia" w:ascii="仿宋_GB2312" w:hAnsi="仿宋_GB2312" w:eastAsia="仿宋_GB2312" w:cs="仿宋_GB2312"/>
          <w:b w:val="0"/>
          <w:bCs w:val="0"/>
          <w:kern w:val="2"/>
          <w:sz w:val="32"/>
          <w:szCs w:val="32"/>
          <w:highlight w:val="none"/>
          <w:lang w:val="en-US" w:eastAsia="zh-CN" w:bidi="ar-SA"/>
        </w:rPr>
        <w:t>按</w:t>
      </w:r>
      <w:r>
        <w:rPr>
          <w:rFonts w:hint="eastAsia" w:ascii="仿宋_GB2312" w:hAnsi="仿宋_GB2312" w:eastAsia="仿宋_GB2312" w:cs="仿宋_GB2312"/>
          <w:kern w:val="2"/>
          <w:sz w:val="32"/>
          <w:szCs w:val="32"/>
          <w:highlight w:val="none"/>
          <w:lang w:val="en-US" w:eastAsia="zh-CN" w:bidi="ar-SA"/>
        </w:rPr>
        <w:t>补贴标准最高不超过60元/平方米/月、人均最高不超过15平方米，按租赁12个月计算，共43.2万元。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上述合计1103.2万元。因该企业2022年度在合作区留存部分为1100万元，根据《扶持办法》第十四条规定“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除本办法第十条规定扶持外，</w:t>
      </w:r>
      <w:r>
        <w:rPr>
          <w:rFonts w:hint="eastAsia" w:ascii="仿宋_GB2312" w:hAnsi="仿宋_GB2312" w:eastAsia="仿宋_GB2312" w:cs="仿宋_GB2312"/>
          <w:color w:val="000000" w:themeColor="text1"/>
          <w:sz w:val="32"/>
          <w:szCs w:val="32"/>
          <w:highlight w:val="none"/>
          <w14:textFill>
            <w14:solidFill>
              <w14:schemeClr w14:val="tx1"/>
            </w14:solidFill>
          </w14:textFill>
        </w:rPr>
        <w:t>引领型</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企业按照本办法可享受的奖励和扶持资金总额不超过该企业上一年度在合作区留存的经济贡献</w:t>
      </w:r>
      <w:r>
        <w:rPr>
          <w:rFonts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2"/>
          <w:sz w:val="32"/>
          <w:szCs w:val="32"/>
          <w:highlight w:val="none"/>
          <w:lang w:val="en-US" w:eastAsia="zh-CN" w:bidi="ar-SA"/>
        </w:rPr>
        <w:t>企业实际可享受的奖励扶持金额为1100万元。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六、《扶持办法》对澳资企业有什么特殊的扶持措施？</w:t>
      </w:r>
    </w:p>
    <w:p>
      <w:pPr>
        <w:adjustRightInd w:val="0"/>
        <w:snapToGrid w:val="0"/>
        <w:spacing w:line="579" w:lineRule="exact"/>
        <w:ind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为</w:t>
      </w:r>
      <w:r>
        <w:rPr>
          <w:rFonts w:hint="eastAsia" w:ascii="仿宋_GB2312" w:hAnsi="仿宋_GB2312" w:eastAsia="仿宋_GB2312" w:cs="仿宋_GB2312"/>
          <w:bCs/>
          <w:color w:val="000000" w:themeColor="text1"/>
          <w:sz w:val="32"/>
          <w:szCs w:val="32"/>
          <w:highlight w:val="none"/>
          <w:lang w:val="zh-TW"/>
          <w14:textFill>
            <w14:solidFill>
              <w14:schemeClr w14:val="tx1"/>
            </w14:solidFill>
          </w14:textFill>
        </w:rPr>
        <w:t>吸引更多海</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内</w:t>
      </w:r>
      <w:r>
        <w:rPr>
          <w:rFonts w:hint="eastAsia" w:ascii="仿宋_GB2312" w:hAnsi="仿宋_GB2312" w:eastAsia="仿宋_GB2312" w:cs="仿宋_GB2312"/>
          <w:bCs/>
          <w:color w:val="000000" w:themeColor="text1"/>
          <w:sz w:val="32"/>
          <w:szCs w:val="32"/>
          <w:highlight w:val="none"/>
          <w:lang w:val="zh-TW"/>
          <w14:textFill>
            <w14:solidFill>
              <w14:schemeClr w14:val="tx1"/>
            </w14:solidFill>
          </w14:textFill>
        </w:rPr>
        <w:t>外投资者使用</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澳门特别行政区</w:t>
      </w:r>
      <w:r>
        <w:rPr>
          <w:rFonts w:hint="eastAsia" w:ascii="仿宋_GB2312" w:hAnsi="仿宋_GB2312" w:eastAsia="仿宋_GB2312" w:cs="仿宋_GB2312"/>
          <w:bCs/>
          <w:color w:val="000000" w:themeColor="text1"/>
          <w:sz w:val="32"/>
          <w:szCs w:val="32"/>
          <w:highlight w:val="none"/>
          <w:lang w:val="zh-TW"/>
          <w14:textFill>
            <w14:solidFill>
              <w14:schemeClr w14:val="tx1"/>
            </w14:solidFill>
          </w14:textFill>
        </w:rPr>
        <w:t>作为平台投资到横琴深合区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，体现</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澳门特别行政区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平台优势，《扶持办法》明确引领型企业为澳资企业的，奖励和扶持标准按照既定标准的1.2倍执行。《扶持办法》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明确</w:t>
      </w:r>
      <w:r>
        <w:rPr>
          <w:rFonts w:hint="eastAsia" w:ascii="仿宋_GB2312" w:hAnsi="仿宋_GB2312" w:eastAsia="仿宋_GB2312" w:cs="仿宋_GB2312"/>
          <w:color w:val="000000" w:themeColor="text1"/>
          <w:sz w:val="32"/>
          <w:szCs w:val="32"/>
          <w:highlight w:val="none"/>
          <w:lang w:val="zh-TW"/>
          <w14:textFill>
            <w14:solidFill>
              <w14:schemeClr w14:val="tx1"/>
            </w14:solidFill>
          </w14:textFill>
        </w:rPr>
        <w:t>“澳资企业”是指投资人应为</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澳门特别行政区居民</w:t>
      </w:r>
      <w:r>
        <w:rPr>
          <w:rFonts w:hint="eastAsia" w:ascii="仿宋_GB2312" w:hAnsi="仿宋_GB2312" w:eastAsia="仿宋_GB2312" w:cs="仿宋_GB2312"/>
          <w:color w:val="000000" w:themeColor="text1"/>
          <w:sz w:val="32"/>
          <w:szCs w:val="32"/>
          <w:highlight w:val="none"/>
          <w:lang w:val="zh-TW"/>
          <w14:textFill>
            <w14:solidFill>
              <w14:schemeClr w14:val="tx1"/>
            </w14:solidFill>
          </w14:textFill>
        </w:rPr>
        <w:t>或者</w:t>
      </w:r>
      <w:bookmarkStart w:id="0" w:name="_Hlk97646865"/>
      <w:r>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澳门特别行政区</w:t>
      </w:r>
      <w:r>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t>依法设立</w:t>
      </w:r>
      <w:r>
        <w:rPr>
          <w:rFonts w:hint="eastAsia" w:ascii="仿宋_GB2312" w:hAnsi="仿宋_GB2312" w:eastAsia="仿宋_GB2312" w:cs="仿宋_GB2312"/>
          <w:bCs/>
          <w:color w:val="000000" w:themeColor="text1"/>
          <w:sz w:val="32"/>
          <w:szCs w:val="32"/>
          <w:highlight w:val="none"/>
          <w:lang w:val="zh-TW" w:eastAsia="zh-TW"/>
          <w14:textFill>
            <w14:solidFill>
              <w14:schemeClr w14:val="tx1"/>
            </w14:solidFill>
          </w14:textFill>
        </w:rPr>
        <w:t>的法人组织</w:t>
      </w:r>
      <w:r>
        <w:rPr>
          <w:rFonts w:ascii="仿宋_GB2312" w:hAnsi="仿宋_GB2312" w:eastAsia="仿宋_GB2312" w:cs="仿宋_GB2312"/>
          <w:bCs/>
          <w:color w:val="000000" w:themeColor="text1"/>
          <w:sz w:val="32"/>
          <w:szCs w:val="32"/>
          <w:highlight w:val="none"/>
          <w:lang w:val="zh-TW" w:eastAsia="zh-TW"/>
          <w14:textFill>
            <w14:solidFill>
              <w14:schemeClr w14:val="tx1"/>
            </w14:solidFill>
          </w14:textFill>
        </w:rPr>
        <w:t>/非法人专业服务机构</w:t>
      </w:r>
      <w:bookmarkEnd w:id="0"/>
      <w:r>
        <w:rPr>
          <w:rFonts w:hint="eastAsia" w:ascii="仿宋_GB2312" w:hAnsi="仿宋_GB2312" w:eastAsia="仿宋_GB2312" w:cs="仿宋_GB2312"/>
          <w:bCs/>
          <w:color w:val="000000" w:themeColor="text1"/>
          <w:sz w:val="32"/>
          <w:szCs w:val="32"/>
          <w:highlight w:val="none"/>
          <w:lang w:val="zh-TW"/>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TW"/>
          <w14:textFill>
            <w14:solidFill>
              <w14:schemeClr w14:val="tx1"/>
            </w14:solidFill>
          </w14:textFill>
        </w:rPr>
        <w:t>且</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持股比例</w:t>
      </w:r>
      <w:r>
        <w:rPr>
          <w:rFonts w:hint="eastAsia" w:ascii="仿宋_GB2312" w:hAnsi="仿宋_GB2312" w:eastAsia="仿宋_GB2312" w:cs="仿宋_GB2312"/>
          <w:color w:val="000000" w:themeColor="text1"/>
          <w:sz w:val="32"/>
          <w:szCs w:val="32"/>
          <w:highlight w:val="none"/>
          <w14:textFill>
            <w14:solidFill>
              <w14:schemeClr w14:val="tx1"/>
            </w14:solidFill>
          </w14:textFill>
        </w:rPr>
        <w:t>不低于</w:t>
      </w:r>
      <w:r>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t>25%</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《扶持办法》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对作为</w:t>
      </w:r>
      <w:r>
        <w:rPr>
          <w:rFonts w:hint="eastAsia" w:ascii="仿宋_GB2312" w:hAnsi="仿宋_GB2312" w:eastAsia="仿宋_GB2312" w:cs="仿宋_GB2312"/>
          <w:color w:val="000000" w:themeColor="text1"/>
          <w:sz w:val="32"/>
          <w:szCs w:val="32"/>
          <w:highlight w:val="none"/>
          <w:lang w:val="zh-TW"/>
          <w14:textFill>
            <w14:solidFill>
              <w14:schemeClr w14:val="tx1"/>
            </w14:solidFill>
          </w14:textFill>
        </w:rPr>
        <w:t>“澳资企业”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投资人</w:t>
      </w:r>
      <w:r>
        <w:rPr>
          <w:rFonts w:hint="eastAsia" w:ascii="仿宋_GB2312" w:hAnsi="仿宋_GB2312" w:eastAsia="仿宋_GB2312" w:cs="仿宋_GB2312"/>
          <w:bCs/>
          <w:color w:val="000000" w:themeColor="text1"/>
          <w:sz w:val="32"/>
          <w:szCs w:val="32"/>
          <w:highlight w:val="none"/>
          <w:lang w:val="zh-TW" w:eastAsia="zh-TW"/>
          <w14:textFill>
            <w14:solidFill>
              <w14:schemeClr w14:val="tx1"/>
            </w14:solidFill>
          </w14:textFill>
        </w:rPr>
        <w:t>的法人组织</w:t>
      </w:r>
      <w:r>
        <w:rPr>
          <w:rFonts w:ascii="仿宋_GB2312" w:hAnsi="仿宋_GB2312" w:eastAsia="仿宋_GB2312" w:cs="仿宋_GB2312"/>
          <w:bCs/>
          <w:color w:val="000000" w:themeColor="text1"/>
          <w:sz w:val="32"/>
          <w:szCs w:val="32"/>
          <w:highlight w:val="none"/>
          <w:lang w:val="zh-TW" w:eastAsia="zh-TW"/>
          <w14:textFill>
            <w14:solidFill>
              <w14:schemeClr w14:val="tx1"/>
            </w14:solidFill>
          </w14:textFill>
        </w:rPr>
        <w:t>/非法人专业服务机构</w:t>
      </w:r>
      <w:r>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澳门特别行政区</w:t>
      </w:r>
      <w:bookmarkStart w:id="1" w:name="_GoBack"/>
      <w:bookmarkEnd w:id="1"/>
      <w:r>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t>依法设立</w:t>
      </w:r>
      <w:r>
        <w:rPr>
          <w:rFonts w:ascii="仿宋_GB2312" w:hAnsi="仿宋_GB2312" w:eastAsia="仿宋_GB2312" w:cs="仿宋_GB2312"/>
          <w:sz w:val="32"/>
          <w:szCs w:val="32"/>
          <w:lang w:val="zh-TW" w:eastAsia="zh-TW"/>
        </w:rPr>
        <w:t>且从事经营</w:t>
      </w:r>
      <w:r>
        <w:rPr>
          <w:rFonts w:hint="eastAsia" w:ascii="仿宋_GB2312" w:hAnsi="仿宋_GB2312" w:eastAsia="仿宋_GB2312" w:cs="仿宋_GB2312"/>
          <w:sz w:val="32"/>
          <w:szCs w:val="32"/>
          <w:lang w:val="en-US" w:eastAsia="zh-CN"/>
        </w:rPr>
        <w:t>的时间不做要求。</w:t>
      </w:r>
    </w:p>
    <w:p>
      <w:pPr>
        <w:pStyle w:val="2"/>
        <w:rPr>
          <w:rFonts w:hint="default"/>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NzNiYTZhZWQ5MWNlNTY0Mjg1YjIxNjY1Nzg5NzEifQ=="/>
  </w:docVars>
  <w:rsids>
    <w:rsidRoot w:val="3B0F12AB"/>
    <w:rsid w:val="00173F1A"/>
    <w:rsid w:val="00286A4E"/>
    <w:rsid w:val="008A7027"/>
    <w:rsid w:val="01B91D0C"/>
    <w:rsid w:val="02E8668B"/>
    <w:rsid w:val="031A67DB"/>
    <w:rsid w:val="03DB078F"/>
    <w:rsid w:val="03F4527E"/>
    <w:rsid w:val="05542D48"/>
    <w:rsid w:val="08A2799E"/>
    <w:rsid w:val="09603E7B"/>
    <w:rsid w:val="09612E91"/>
    <w:rsid w:val="0BB023D2"/>
    <w:rsid w:val="0D9B2E48"/>
    <w:rsid w:val="140E62F1"/>
    <w:rsid w:val="149B087A"/>
    <w:rsid w:val="14DB109F"/>
    <w:rsid w:val="15B91798"/>
    <w:rsid w:val="15D0647F"/>
    <w:rsid w:val="16EF2001"/>
    <w:rsid w:val="17520BC7"/>
    <w:rsid w:val="1B904659"/>
    <w:rsid w:val="1C512BD0"/>
    <w:rsid w:val="1EB93C78"/>
    <w:rsid w:val="1F107020"/>
    <w:rsid w:val="1FAB6CE1"/>
    <w:rsid w:val="1FF73CD4"/>
    <w:rsid w:val="20550707"/>
    <w:rsid w:val="208F03B0"/>
    <w:rsid w:val="20EA5C01"/>
    <w:rsid w:val="20F0754B"/>
    <w:rsid w:val="23F21625"/>
    <w:rsid w:val="268C3F21"/>
    <w:rsid w:val="287C79EC"/>
    <w:rsid w:val="28836A4D"/>
    <w:rsid w:val="28C22B38"/>
    <w:rsid w:val="2BB944E7"/>
    <w:rsid w:val="2D76778B"/>
    <w:rsid w:val="2DC33188"/>
    <w:rsid w:val="2DC40781"/>
    <w:rsid w:val="2DF66ED3"/>
    <w:rsid w:val="2E131CCC"/>
    <w:rsid w:val="2EEB293A"/>
    <w:rsid w:val="316E7B6E"/>
    <w:rsid w:val="318E70D4"/>
    <w:rsid w:val="319A0963"/>
    <w:rsid w:val="320B758B"/>
    <w:rsid w:val="33241A11"/>
    <w:rsid w:val="33B56013"/>
    <w:rsid w:val="34DA6929"/>
    <w:rsid w:val="36E84074"/>
    <w:rsid w:val="3B0F12AB"/>
    <w:rsid w:val="3B66048A"/>
    <w:rsid w:val="3B8701AA"/>
    <w:rsid w:val="3BA92071"/>
    <w:rsid w:val="3BD6482C"/>
    <w:rsid w:val="3CEC7ED5"/>
    <w:rsid w:val="3DDB0835"/>
    <w:rsid w:val="3EC548CB"/>
    <w:rsid w:val="3F842D67"/>
    <w:rsid w:val="408D4264"/>
    <w:rsid w:val="41C1523E"/>
    <w:rsid w:val="42254896"/>
    <w:rsid w:val="4348637E"/>
    <w:rsid w:val="46FC1A4C"/>
    <w:rsid w:val="48BD4798"/>
    <w:rsid w:val="49C2607D"/>
    <w:rsid w:val="4EDD7A60"/>
    <w:rsid w:val="502D3939"/>
    <w:rsid w:val="50610627"/>
    <w:rsid w:val="51021C61"/>
    <w:rsid w:val="51D87B8B"/>
    <w:rsid w:val="51F83758"/>
    <w:rsid w:val="51F905A5"/>
    <w:rsid w:val="52F54F17"/>
    <w:rsid w:val="52F92984"/>
    <w:rsid w:val="5382152B"/>
    <w:rsid w:val="53B112C0"/>
    <w:rsid w:val="544D1B39"/>
    <w:rsid w:val="54745318"/>
    <w:rsid w:val="54AC473A"/>
    <w:rsid w:val="54AF6350"/>
    <w:rsid w:val="55641F49"/>
    <w:rsid w:val="55651C9E"/>
    <w:rsid w:val="56F8023D"/>
    <w:rsid w:val="59D2668C"/>
    <w:rsid w:val="59F111B9"/>
    <w:rsid w:val="5D8D464B"/>
    <w:rsid w:val="5DC116D4"/>
    <w:rsid w:val="5EFB4EDA"/>
    <w:rsid w:val="5F0415AC"/>
    <w:rsid w:val="5FB22246"/>
    <w:rsid w:val="614D07CF"/>
    <w:rsid w:val="62050996"/>
    <w:rsid w:val="64F95F1A"/>
    <w:rsid w:val="677D3582"/>
    <w:rsid w:val="67945AE7"/>
    <w:rsid w:val="68A646B2"/>
    <w:rsid w:val="6D0317B3"/>
    <w:rsid w:val="6DC769F7"/>
    <w:rsid w:val="72936E59"/>
    <w:rsid w:val="77973400"/>
    <w:rsid w:val="784A620C"/>
    <w:rsid w:val="79840E68"/>
    <w:rsid w:val="7AEB4C4E"/>
    <w:rsid w:val="7B1C75CF"/>
    <w:rsid w:val="7CCF6CE0"/>
    <w:rsid w:val="7CE51F5C"/>
    <w:rsid w:val="7DE844FD"/>
    <w:rsid w:val="7EB86F41"/>
    <w:rsid w:val="7EE35E11"/>
    <w:rsid w:val="7F7978C8"/>
    <w:rsid w:val="7F855CB8"/>
    <w:rsid w:val="7FEF1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jc w:val="both"/>
      <w:outlineLvl w:val="0"/>
    </w:pPr>
    <w:rPr>
      <w:rFonts w:ascii="Calibri" w:hAnsi="Calibri" w:eastAsia="仿宋_GB2312" w:cs="Times New Roman"/>
      <w:b/>
      <w:bCs/>
      <w:kern w:val="44"/>
      <w:sz w:val="44"/>
      <w:szCs w:val="4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szCs w:val="21"/>
    </w:r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toc 2"/>
    <w:basedOn w:val="1"/>
    <w:next w:val="1"/>
    <w:qFormat/>
    <w:uiPriority w:val="0"/>
    <w:pPr>
      <w:widowControl w:val="0"/>
      <w:spacing w:line="600" w:lineRule="exact"/>
      <w:ind w:left="200" w:leftChars="200"/>
      <w:jc w:val="both"/>
    </w:pPr>
    <w:rPr>
      <w:rFonts w:ascii="Calibri" w:hAnsi="Calibri" w:eastAsia="FangSong_GB2312" w:cs="Times New Roman"/>
      <w:kern w:val="2"/>
      <w:sz w:val="32"/>
      <w:szCs w:val="24"/>
      <w:lang w:val="en-US" w:eastAsia="zh-CN" w:bidi="ar-SA"/>
    </w:rPr>
  </w:style>
  <w:style w:type="paragraph" w:styleId="10">
    <w:name w:val="Title"/>
    <w:basedOn w:val="1"/>
    <w:next w:val="1"/>
    <w:qFormat/>
    <w:uiPriority w:val="0"/>
    <w:pPr>
      <w:widowControl w:val="0"/>
      <w:spacing w:before="240" w:after="60"/>
      <w:jc w:val="center"/>
      <w:textAlignment w:val="baseline"/>
    </w:pPr>
    <w:rPr>
      <w:rFonts w:ascii="Cambria" w:hAnsi="Cambria" w:eastAsia="宋体" w:cs="Times New Roman"/>
      <w:b/>
      <w:bCs/>
      <w:kern w:val="2"/>
      <w:sz w:val="32"/>
      <w:szCs w:val="32"/>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basedOn w:val="13"/>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2976</Words>
  <Characters>3111</Characters>
  <Lines>0</Lines>
  <Paragraphs>0</Paragraphs>
  <TotalTime>30</TotalTime>
  <ScaleCrop>false</ScaleCrop>
  <LinksUpToDate>false</LinksUpToDate>
  <CharactersWithSpaces>3111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2022-07-05T06:16:00Z</dcterms:created>
  <dc:creator>昕昕昕昕</dc:creator>
  <cp:lastModifiedBy>智玲</cp:lastModifiedBy>
  <cp:lastPrinted>2022-10-09T08:17:00Z</cp:lastPrinted>
  <dcterms:modified xsi:type="dcterms:W3CDTF">2023-06-05T02:32:36Z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D01DD2B122CF458AB74FB29714AC56D7</vt:lpwstr>
  </property>
</Properties>
</file>