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5A1F" w14:textId="77777777" w:rsidR="00760ED1" w:rsidRDefault="00760ED1" w:rsidP="00760ED1">
      <w:pPr>
        <w:pStyle w:val="a7"/>
        <w:snapToGrid w:val="0"/>
        <w:spacing w:line="579" w:lineRule="exact"/>
        <w:ind w:firstLine="0"/>
        <w:rPr>
          <w:rFonts w:ascii="黑体" w:eastAsia="黑体" w:hAnsi="黑体" w:cs="黑体"/>
          <w:sz w:val="32"/>
          <w:szCs w:val="32"/>
        </w:rPr>
      </w:pPr>
      <w:r>
        <w:rPr>
          <w:rFonts w:ascii="黑体" w:eastAsia="黑体" w:hAnsi="黑体" w:cs="黑体" w:hint="eastAsia"/>
          <w:sz w:val="32"/>
          <w:szCs w:val="32"/>
        </w:rPr>
        <w:t>附件1</w:t>
      </w:r>
    </w:p>
    <w:p w14:paraId="045208DE" w14:textId="77777777" w:rsidR="00760ED1" w:rsidRDefault="00760ED1" w:rsidP="00760ED1">
      <w:pPr>
        <w:pStyle w:val="a7"/>
        <w:snapToGrid w:val="0"/>
        <w:spacing w:line="579" w:lineRule="exact"/>
        <w:ind w:firstLine="0"/>
        <w:rPr>
          <w:rFonts w:eastAsia="微软雅黑" w:cs="仿宋_GB2312"/>
          <w:sz w:val="28"/>
          <w:szCs w:val="28"/>
        </w:rPr>
      </w:pPr>
    </w:p>
    <w:p w14:paraId="3B4F2D01" w14:textId="74C43DFE" w:rsidR="00760ED1" w:rsidRDefault="00760ED1" w:rsidP="00760ED1">
      <w:pPr>
        <w:pStyle w:val="a7"/>
        <w:snapToGrid w:val="0"/>
        <w:spacing w:line="579" w:lineRule="exact"/>
        <w:ind w:firstLine="0"/>
        <w:jc w:val="center"/>
        <w:rPr>
          <w:rFonts w:eastAsia="方正小标宋简体" w:cs="仿宋_GB2312"/>
          <w:sz w:val="36"/>
          <w:szCs w:val="36"/>
        </w:rPr>
      </w:pPr>
      <w:r>
        <w:rPr>
          <w:rFonts w:eastAsia="方正小标宋简体" w:cs="仿宋_GB2312" w:hint="eastAsia"/>
          <w:sz w:val="36"/>
          <w:szCs w:val="36"/>
        </w:rPr>
        <w:t>横琴粤澳深度合作区会展产业发展扶持办法专项资金成长型展会认定标准</w:t>
      </w:r>
    </w:p>
    <w:p w14:paraId="677E4438" w14:textId="77777777" w:rsidR="00760ED1" w:rsidRDefault="00760ED1" w:rsidP="00760ED1">
      <w:pPr>
        <w:pStyle w:val="a7"/>
        <w:snapToGrid w:val="0"/>
        <w:spacing w:line="579" w:lineRule="exact"/>
        <w:ind w:firstLine="0"/>
        <w:jc w:val="center"/>
        <w:rPr>
          <w:rFonts w:eastAsia="方正小标宋简体" w:cs="仿宋_GB2312"/>
          <w:sz w:val="22"/>
          <w:szCs w:val="22"/>
        </w:rPr>
      </w:pPr>
    </w:p>
    <w:p w14:paraId="720C15C5" w14:textId="77777777" w:rsidR="00760ED1" w:rsidRDefault="00760ED1" w:rsidP="00760ED1">
      <w:pPr>
        <w:pStyle w:val="a7"/>
        <w:snapToGrid w:val="0"/>
        <w:spacing w:line="579" w:lineRule="exact"/>
        <w:ind w:firstLine="0"/>
        <w:jc w:val="center"/>
        <w:rPr>
          <w:rFonts w:eastAsia="方正小标宋简体" w:cs="仿宋_GB2312"/>
          <w:sz w:val="22"/>
          <w:szCs w:val="22"/>
        </w:rPr>
      </w:pPr>
      <w:r>
        <w:rPr>
          <w:rFonts w:eastAsia="仿宋_GB2312" w:cs="仿宋_GB2312" w:hint="eastAsia"/>
          <w:sz w:val="32"/>
          <w:szCs w:val="32"/>
        </w:rPr>
        <w:t>注：成长型展会总体得分须在</w:t>
      </w:r>
      <w:r>
        <w:rPr>
          <w:rFonts w:eastAsia="仿宋_GB2312" w:cs="仿宋_GB2312"/>
          <w:sz w:val="32"/>
          <w:szCs w:val="32"/>
        </w:rPr>
        <w:t>60</w:t>
      </w:r>
      <w:r>
        <w:rPr>
          <w:rFonts w:eastAsia="仿宋_GB2312" w:cs="仿宋_GB2312"/>
          <w:sz w:val="32"/>
          <w:szCs w:val="32"/>
        </w:rPr>
        <w:t>分以上</w:t>
      </w:r>
    </w:p>
    <w:tbl>
      <w:tblPr>
        <w:tblW w:w="8551" w:type="dxa"/>
        <w:jc w:val="center"/>
        <w:tblLayout w:type="fixed"/>
        <w:tblLook w:val="04A0" w:firstRow="1" w:lastRow="0" w:firstColumn="1" w:lastColumn="0" w:noHBand="0" w:noVBand="1"/>
      </w:tblPr>
      <w:tblGrid>
        <w:gridCol w:w="1020"/>
        <w:gridCol w:w="794"/>
        <w:gridCol w:w="1417"/>
        <w:gridCol w:w="794"/>
        <w:gridCol w:w="4526"/>
      </w:tblGrid>
      <w:tr w:rsidR="00760ED1" w14:paraId="30503F93" w14:textId="77777777" w:rsidTr="00531B50">
        <w:trPr>
          <w:trHeight w:val="280"/>
          <w:tblHeader/>
          <w:jc w:val="center"/>
        </w:trPr>
        <w:tc>
          <w:tcPr>
            <w:tcW w:w="1020" w:type="dxa"/>
            <w:tcBorders>
              <w:top w:val="single" w:sz="4" w:space="0" w:color="auto"/>
              <w:left w:val="single" w:sz="4" w:space="0" w:color="auto"/>
              <w:bottom w:val="single" w:sz="4" w:space="0" w:color="auto"/>
              <w:right w:val="single" w:sz="4" w:space="0" w:color="auto"/>
            </w:tcBorders>
            <w:vAlign w:val="center"/>
          </w:tcPr>
          <w:p w14:paraId="54AC2951" w14:textId="77777777" w:rsidR="00760ED1" w:rsidRDefault="00760ED1" w:rsidP="00531B50">
            <w:pPr>
              <w:snapToGrid w:val="0"/>
              <w:spacing w:line="579" w:lineRule="exact"/>
              <w:rPr>
                <w:rFonts w:ascii="Times New Roman" w:eastAsia="仿宋_GB2312" w:hAnsi="Times New Roman" w:cs="Arial"/>
                <w:b/>
                <w:bCs/>
                <w:sz w:val="24"/>
              </w:rPr>
            </w:pPr>
            <w:r>
              <w:rPr>
                <w:rFonts w:ascii="Times New Roman" w:eastAsia="仿宋_GB2312" w:hAnsi="Times New Roman" w:cs="Arial" w:hint="eastAsia"/>
                <w:b/>
                <w:bCs/>
                <w:sz w:val="24"/>
              </w:rPr>
              <w:t>一级指标</w:t>
            </w:r>
          </w:p>
        </w:tc>
        <w:tc>
          <w:tcPr>
            <w:tcW w:w="794" w:type="dxa"/>
            <w:tcBorders>
              <w:top w:val="single" w:sz="4" w:space="0" w:color="auto"/>
              <w:left w:val="nil"/>
              <w:bottom w:val="single" w:sz="4" w:space="0" w:color="auto"/>
              <w:right w:val="single" w:sz="4" w:space="0" w:color="auto"/>
            </w:tcBorders>
            <w:vAlign w:val="center"/>
          </w:tcPr>
          <w:p w14:paraId="6BB9E0EA" w14:textId="77777777" w:rsidR="00760ED1" w:rsidRDefault="00760ED1"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最高分值</w:t>
            </w:r>
          </w:p>
        </w:tc>
        <w:tc>
          <w:tcPr>
            <w:tcW w:w="1417" w:type="dxa"/>
            <w:tcBorders>
              <w:top w:val="single" w:sz="4" w:space="0" w:color="auto"/>
              <w:left w:val="nil"/>
              <w:bottom w:val="single" w:sz="4" w:space="0" w:color="auto"/>
              <w:right w:val="single" w:sz="4" w:space="0" w:color="auto"/>
            </w:tcBorders>
            <w:vAlign w:val="center"/>
          </w:tcPr>
          <w:p w14:paraId="54F65EB4" w14:textId="77777777" w:rsidR="00760ED1" w:rsidRDefault="00760ED1"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二级指标</w:t>
            </w:r>
          </w:p>
        </w:tc>
        <w:tc>
          <w:tcPr>
            <w:tcW w:w="794" w:type="dxa"/>
            <w:tcBorders>
              <w:top w:val="single" w:sz="4" w:space="0" w:color="auto"/>
              <w:left w:val="nil"/>
              <w:bottom w:val="single" w:sz="4" w:space="0" w:color="auto"/>
              <w:right w:val="single" w:sz="4" w:space="0" w:color="auto"/>
            </w:tcBorders>
            <w:vAlign w:val="center"/>
          </w:tcPr>
          <w:p w14:paraId="0A9BF63C" w14:textId="77777777" w:rsidR="00760ED1" w:rsidRDefault="00760ED1"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最高分值</w:t>
            </w:r>
          </w:p>
        </w:tc>
        <w:tc>
          <w:tcPr>
            <w:tcW w:w="4526" w:type="dxa"/>
            <w:tcBorders>
              <w:top w:val="single" w:sz="4" w:space="0" w:color="auto"/>
              <w:left w:val="nil"/>
              <w:bottom w:val="single" w:sz="4" w:space="0" w:color="auto"/>
              <w:right w:val="single" w:sz="4" w:space="0" w:color="auto"/>
            </w:tcBorders>
            <w:vAlign w:val="center"/>
          </w:tcPr>
          <w:p w14:paraId="1C422348" w14:textId="77777777" w:rsidR="00760ED1" w:rsidRDefault="00760ED1"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条件及分值计算</w:t>
            </w:r>
          </w:p>
        </w:tc>
      </w:tr>
      <w:tr w:rsidR="00760ED1" w14:paraId="306B629E" w14:textId="77777777" w:rsidTr="00531B50">
        <w:trPr>
          <w:trHeight w:val="560"/>
          <w:jc w:val="center"/>
        </w:trPr>
        <w:tc>
          <w:tcPr>
            <w:tcW w:w="1020" w:type="dxa"/>
            <w:vMerge w:val="restart"/>
            <w:tcBorders>
              <w:top w:val="nil"/>
              <w:left w:val="single" w:sz="4" w:space="0" w:color="auto"/>
              <w:bottom w:val="single" w:sz="4" w:space="0" w:color="auto"/>
              <w:right w:val="single" w:sz="4" w:space="0" w:color="auto"/>
            </w:tcBorders>
            <w:vAlign w:val="center"/>
          </w:tcPr>
          <w:p w14:paraId="11A3A9A5"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展会规模</w:t>
            </w:r>
          </w:p>
        </w:tc>
        <w:tc>
          <w:tcPr>
            <w:tcW w:w="794" w:type="dxa"/>
            <w:vMerge w:val="restart"/>
            <w:tcBorders>
              <w:top w:val="nil"/>
              <w:left w:val="single" w:sz="4" w:space="0" w:color="auto"/>
              <w:bottom w:val="single" w:sz="4" w:space="0" w:color="auto"/>
              <w:right w:val="single" w:sz="4" w:space="0" w:color="auto"/>
            </w:tcBorders>
            <w:vAlign w:val="center"/>
          </w:tcPr>
          <w:p w14:paraId="4EAFDE1B"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42</w:t>
            </w:r>
          </w:p>
        </w:tc>
        <w:tc>
          <w:tcPr>
            <w:tcW w:w="1417" w:type="dxa"/>
            <w:tcBorders>
              <w:top w:val="nil"/>
              <w:left w:val="nil"/>
              <w:bottom w:val="single" w:sz="4" w:space="0" w:color="auto"/>
              <w:right w:val="single" w:sz="4" w:space="0" w:color="auto"/>
            </w:tcBorders>
            <w:vAlign w:val="center"/>
          </w:tcPr>
          <w:p w14:paraId="4BE8905E"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展览总面积</w:t>
            </w:r>
          </w:p>
        </w:tc>
        <w:tc>
          <w:tcPr>
            <w:tcW w:w="794" w:type="dxa"/>
            <w:tcBorders>
              <w:top w:val="nil"/>
              <w:left w:val="nil"/>
              <w:bottom w:val="single" w:sz="4" w:space="0" w:color="auto"/>
              <w:right w:val="single" w:sz="4" w:space="0" w:color="auto"/>
            </w:tcBorders>
            <w:vAlign w:val="center"/>
          </w:tcPr>
          <w:p w14:paraId="33F748D4"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526" w:type="dxa"/>
            <w:tcBorders>
              <w:top w:val="nil"/>
              <w:left w:val="nil"/>
              <w:bottom w:val="single" w:sz="4" w:space="0" w:color="auto"/>
              <w:right w:val="single" w:sz="4" w:space="0" w:color="auto"/>
            </w:tcBorders>
            <w:vAlign w:val="center"/>
          </w:tcPr>
          <w:p w14:paraId="30B1CF53"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展览总面积≥</w:t>
            </w:r>
            <w:r>
              <w:rPr>
                <w:rFonts w:ascii="Times New Roman" w:eastAsia="仿宋_GB2312" w:hAnsi="Times New Roman" w:cs="Arial"/>
                <w:sz w:val="24"/>
              </w:rPr>
              <w:t>3,000</w:t>
            </w:r>
            <w:r>
              <w:rPr>
                <w:rFonts w:ascii="Times New Roman" w:eastAsia="仿宋_GB2312" w:hAnsi="Times New Roman" w:cs="Arial"/>
                <w:sz w:val="24"/>
              </w:rPr>
              <w:t>平方米</w:t>
            </w:r>
            <w:r>
              <w:rPr>
                <w:rFonts w:ascii="Times New Roman" w:eastAsia="仿宋_GB2312" w:hAnsi="Times New Roman" w:cs="Arial"/>
                <w:sz w:val="24"/>
              </w:rPr>
              <w:t>,3,000</w:t>
            </w:r>
            <w:r>
              <w:rPr>
                <w:rFonts w:ascii="Times New Roman" w:eastAsia="仿宋_GB2312" w:hAnsi="Times New Roman" w:cs="Arial"/>
                <w:sz w:val="24"/>
              </w:rPr>
              <w:t>平方米得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1,000</w:t>
            </w:r>
            <w:r>
              <w:rPr>
                <w:rFonts w:ascii="Times New Roman" w:eastAsia="仿宋_GB2312" w:hAnsi="Times New Roman" w:cs="Arial"/>
                <w:sz w:val="24"/>
              </w:rPr>
              <w:t>平方米得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574E66AE" w14:textId="77777777" w:rsidTr="00531B50">
        <w:trPr>
          <w:trHeight w:val="560"/>
          <w:jc w:val="center"/>
        </w:trPr>
        <w:tc>
          <w:tcPr>
            <w:tcW w:w="1020" w:type="dxa"/>
            <w:vMerge/>
            <w:tcBorders>
              <w:top w:val="nil"/>
              <w:left w:val="single" w:sz="4" w:space="0" w:color="auto"/>
              <w:bottom w:val="single" w:sz="4" w:space="0" w:color="auto"/>
              <w:right w:val="single" w:sz="4" w:space="0" w:color="auto"/>
            </w:tcBorders>
            <w:vAlign w:val="center"/>
          </w:tcPr>
          <w:p w14:paraId="22B31B78"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4C319CCA"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2658D530"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过往成功举办的展览届数</w:t>
            </w:r>
          </w:p>
        </w:tc>
        <w:tc>
          <w:tcPr>
            <w:tcW w:w="794" w:type="dxa"/>
            <w:tcBorders>
              <w:top w:val="nil"/>
              <w:left w:val="nil"/>
              <w:bottom w:val="single" w:sz="4" w:space="0" w:color="auto"/>
              <w:right w:val="single" w:sz="4" w:space="0" w:color="auto"/>
            </w:tcBorders>
            <w:vAlign w:val="center"/>
          </w:tcPr>
          <w:p w14:paraId="38F76A2E"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526" w:type="dxa"/>
            <w:tcBorders>
              <w:top w:val="nil"/>
              <w:left w:val="nil"/>
              <w:bottom w:val="single" w:sz="4" w:space="0" w:color="auto"/>
              <w:right w:val="single" w:sz="4" w:space="0" w:color="auto"/>
            </w:tcBorders>
            <w:vAlign w:val="center"/>
          </w:tcPr>
          <w:p w14:paraId="06B13517"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往届展览数≥</w:t>
            </w:r>
            <w:r>
              <w:rPr>
                <w:rFonts w:ascii="Times New Roman" w:eastAsia="仿宋_GB2312" w:hAnsi="Times New Roman" w:cs="Arial"/>
                <w:sz w:val="24"/>
              </w:rPr>
              <w:t>1</w:t>
            </w:r>
            <w:r>
              <w:rPr>
                <w:rFonts w:ascii="Times New Roman" w:eastAsia="仿宋_GB2312" w:hAnsi="Times New Roman" w:cs="Arial"/>
                <w:sz w:val="24"/>
              </w:rPr>
              <w:t>届，</w:t>
            </w:r>
            <w:r>
              <w:rPr>
                <w:rFonts w:ascii="Times New Roman" w:eastAsia="仿宋_GB2312" w:hAnsi="Times New Roman" w:cs="Arial"/>
                <w:sz w:val="24"/>
              </w:rPr>
              <w:t>1</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1BD409F2" w14:textId="77777777" w:rsidTr="00531B50">
        <w:trPr>
          <w:trHeight w:val="560"/>
          <w:jc w:val="center"/>
        </w:trPr>
        <w:tc>
          <w:tcPr>
            <w:tcW w:w="1020" w:type="dxa"/>
            <w:vMerge/>
            <w:tcBorders>
              <w:top w:val="nil"/>
              <w:left w:val="single" w:sz="4" w:space="0" w:color="auto"/>
              <w:bottom w:val="single" w:sz="4" w:space="0" w:color="auto"/>
              <w:right w:val="single" w:sz="4" w:space="0" w:color="auto"/>
            </w:tcBorders>
            <w:vAlign w:val="center"/>
          </w:tcPr>
          <w:p w14:paraId="75C60B4E"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49ACB755"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0202056F"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标准展台数</w:t>
            </w:r>
          </w:p>
        </w:tc>
        <w:tc>
          <w:tcPr>
            <w:tcW w:w="794" w:type="dxa"/>
            <w:tcBorders>
              <w:top w:val="nil"/>
              <w:left w:val="nil"/>
              <w:bottom w:val="single" w:sz="4" w:space="0" w:color="auto"/>
              <w:right w:val="single" w:sz="4" w:space="0" w:color="auto"/>
            </w:tcBorders>
            <w:vAlign w:val="center"/>
          </w:tcPr>
          <w:p w14:paraId="229726BA"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526" w:type="dxa"/>
            <w:tcBorders>
              <w:top w:val="nil"/>
              <w:left w:val="nil"/>
              <w:bottom w:val="single" w:sz="4" w:space="0" w:color="auto"/>
              <w:right w:val="single" w:sz="4" w:space="0" w:color="auto"/>
            </w:tcBorders>
            <w:vAlign w:val="center"/>
          </w:tcPr>
          <w:p w14:paraId="1BB57847"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标准展台数≥</w:t>
            </w:r>
            <w:r>
              <w:rPr>
                <w:rFonts w:ascii="Times New Roman" w:eastAsia="仿宋_GB2312" w:hAnsi="Times New Roman" w:cs="Arial"/>
                <w:sz w:val="24"/>
              </w:rPr>
              <w:t>120</w:t>
            </w:r>
            <w:r>
              <w:rPr>
                <w:rFonts w:ascii="Times New Roman" w:eastAsia="仿宋_GB2312" w:hAnsi="Times New Roman" w:cs="Arial"/>
                <w:sz w:val="24"/>
              </w:rPr>
              <w:t>个，</w:t>
            </w:r>
            <w:r>
              <w:rPr>
                <w:rFonts w:ascii="Times New Roman" w:eastAsia="仿宋_GB2312" w:hAnsi="Times New Roman" w:cs="Arial"/>
                <w:sz w:val="24"/>
              </w:rPr>
              <w:t>120</w:t>
            </w:r>
            <w:r>
              <w:rPr>
                <w:rFonts w:ascii="Times New Roman" w:eastAsia="仿宋_GB2312" w:hAnsi="Times New Roman" w:cs="Arial"/>
                <w:sz w:val="24"/>
              </w:rPr>
              <w:t>个标准展台得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100</w:t>
            </w:r>
            <w:r>
              <w:rPr>
                <w:rFonts w:ascii="Times New Roman" w:eastAsia="仿宋_GB2312" w:hAnsi="Times New Roman" w:cs="Arial"/>
                <w:sz w:val="24"/>
              </w:rPr>
              <w:t>个标准展台得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09A48CD8"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308E4DB3"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5E479C20"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7C3D5821"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参展商数量</w:t>
            </w:r>
          </w:p>
        </w:tc>
        <w:tc>
          <w:tcPr>
            <w:tcW w:w="794" w:type="dxa"/>
            <w:tcBorders>
              <w:top w:val="nil"/>
              <w:left w:val="nil"/>
              <w:bottom w:val="single" w:sz="4" w:space="0" w:color="auto"/>
              <w:right w:val="single" w:sz="4" w:space="0" w:color="auto"/>
            </w:tcBorders>
            <w:vAlign w:val="center"/>
          </w:tcPr>
          <w:p w14:paraId="586AE864"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526" w:type="dxa"/>
            <w:tcBorders>
              <w:top w:val="nil"/>
              <w:left w:val="nil"/>
              <w:bottom w:val="single" w:sz="4" w:space="0" w:color="auto"/>
              <w:right w:val="single" w:sz="4" w:space="0" w:color="auto"/>
            </w:tcBorders>
            <w:vAlign w:val="center"/>
          </w:tcPr>
          <w:p w14:paraId="18622EA7"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参展商数量≥</w:t>
            </w:r>
            <w:r>
              <w:rPr>
                <w:rFonts w:ascii="Times New Roman" w:eastAsia="仿宋_GB2312" w:hAnsi="Times New Roman" w:cs="Arial"/>
                <w:sz w:val="24"/>
              </w:rPr>
              <w:t>15</w:t>
            </w:r>
            <w:r>
              <w:rPr>
                <w:rFonts w:ascii="Times New Roman" w:eastAsia="仿宋_GB2312" w:hAnsi="Times New Roman" w:cs="Arial"/>
                <w:sz w:val="24"/>
              </w:rPr>
              <w:t>家，</w:t>
            </w:r>
            <w:r>
              <w:rPr>
                <w:rFonts w:ascii="Times New Roman" w:eastAsia="仿宋_GB2312" w:hAnsi="Times New Roman" w:cs="Arial"/>
                <w:sz w:val="24"/>
              </w:rPr>
              <w:t>15</w:t>
            </w:r>
            <w:r>
              <w:rPr>
                <w:rFonts w:ascii="Times New Roman" w:eastAsia="仿宋_GB2312" w:hAnsi="Times New Roman" w:cs="Arial"/>
                <w:sz w:val="24"/>
              </w:rPr>
              <w:t>家参展商得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5</w:t>
            </w:r>
            <w:r>
              <w:rPr>
                <w:rFonts w:ascii="Times New Roman" w:eastAsia="仿宋_GB2312" w:hAnsi="Times New Roman" w:cs="Arial"/>
                <w:sz w:val="24"/>
              </w:rPr>
              <w:t>家得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1B448705"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08BBFB96"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EAF570D"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17AB51FC"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观众数量</w:t>
            </w:r>
          </w:p>
        </w:tc>
        <w:tc>
          <w:tcPr>
            <w:tcW w:w="794" w:type="dxa"/>
            <w:tcBorders>
              <w:top w:val="nil"/>
              <w:left w:val="nil"/>
              <w:bottom w:val="single" w:sz="4" w:space="0" w:color="auto"/>
              <w:right w:val="single" w:sz="4" w:space="0" w:color="auto"/>
            </w:tcBorders>
            <w:vAlign w:val="center"/>
          </w:tcPr>
          <w:p w14:paraId="2274F63B"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526" w:type="dxa"/>
            <w:tcBorders>
              <w:top w:val="nil"/>
              <w:left w:val="nil"/>
              <w:bottom w:val="single" w:sz="4" w:space="0" w:color="auto"/>
              <w:right w:val="single" w:sz="4" w:space="0" w:color="auto"/>
            </w:tcBorders>
            <w:vAlign w:val="center"/>
          </w:tcPr>
          <w:p w14:paraId="7C170C6C"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观众数量≥</w:t>
            </w:r>
            <w:r>
              <w:rPr>
                <w:rFonts w:ascii="Times New Roman" w:eastAsia="仿宋_GB2312" w:hAnsi="Times New Roman" w:cs="Arial"/>
                <w:sz w:val="24"/>
              </w:rPr>
              <w:t>1,000</w:t>
            </w:r>
            <w:r>
              <w:rPr>
                <w:rFonts w:ascii="Times New Roman" w:eastAsia="仿宋_GB2312" w:hAnsi="Times New Roman" w:cs="Arial"/>
                <w:sz w:val="24"/>
              </w:rPr>
              <w:t>人次，</w:t>
            </w:r>
            <w:r>
              <w:rPr>
                <w:rFonts w:ascii="Times New Roman" w:eastAsia="仿宋_GB2312" w:hAnsi="Times New Roman" w:cs="Arial"/>
                <w:sz w:val="24"/>
              </w:rPr>
              <w:t>1,000</w:t>
            </w:r>
            <w:r>
              <w:rPr>
                <w:rFonts w:ascii="Times New Roman" w:eastAsia="仿宋_GB2312" w:hAnsi="Times New Roman" w:cs="Arial"/>
                <w:sz w:val="24"/>
              </w:rPr>
              <w:t>人次得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500</w:t>
            </w:r>
            <w:r>
              <w:rPr>
                <w:rFonts w:ascii="Times New Roman" w:eastAsia="仿宋_GB2312" w:hAnsi="Times New Roman" w:cs="Arial"/>
                <w:sz w:val="24"/>
              </w:rPr>
              <w:t>人次得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5A375D12" w14:textId="77777777" w:rsidTr="00531B50">
        <w:trPr>
          <w:trHeight w:val="280"/>
          <w:jc w:val="center"/>
        </w:trPr>
        <w:tc>
          <w:tcPr>
            <w:tcW w:w="1020" w:type="dxa"/>
            <w:vMerge w:val="restart"/>
            <w:tcBorders>
              <w:top w:val="nil"/>
              <w:left w:val="single" w:sz="4" w:space="0" w:color="auto"/>
              <w:bottom w:val="single" w:sz="4" w:space="0" w:color="auto"/>
              <w:right w:val="single" w:sz="4" w:space="0" w:color="auto"/>
            </w:tcBorders>
            <w:vAlign w:val="center"/>
          </w:tcPr>
          <w:p w14:paraId="2EFC80FE"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办展质量</w:t>
            </w:r>
          </w:p>
        </w:tc>
        <w:tc>
          <w:tcPr>
            <w:tcW w:w="794" w:type="dxa"/>
            <w:vMerge w:val="restart"/>
            <w:tcBorders>
              <w:top w:val="nil"/>
              <w:left w:val="single" w:sz="4" w:space="0" w:color="auto"/>
              <w:bottom w:val="single" w:sz="4" w:space="0" w:color="auto"/>
              <w:right w:val="single" w:sz="4" w:space="0" w:color="auto"/>
            </w:tcBorders>
            <w:vAlign w:val="center"/>
          </w:tcPr>
          <w:p w14:paraId="27ED5044"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28</w:t>
            </w:r>
          </w:p>
        </w:tc>
        <w:tc>
          <w:tcPr>
            <w:tcW w:w="1417" w:type="dxa"/>
            <w:tcBorders>
              <w:top w:val="nil"/>
              <w:left w:val="nil"/>
              <w:bottom w:val="single" w:sz="4" w:space="0" w:color="auto"/>
              <w:right w:val="single" w:sz="4" w:space="0" w:color="auto"/>
            </w:tcBorders>
            <w:vAlign w:val="center"/>
          </w:tcPr>
          <w:p w14:paraId="562CF8D3"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展览特装数量比例</w:t>
            </w:r>
          </w:p>
        </w:tc>
        <w:tc>
          <w:tcPr>
            <w:tcW w:w="794" w:type="dxa"/>
            <w:tcBorders>
              <w:top w:val="nil"/>
              <w:left w:val="nil"/>
              <w:bottom w:val="single" w:sz="4" w:space="0" w:color="auto"/>
              <w:right w:val="single" w:sz="4" w:space="0" w:color="auto"/>
            </w:tcBorders>
            <w:vAlign w:val="center"/>
          </w:tcPr>
          <w:p w14:paraId="1652925E"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526" w:type="dxa"/>
            <w:tcBorders>
              <w:top w:val="nil"/>
              <w:left w:val="nil"/>
              <w:bottom w:val="single" w:sz="4" w:space="0" w:color="auto"/>
              <w:right w:val="single" w:sz="4" w:space="0" w:color="auto"/>
            </w:tcBorders>
            <w:vAlign w:val="center"/>
          </w:tcPr>
          <w:p w14:paraId="78C5E036"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展览特装数量比例≥</w:t>
            </w:r>
            <w:r>
              <w:rPr>
                <w:rFonts w:ascii="Times New Roman" w:eastAsia="仿宋_GB2312" w:hAnsi="Times New Roman" w:cs="Arial"/>
                <w:sz w:val="24"/>
              </w:rPr>
              <w:t>5%</w:t>
            </w:r>
            <w:r>
              <w:rPr>
                <w:rFonts w:ascii="Times New Roman" w:eastAsia="仿宋_GB2312" w:hAnsi="Times New Roman" w:cs="Arial"/>
                <w:sz w:val="24"/>
              </w:rPr>
              <w:t>，</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3%</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118EEA81"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18FA5348"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5659BF88"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4C159E18"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境外参展</w:t>
            </w:r>
            <w:proofErr w:type="gramStart"/>
            <w:r>
              <w:rPr>
                <w:rFonts w:ascii="Times New Roman" w:eastAsia="仿宋_GB2312" w:hAnsi="Times New Roman" w:cs="Arial" w:hint="eastAsia"/>
                <w:sz w:val="24"/>
              </w:rPr>
              <w:t>商比例</w:t>
            </w:r>
            <w:proofErr w:type="gramEnd"/>
          </w:p>
        </w:tc>
        <w:tc>
          <w:tcPr>
            <w:tcW w:w="794" w:type="dxa"/>
            <w:tcBorders>
              <w:top w:val="nil"/>
              <w:left w:val="nil"/>
              <w:bottom w:val="single" w:sz="4" w:space="0" w:color="auto"/>
              <w:right w:val="single" w:sz="4" w:space="0" w:color="auto"/>
            </w:tcBorders>
            <w:vAlign w:val="center"/>
          </w:tcPr>
          <w:p w14:paraId="745EE8D0"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78167B8E"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境外（不含澳门）参展</w:t>
            </w:r>
            <w:proofErr w:type="gramStart"/>
            <w:r>
              <w:rPr>
                <w:rFonts w:ascii="Times New Roman" w:eastAsia="仿宋_GB2312" w:hAnsi="Times New Roman" w:cs="Arial" w:hint="eastAsia"/>
                <w:sz w:val="24"/>
              </w:rPr>
              <w:t>商比例</w:t>
            </w:r>
            <w:proofErr w:type="gramEnd"/>
            <w:r>
              <w:rPr>
                <w:rFonts w:ascii="Times New Roman" w:eastAsia="仿宋_GB2312" w:hAnsi="Times New Roman" w:cs="Arial" w:hint="eastAsia"/>
                <w:sz w:val="24"/>
              </w:rPr>
              <w:t>≥</w:t>
            </w:r>
            <w:r>
              <w:rPr>
                <w:rFonts w:ascii="Times New Roman" w:eastAsia="仿宋_GB2312" w:hAnsi="Times New Roman" w:cs="Arial"/>
                <w:sz w:val="24"/>
              </w:rPr>
              <w:t>5%</w:t>
            </w:r>
            <w:r>
              <w:rPr>
                <w:rFonts w:ascii="Times New Roman" w:eastAsia="仿宋_GB2312" w:hAnsi="Times New Roman" w:cs="Arial"/>
                <w:sz w:val="24"/>
              </w:rPr>
              <w:t>，</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2</w:t>
            </w:r>
            <w:r>
              <w:rPr>
                <w:rFonts w:ascii="Times New Roman" w:eastAsia="仿宋_GB2312" w:hAnsi="Times New Roman" w:cs="Arial"/>
                <w:sz w:val="24"/>
              </w:rPr>
              <w:t>分，每增加</w:t>
            </w:r>
            <w:r>
              <w:rPr>
                <w:rFonts w:ascii="Times New Roman" w:eastAsia="仿宋_GB2312" w:hAnsi="Times New Roman" w:cs="Arial"/>
                <w:sz w:val="24"/>
              </w:rPr>
              <w:t>3%</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295A6BA0"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32C70A57"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18E47D48"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10A6E630"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境内外上市企业参展数量</w:t>
            </w:r>
          </w:p>
        </w:tc>
        <w:tc>
          <w:tcPr>
            <w:tcW w:w="794" w:type="dxa"/>
            <w:tcBorders>
              <w:top w:val="nil"/>
              <w:left w:val="nil"/>
              <w:bottom w:val="single" w:sz="4" w:space="0" w:color="auto"/>
              <w:right w:val="single" w:sz="4" w:space="0" w:color="auto"/>
            </w:tcBorders>
            <w:vAlign w:val="center"/>
          </w:tcPr>
          <w:p w14:paraId="6DD9674C"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485CC0BA"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sz w:val="24"/>
              </w:rPr>
              <w:t>1</w:t>
            </w:r>
            <w:r>
              <w:rPr>
                <w:rFonts w:ascii="Times New Roman" w:eastAsia="仿宋_GB2312" w:hAnsi="Times New Roman" w:cs="Arial"/>
                <w:sz w:val="24"/>
              </w:rPr>
              <w:t>家境内外上市企业参展得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家得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00F3F6F4" w14:textId="77777777" w:rsidTr="00531B50">
        <w:trPr>
          <w:trHeight w:val="560"/>
          <w:jc w:val="center"/>
        </w:trPr>
        <w:tc>
          <w:tcPr>
            <w:tcW w:w="1020" w:type="dxa"/>
            <w:vMerge/>
            <w:tcBorders>
              <w:top w:val="nil"/>
              <w:left w:val="single" w:sz="4" w:space="0" w:color="auto"/>
              <w:bottom w:val="single" w:sz="4" w:space="0" w:color="auto"/>
              <w:right w:val="single" w:sz="4" w:space="0" w:color="auto"/>
            </w:tcBorders>
            <w:vAlign w:val="center"/>
          </w:tcPr>
          <w:p w14:paraId="0CDF9A9E"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793B496E"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727CFD57"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参展商回头率</w:t>
            </w:r>
          </w:p>
        </w:tc>
        <w:tc>
          <w:tcPr>
            <w:tcW w:w="794" w:type="dxa"/>
            <w:tcBorders>
              <w:top w:val="nil"/>
              <w:left w:val="nil"/>
              <w:bottom w:val="single" w:sz="4" w:space="0" w:color="auto"/>
              <w:right w:val="single" w:sz="4" w:space="0" w:color="auto"/>
            </w:tcBorders>
            <w:vAlign w:val="center"/>
          </w:tcPr>
          <w:p w14:paraId="400FE087"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3C256081"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上一届展览的参展商数量占申报年度展览参展商数量的</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74B04DFE"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2A55AA0F"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3369DCDD"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7F4AE056"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专业论坛活动数量</w:t>
            </w:r>
          </w:p>
        </w:tc>
        <w:tc>
          <w:tcPr>
            <w:tcW w:w="794" w:type="dxa"/>
            <w:tcBorders>
              <w:top w:val="nil"/>
              <w:left w:val="nil"/>
              <w:bottom w:val="single" w:sz="4" w:space="0" w:color="auto"/>
              <w:right w:val="single" w:sz="4" w:space="0" w:color="auto"/>
            </w:tcBorders>
            <w:vAlign w:val="center"/>
          </w:tcPr>
          <w:p w14:paraId="768D47D3"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526" w:type="dxa"/>
            <w:tcBorders>
              <w:top w:val="nil"/>
              <w:left w:val="nil"/>
              <w:bottom w:val="single" w:sz="4" w:space="0" w:color="auto"/>
              <w:right w:val="single" w:sz="4" w:space="0" w:color="auto"/>
            </w:tcBorders>
            <w:vAlign w:val="center"/>
          </w:tcPr>
          <w:p w14:paraId="2509668F"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举办与展览主题一致的专业论坛或活动达</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6D8527A5" w14:textId="77777777" w:rsidTr="00531B50">
        <w:trPr>
          <w:trHeight w:val="280"/>
          <w:jc w:val="center"/>
        </w:trPr>
        <w:tc>
          <w:tcPr>
            <w:tcW w:w="1020" w:type="dxa"/>
            <w:vMerge w:val="restart"/>
            <w:tcBorders>
              <w:top w:val="nil"/>
              <w:left w:val="single" w:sz="4" w:space="0" w:color="auto"/>
              <w:bottom w:val="single" w:sz="4" w:space="0" w:color="auto"/>
              <w:right w:val="single" w:sz="4" w:space="0" w:color="auto"/>
            </w:tcBorders>
            <w:vAlign w:val="center"/>
          </w:tcPr>
          <w:p w14:paraId="2AAD0582"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品牌建设</w:t>
            </w:r>
          </w:p>
        </w:tc>
        <w:tc>
          <w:tcPr>
            <w:tcW w:w="794" w:type="dxa"/>
            <w:vMerge w:val="restart"/>
            <w:tcBorders>
              <w:top w:val="nil"/>
              <w:left w:val="single" w:sz="4" w:space="0" w:color="auto"/>
              <w:bottom w:val="single" w:sz="4" w:space="0" w:color="auto"/>
              <w:right w:val="single" w:sz="4" w:space="0" w:color="auto"/>
            </w:tcBorders>
            <w:vAlign w:val="center"/>
          </w:tcPr>
          <w:p w14:paraId="4AB905FF"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18</w:t>
            </w:r>
          </w:p>
        </w:tc>
        <w:tc>
          <w:tcPr>
            <w:tcW w:w="1417" w:type="dxa"/>
            <w:tcBorders>
              <w:top w:val="nil"/>
              <w:left w:val="nil"/>
              <w:bottom w:val="single" w:sz="4" w:space="0" w:color="auto"/>
              <w:right w:val="single" w:sz="4" w:space="0" w:color="auto"/>
            </w:tcBorders>
            <w:vAlign w:val="center"/>
          </w:tcPr>
          <w:p w14:paraId="3727E333"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宣传推广</w:t>
            </w:r>
          </w:p>
        </w:tc>
        <w:tc>
          <w:tcPr>
            <w:tcW w:w="794" w:type="dxa"/>
            <w:tcBorders>
              <w:top w:val="nil"/>
              <w:left w:val="nil"/>
              <w:bottom w:val="single" w:sz="4" w:space="0" w:color="auto"/>
              <w:right w:val="single" w:sz="4" w:space="0" w:color="auto"/>
            </w:tcBorders>
            <w:vAlign w:val="center"/>
          </w:tcPr>
          <w:p w14:paraId="1043F405"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8</w:t>
            </w:r>
          </w:p>
        </w:tc>
        <w:tc>
          <w:tcPr>
            <w:tcW w:w="4526" w:type="dxa"/>
            <w:tcBorders>
              <w:top w:val="nil"/>
              <w:left w:val="nil"/>
              <w:bottom w:val="single" w:sz="4" w:space="0" w:color="auto"/>
              <w:right w:val="single" w:sz="4" w:space="0" w:color="auto"/>
            </w:tcBorders>
            <w:vAlign w:val="center"/>
          </w:tcPr>
          <w:p w14:paraId="19F52B27"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宣传投入成本达</w:t>
            </w:r>
            <w:r>
              <w:rPr>
                <w:rFonts w:ascii="Times New Roman" w:eastAsia="仿宋_GB2312" w:hAnsi="Times New Roman" w:cs="Arial"/>
                <w:sz w:val="24"/>
              </w:rPr>
              <w:t>20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62C3BEB3"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284ED2CA"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72F94DF2"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61303074"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宣传媒体数量</w:t>
            </w:r>
          </w:p>
        </w:tc>
        <w:tc>
          <w:tcPr>
            <w:tcW w:w="794" w:type="dxa"/>
            <w:tcBorders>
              <w:top w:val="nil"/>
              <w:left w:val="nil"/>
              <w:bottom w:val="single" w:sz="4" w:space="0" w:color="auto"/>
              <w:right w:val="single" w:sz="4" w:space="0" w:color="auto"/>
            </w:tcBorders>
            <w:vAlign w:val="center"/>
          </w:tcPr>
          <w:p w14:paraId="10BFAF94"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526" w:type="dxa"/>
            <w:tcBorders>
              <w:top w:val="nil"/>
              <w:left w:val="nil"/>
              <w:bottom w:val="single" w:sz="4" w:space="0" w:color="auto"/>
              <w:right w:val="single" w:sz="4" w:space="0" w:color="auto"/>
            </w:tcBorders>
            <w:vAlign w:val="center"/>
          </w:tcPr>
          <w:p w14:paraId="24BF87A6"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宣传媒体数量</w:t>
            </w:r>
            <w:r>
              <w:rPr>
                <w:rFonts w:ascii="Times New Roman" w:eastAsia="仿宋_GB2312" w:hAnsi="Times New Roman" w:cs="Arial"/>
                <w:sz w:val="24"/>
              </w:rPr>
              <w:t>2</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0.5</w:t>
            </w:r>
            <w:r>
              <w:rPr>
                <w:rFonts w:ascii="Times New Roman" w:eastAsia="仿宋_GB2312" w:hAnsi="Times New Roman" w:cs="Arial"/>
                <w:sz w:val="24"/>
              </w:rPr>
              <w:t>分</w:t>
            </w:r>
          </w:p>
        </w:tc>
      </w:tr>
      <w:tr w:rsidR="00760ED1" w14:paraId="705FCB93" w14:textId="77777777" w:rsidTr="00531B50">
        <w:trPr>
          <w:trHeight w:val="840"/>
          <w:jc w:val="center"/>
        </w:trPr>
        <w:tc>
          <w:tcPr>
            <w:tcW w:w="1020" w:type="dxa"/>
            <w:vMerge/>
            <w:tcBorders>
              <w:top w:val="nil"/>
              <w:left w:val="single" w:sz="4" w:space="0" w:color="auto"/>
              <w:bottom w:val="single" w:sz="4" w:space="0" w:color="auto"/>
              <w:right w:val="single" w:sz="4" w:space="0" w:color="auto"/>
            </w:tcBorders>
            <w:vAlign w:val="center"/>
          </w:tcPr>
          <w:p w14:paraId="0A77B93D"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E0A1554"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53E10BE2"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品牌信誉</w:t>
            </w:r>
          </w:p>
        </w:tc>
        <w:tc>
          <w:tcPr>
            <w:tcW w:w="794" w:type="dxa"/>
            <w:tcBorders>
              <w:top w:val="nil"/>
              <w:left w:val="nil"/>
              <w:bottom w:val="single" w:sz="4" w:space="0" w:color="auto"/>
              <w:right w:val="single" w:sz="4" w:space="0" w:color="auto"/>
            </w:tcBorders>
            <w:vAlign w:val="center"/>
          </w:tcPr>
          <w:p w14:paraId="7B91CB2B"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526" w:type="dxa"/>
            <w:tcBorders>
              <w:top w:val="nil"/>
              <w:left w:val="nil"/>
              <w:bottom w:val="single" w:sz="4" w:space="0" w:color="auto"/>
              <w:right w:val="single" w:sz="4" w:space="0" w:color="auto"/>
            </w:tcBorders>
            <w:vAlign w:val="center"/>
          </w:tcPr>
          <w:p w14:paraId="232C2A4F"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近</w:t>
            </w:r>
            <w:r>
              <w:rPr>
                <w:rFonts w:ascii="Times New Roman" w:eastAsia="仿宋_GB2312" w:hAnsi="Times New Roman" w:cs="Arial"/>
                <w:sz w:val="24"/>
              </w:rPr>
              <w:t>3</w:t>
            </w:r>
            <w:r>
              <w:rPr>
                <w:rFonts w:ascii="Times New Roman" w:eastAsia="仿宋_GB2312" w:hAnsi="Times New Roman" w:cs="Arial"/>
                <w:sz w:val="24"/>
              </w:rPr>
              <w:t>年获得国家级荣誉称号或良好信用信息、国际展览业协会（</w:t>
            </w:r>
            <w:r>
              <w:rPr>
                <w:rFonts w:ascii="Times New Roman" w:eastAsia="仿宋_GB2312" w:hAnsi="Times New Roman" w:cs="Arial"/>
                <w:sz w:val="24"/>
              </w:rPr>
              <w:t>UFI</w:t>
            </w:r>
            <w:r>
              <w:rPr>
                <w:rFonts w:ascii="Times New Roman" w:eastAsia="仿宋_GB2312" w:hAnsi="Times New Roman" w:cs="Arial"/>
                <w:sz w:val="24"/>
              </w:rPr>
              <w:t>）认证得</w:t>
            </w:r>
            <w:r>
              <w:rPr>
                <w:rFonts w:ascii="Times New Roman" w:eastAsia="仿宋_GB2312" w:hAnsi="Times New Roman" w:cs="Arial"/>
                <w:sz w:val="24"/>
              </w:rPr>
              <w:t>3</w:t>
            </w:r>
            <w:r>
              <w:rPr>
                <w:rFonts w:ascii="Times New Roman" w:eastAsia="仿宋_GB2312" w:hAnsi="Times New Roman" w:cs="Arial"/>
                <w:sz w:val="24"/>
              </w:rPr>
              <w:t>分；近</w:t>
            </w:r>
            <w:r>
              <w:rPr>
                <w:rFonts w:ascii="Times New Roman" w:eastAsia="仿宋_GB2312" w:hAnsi="Times New Roman" w:cs="Arial"/>
                <w:sz w:val="24"/>
              </w:rPr>
              <w:t>3</w:t>
            </w:r>
            <w:r>
              <w:rPr>
                <w:rFonts w:ascii="Times New Roman" w:eastAsia="仿宋_GB2312" w:hAnsi="Times New Roman" w:cs="Arial"/>
                <w:sz w:val="24"/>
              </w:rPr>
              <w:t>年获得省级荣誉称号或良好信用信息的，得</w:t>
            </w:r>
            <w:r>
              <w:rPr>
                <w:rFonts w:ascii="Times New Roman" w:eastAsia="仿宋_GB2312" w:hAnsi="Times New Roman" w:cs="Arial"/>
                <w:sz w:val="24"/>
              </w:rPr>
              <w:t>2</w:t>
            </w:r>
            <w:r>
              <w:rPr>
                <w:rFonts w:ascii="Times New Roman" w:eastAsia="仿宋_GB2312" w:hAnsi="Times New Roman" w:cs="Arial"/>
                <w:sz w:val="24"/>
              </w:rPr>
              <w:t>分；近</w:t>
            </w:r>
            <w:r>
              <w:rPr>
                <w:rFonts w:ascii="Times New Roman" w:eastAsia="仿宋_GB2312" w:hAnsi="Times New Roman" w:cs="Arial"/>
                <w:sz w:val="24"/>
              </w:rPr>
              <w:t>3</w:t>
            </w:r>
            <w:r>
              <w:rPr>
                <w:rFonts w:ascii="Times New Roman" w:eastAsia="仿宋_GB2312" w:hAnsi="Times New Roman" w:cs="Arial"/>
                <w:sz w:val="24"/>
              </w:rPr>
              <w:t>年获市级荣誉称号或良好信用信息的，得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1F0F3625"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2611AD0E"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0F28C63C"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2A499E9A"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赞助商数量</w:t>
            </w:r>
          </w:p>
        </w:tc>
        <w:tc>
          <w:tcPr>
            <w:tcW w:w="794" w:type="dxa"/>
            <w:tcBorders>
              <w:top w:val="nil"/>
              <w:left w:val="nil"/>
              <w:bottom w:val="single" w:sz="4" w:space="0" w:color="auto"/>
              <w:right w:val="single" w:sz="4" w:space="0" w:color="auto"/>
            </w:tcBorders>
            <w:vAlign w:val="center"/>
          </w:tcPr>
          <w:p w14:paraId="65563343"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526" w:type="dxa"/>
            <w:tcBorders>
              <w:top w:val="nil"/>
              <w:left w:val="nil"/>
              <w:bottom w:val="single" w:sz="4" w:space="0" w:color="auto"/>
              <w:right w:val="single" w:sz="4" w:space="0" w:color="auto"/>
            </w:tcBorders>
            <w:vAlign w:val="center"/>
          </w:tcPr>
          <w:p w14:paraId="36F98FD2"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sz w:val="24"/>
              </w:rPr>
              <w:t>1</w:t>
            </w:r>
            <w:r>
              <w:rPr>
                <w:rFonts w:ascii="Times New Roman" w:eastAsia="仿宋_GB2312" w:hAnsi="Times New Roman" w:cs="Arial"/>
                <w:sz w:val="24"/>
              </w:rPr>
              <w:t>个赞助商得</w:t>
            </w:r>
            <w:r>
              <w:rPr>
                <w:rFonts w:ascii="Times New Roman" w:eastAsia="仿宋_GB2312" w:hAnsi="Times New Roman" w:cs="Arial"/>
                <w:sz w:val="24"/>
              </w:rPr>
              <w:t>1</w:t>
            </w:r>
            <w:r>
              <w:rPr>
                <w:rFonts w:ascii="Times New Roman" w:eastAsia="仿宋_GB2312" w:hAnsi="Times New Roman" w:cs="Arial"/>
                <w:sz w:val="24"/>
              </w:rPr>
              <w:t>分，每增一个增</w:t>
            </w:r>
            <w:r>
              <w:rPr>
                <w:rFonts w:ascii="Times New Roman" w:eastAsia="仿宋_GB2312" w:hAnsi="Times New Roman" w:cs="Arial"/>
                <w:sz w:val="24"/>
              </w:rPr>
              <w:t>0.5</w:t>
            </w:r>
            <w:r>
              <w:rPr>
                <w:rFonts w:ascii="Times New Roman" w:eastAsia="仿宋_GB2312" w:hAnsi="Times New Roman" w:cs="Arial"/>
                <w:sz w:val="24"/>
              </w:rPr>
              <w:t>分</w:t>
            </w:r>
          </w:p>
        </w:tc>
      </w:tr>
      <w:tr w:rsidR="00760ED1" w14:paraId="2A6A7994" w14:textId="77777777" w:rsidTr="00531B50">
        <w:trPr>
          <w:trHeight w:val="280"/>
          <w:jc w:val="center"/>
        </w:trPr>
        <w:tc>
          <w:tcPr>
            <w:tcW w:w="1020" w:type="dxa"/>
            <w:vMerge/>
            <w:tcBorders>
              <w:top w:val="nil"/>
              <w:left w:val="single" w:sz="4" w:space="0" w:color="auto"/>
              <w:bottom w:val="single" w:sz="4" w:space="0" w:color="auto"/>
              <w:right w:val="single" w:sz="4" w:space="0" w:color="auto"/>
            </w:tcBorders>
            <w:vAlign w:val="center"/>
          </w:tcPr>
          <w:p w14:paraId="259CEE87"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107776A8"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520FB4B1"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知识产权保护</w:t>
            </w:r>
          </w:p>
        </w:tc>
        <w:tc>
          <w:tcPr>
            <w:tcW w:w="794" w:type="dxa"/>
            <w:tcBorders>
              <w:top w:val="nil"/>
              <w:left w:val="nil"/>
              <w:bottom w:val="single" w:sz="4" w:space="0" w:color="auto"/>
              <w:right w:val="single" w:sz="4" w:space="0" w:color="auto"/>
            </w:tcBorders>
            <w:vAlign w:val="center"/>
          </w:tcPr>
          <w:p w14:paraId="3F93C3D7"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526" w:type="dxa"/>
            <w:tcBorders>
              <w:top w:val="nil"/>
              <w:left w:val="nil"/>
              <w:bottom w:val="single" w:sz="4" w:space="0" w:color="auto"/>
              <w:right w:val="single" w:sz="4" w:space="0" w:color="auto"/>
            </w:tcBorders>
            <w:vAlign w:val="center"/>
          </w:tcPr>
          <w:p w14:paraId="22CCEB45"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展览举办期间，有知识产权保护机构进驻现场的，得</w:t>
            </w:r>
            <w:r>
              <w:rPr>
                <w:rFonts w:ascii="Times New Roman" w:eastAsia="仿宋_GB2312" w:hAnsi="Times New Roman" w:cs="Arial"/>
                <w:sz w:val="24"/>
              </w:rPr>
              <w:t>2</w:t>
            </w:r>
            <w:r>
              <w:rPr>
                <w:rFonts w:ascii="Times New Roman" w:eastAsia="仿宋_GB2312" w:hAnsi="Times New Roman" w:cs="Arial"/>
                <w:sz w:val="24"/>
              </w:rPr>
              <w:t>分</w:t>
            </w:r>
          </w:p>
        </w:tc>
      </w:tr>
      <w:tr w:rsidR="00760ED1" w14:paraId="4287E7E0" w14:textId="77777777" w:rsidTr="00531B50">
        <w:trPr>
          <w:trHeight w:val="840"/>
          <w:jc w:val="center"/>
        </w:trPr>
        <w:tc>
          <w:tcPr>
            <w:tcW w:w="1020" w:type="dxa"/>
            <w:tcBorders>
              <w:top w:val="nil"/>
              <w:left w:val="single" w:sz="4" w:space="0" w:color="auto"/>
              <w:bottom w:val="single" w:sz="4" w:space="0" w:color="auto"/>
              <w:right w:val="single" w:sz="4" w:space="0" w:color="auto"/>
            </w:tcBorders>
            <w:vAlign w:val="center"/>
          </w:tcPr>
          <w:p w14:paraId="51C6EF7E"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其他</w:t>
            </w:r>
          </w:p>
        </w:tc>
        <w:tc>
          <w:tcPr>
            <w:tcW w:w="794" w:type="dxa"/>
            <w:tcBorders>
              <w:top w:val="nil"/>
              <w:left w:val="nil"/>
              <w:bottom w:val="single" w:sz="4" w:space="0" w:color="auto"/>
              <w:right w:val="single" w:sz="4" w:space="0" w:color="auto"/>
            </w:tcBorders>
            <w:vAlign w:val="center"/>
          </w:tcPr>
          <w:p w14:paraId="57DE8E9D"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12</w:t>
            </w:r>
          </w:p>
        </w:tc>
        <w:tc>
          <w:tcPr>
            <w:tcW w:w="1417" w:type="dxa"/>
            <w:tcBorders>
              <w:top w:val="nil"/>
              <w:left w:val="nil"/>
              <w:bottom w:val="single" w:sz="4" w:space="0" w:color="auto"/>
              <w:right w:val="single" w:sz="4" w:space="0" w:color="auto"/>
            </w:tcBorders>
            <w:vAlign w:val="center"/>
          </w:tcPr>
          <w:p w14:paraId="1011EEB6"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产业契合度或影响力</w:t>
            </w:r>
          </w:p>
        </w:tc>
        <w:tc>
          <w:tcPr>
            <w:tcW w:w="794" w:type="dxa"/>
            <w:tcBorders>
              <w:top w:val="nil"/>
              <w:left w:val="nil"/>
              <w:bottom w:val="single" w:sz="4" w:space="0" w:color="auto"/>
              <w:right w:val="single" w:sz="4" w:space="0" w:color="auto"/>
            </w:tcBorders>
            <w:vAlign w:val="center"/>
          </w:tcPr>
          <w:p w14:paraId="1AFF6F25"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12</w:t>
            </w:r>
          </w:p>
        </w:tc>
        <w:tc>
          <w:tcPr>
            <w:tcW w:w="4526" w:type="dxa"/>
            <w:tcBorders>
              <w:top w:val="nil"/>
              <w:left w:val="nil"/>
              <w:bottom w:val="single" w:sz="4" w:space="0" w:color="auto"/>
              <w:right w:val="single" w:sz="4" w:space="0" w:color="auto"/>
            </w:tcBorders>
            <w:vAlign w:val="center"/>
          </w:tcPr>
          <w:p w14:paraId="5457ACAA"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展会主体所属行业契合《总体方案》涉及的重点产业，或对重点产业的发展有指导意义或展会本身具较强影响力和标识性，得</w:t>
            </w:r>
            <w:r>
              <w:rPr>
                <w:rFonts w:ascii="Times New Roman" w:eastAsia="仿宋_GB2312" w:hAnsi="Times New Roman" w:cs="Arial"/>
                <w:sz w:val="24"/>
              </w:rPr>
              <w:t>12</w:t>
            </w:r>
            <w:r>
              <w:rPr>
                <w:rFonts w:ascii="Times New Roman" w:eastAsia="仿宋_GB2312" w:hAnsi="Times New Roman" w:cs="Arial"/>
                <w:sz w:val="24"/>
              </w:rPr>
              <w:t>分</w:t>
            </w:r>
          </w:p>
        </w:tc>
      </w:tr>
      <w:tr w:rsidR="00760ED1" w14:paraId="13CF2070" w14:textId="77777777" w:rsidTr="00531B50">
        <w:trPr>
          <w:trHeight w:val="560"/>
          <w:jc w:val="center"/>
        </w:trPr>
        <w:tc>
          <w:tcPr>
            <w:tcW w:w="1020" w:type="dxa"/>
            <w:vMerge w:val="restart"/>
            <w:tcBorders>
              <w:top w:val="nil"/>
              <w:left w:val="single" w:sz="4" w:space="0" w:color="auto"/>
              <w:bottom w:val="single" w:sz="4" w:space="0" w:color="auto"/>
              <w:right w:val="single" w:sz="4" w:space="0" w:color="auto"/>
            </w:tcBorders>
            <w:vAlign w:val="center"/>
          </w:tcPr>
          <w:p w14:paraId="72D74859"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加分项</w:t>
            </w:r>
          </w:p>
        </w:tc>
        <w:tc>
          <w:tcPr>
            <w:tcW w:w="794" w:type="dxa"/>
            <w:vMerge w:val="restart"/>
            <w:tcBorders>
              <w:top w:val="nil"/>
              <w:left w:val="single" w:sz="4" w:space="0" w:color="auto"/>
              <w:bottom w:val="single" w:sz="4" w:space="0" w:color="auto"/>
              <w:right w:val="single" w:sz="4" w:space="0" w:color="auto"/>
            </w:tcBorders>
            <w:vAlign w:val="center"/>
          </w:tcPr>
          <w:p w14:paraId="47FF8594"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15</w:t>
            </w:r>
          </w:p>
        </w:tc>
        <w:tc>
          <w:tcPr>
            <w:tcW w:w="1417" w:type="dxa"/>
            <w:tcBorders>
              <w:top w:val="nil"/>
              <w:left w:val="nil"/>
              <w:bottom w:val="single" w:sz="4" w:space="0" w:color="auto"/>
              <w:right w:val="single" w:sz="4" w:space="0" w:color="auto"/>
            </w:tcBorders>
            <w:vAlign w:val="center"/>
          </w:tcPr>
          <w:p w14:paraId="30B4535C"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往届规模</w:t>
            </w:r>
          </w:p>
        </w:tc>
        <w:tc>
          <w:tcPr>
            <w:tcW w:w="794" w:type="dxa"/>
            <w:tcBorders>
              <w:top w:val="nil"/>
              <w:left w:val="nil"/>
              <w:bottom w:val="single" w:sz="4" w:space="0" w:color="auto"/>
              <w:right w:val="single" w:sz="4" w:space="0" w:color="auto"/>
            </w:tcBorders>
            <w:vAlign w:val="center"/>
          </w:tcPr>
          <w:p w14:paraId="10EECD09"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343C993A"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展览成功举办一届以上且具有一定规模（</w:t>
            </w:r>
            <w:r>
              <w:rPr>
                <w:rFonts w:ascii="Times New Roman" w:eastAsia="仿宋_GB2312" w:hAnsi="Times New Roman" w:cs="Arial"/>
                <w:sz w:val="24"/>
              </w:rPr>
              <w:t>10,000</w:t>
            </w:r>
            <w:r>
              <w:rPr>
                <w:rFonts w:ascii="Times New Roman" w:eastAsia="仿宋_GB2312" w:hAnsi="Times New Roman" w:cs="Arial"/>
                <w:sz w:val="24"/>
              </w:rPr>
              <w:t>平方米及以上），得</w:t>
            </w:r>
            <w:r>
              <w:rPr>
                <w:rFonts w:ascii="Times New Roman" w:eastAsia="仿宋_GB2312" w:hAnsi="Times New Roman" w:cs="Arial"/>
                <w:sz w:val="24"/>
              </w:rPr>
              <w:t>5</w:t>
            </w:r>
            <w:r>
              <w:rPr>
                <w:rFonts w:ascii="Times New Roman" w:eastAsia="仿宋_GB2312" w:hAnsi="Times New Roman" w:cs="Arial"/>
                <w:sz w:val="24"/>
              </w:rPr>
              <w:t>分</w:t>
            </w:r>
          </w:p>
        </w:tc>
      </w:tr>
      <w:tr w:rsidR="00760ED1" w14:paraId="0298B716" w14:textId="77777777" w:rsidTr="00531B50">
        <w:trPr>
          <w:trHeight w:val="560"/>
          <w:jc w:val="center"/>
        </w:trPr>
        <w:tc>
          <w:tcPr>
            <w:tcW w:w="1020" w:type="dxa"/>
            <w:vMerge/>
            <w:tcBorders>
              <w:top w:val="nil"/>
              <w:left w:val="single" w:sz="4" w:space="0" w:color="auto"/>
              <w:bottom w:val="single" w:sz="4" w:space="0" w:color="auto"/>
              <w:right w:val="single" w:sz="4" w:space="0" w:color="auto"/>
            </w:tcBorders>
            <w:vAlign w:val="center"/>
          </w:tcPr>
          <w:p w14:paraId="0C1C1E6A"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DC7850D"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5A481492"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促进产业聚集</w:t>
            </w:r>
          </w:p>
        </w:tc>
        <w:tc>
          <w:tcPr>
            <w:tcW w:w="794" w:type="dxa"/>
            <w:tcBorders>
              <w:top w:val="nil"/>
              <w:left w:val="nil"/>
              <w:bottom w:val="single" w:sz="4" w:space="0" w:color="auto"/>
              <w:right w:val="single" w:sz="4" w:space="0" w:color="auto"/>
            </w:tcBorders>
            <w:vAlign w:val="center"/>
          </w:tcPr>
          <w:p w14:paraId="1A49FE82"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23B5700F"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展览举办期间，举办招商引资推介会、参观考察等招商引资活动</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2</w:t>
            </w:r>
            <w:r>
              <w:rPr>
                <w:rFonts w:ascii="Times New Roman" w:eastAsia="仿宋_GB2312" w:hAnsi="Times New Roman" w:cs="Arial"/>
                <w:sz w:val="24"/>
              </w:rPr>
              <w:t>分，每增加举办</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w:t>
            </w:r>
          </w:p>
        </w:tc>
      </w:tr>
      <w:tr w:rsidR="00760ED1" w14:paraId="3B91790F" w14:textId="77777777" w:rsidTr="00531B50">
        <w:trPr>
          <w:trHeight w:val="560"/>
          <w:jc w:val="center"/>
        </w:trPr>
        <w:tc>
          <w:tcPr>
            <w:tcW w:w="1020" w:type="dxa"/>
            <w:vMerge/>
            <w:tcBorders>
              <w:top w:val="nil"/>
              <w:left w:val="single" w:sz="4" w:space="0" w:color="auto"/>
              <w:bottom w:val="single" w:sz="4" w:space="0" w:color="auto"/>
              <w:right w:val="single" w:sz="4" w:space="0" w:color="auto"/>
            </w:tcBorders>
            <w:vAlign w:val="center"/>
          </w:tcPr>
          <w:p w14:paraId="37B46CFB" w14:textId="77777777" w:rsidR="00760ED1" w:rsidRDefault="00760ED1"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1FC5B68D" w14:textId="77777777" w:rsidR="00760ED1" w:rsidRDefault="00760ED1"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vAlign w:val="center"/>
          </w:tcPr>
          <w:p w14:paraId="7EF8EFC6"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促进经贸交易</w:t>
            </w:r>
          </w:p>
        </w:tc>
        <w:tc>
          <w:tcPr>
            <w:tcW w:w="794" w:type="dxa"/>
            <w:tcBorders>
              <w:top w:val="nil"/>
              <w:left w:val="nil"/>
              <w:bottom w:val="single" w:sz="4" w:space="0" w:color="auto"/>
              <w:right w:val="single" w:sz="4" w:space="0" w:color="auto"/>
            </w:tcBorders>
            <w:vAlign w:val="center"/>
          </w:tcPr>
          <w:p w14:paraId="2F1373BF" w14:textId="77777777" w:rsidR="00760ED1" w:rsidRDefault="00760ED1"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526" w:type="dxa"/>
            <w:tcBorders>
              <w:top w:val="nil"/>
              <w:left w:val="nil"/>
              <w:bottom w:val="single" w:sz="4" w:space="0" w:color="auto"/>
              <w:right w:val="single" w:sz="4" w:space="0" w:color="auto"/>
            </w:tcBorders>
            <w:vAlign w:val="center"/>
          </w:tcPr>
          <w:p w14:paraId="184C20C2" w14:textId="77777777" w:rsidR="00760ED1" w:rsidRDefault="00760ED1"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展览举办期间，现场销售额达</w:t>
            </w:r>
            <w:r>
              <w:rPr>
                <w:rFonts w:ascii="Times New Roman" w:eastAsia="仿宋_GB2312" w:hAnsi="Times New Roman" w:cs="Arial"/>
                <w:sz w:val="24"/>
              </w:rPr>
              <w:t>100</w:t>
            </w:r>
            <w:r>
              <w:rPr>
                <w:rFonts w:ascii="Times New Roman" w:eastAsia="仿宋_GB2312" w:hAnsi="Times New Roman" w:cs="Arial"/>
                <w:sz w:val="24"/>
              </w:rPr>
              <w:t>万元以上，得</w:t>
            </w:r>
            <w:r>
              <w:rPr>
                <w:rFonts w:ascii="Times New Roman" w:eastAsia="仿宋_GB2312" w:hAnsi="Times New Roman" w:cs="Arial"/>
                <w:sz w:val="24"/>
              </w:rPr>
              <w:t>2</w:t>
            </w:r>
            <w:r>
              <w:rPr>
                <w:rFonts w:ascii="Times New Roman" w:eastAsia="仿宋_GB2312" w:hAnsi="Times New Roman" w:cs="Arial"/>
                <w:sz w:val="24"/>
              </w:rPr>
              <w:t>分，现场销售额每增加</w:t>
            </w:r>
            <w:r>
              <w:rPr>
                <w:rFonts w:ascii="Times New Roman" w:eastAsia="仿宋_GB2312" w:hAnsi="Times New Roman" w:cs="Arial"/>
                <w:sz w:val="24"/>
              </w:rPr>
              <w:t>50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w:t>
            </w:r>
          </w:p>
        </w:tc>
      </w:tr>
    </w:tbl>
    <w:p w14:paraId="78F48CB5" w14:textId="77777777" w:rsidR="00B372F2" w:rsidRPr="00760ED1" w:rsidRDefault="00B372F2" w:rsidP="00760ED1"/>
    <w:sectPr w:rsidR="00B372F2" w:rsidRPr="00760E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88A9" w14:textId="77777777" w:rsidR="00B8284F" w:rsidRDefault="00B8284F" w:rsidP="00760ED1">
      <w:r>
        <w:separator/>
      </w:r>
    </w:p>
  </w:endnote>
  <w:endnote w:type="continuationSeparator" w:id="0">
    <w:p w14:paraId="35E3F9FD" w14:textId="77777777" w:rsidR="00B8284F" w:rsidRDefault="00B8284F" w:rsidP="0076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432D" w14:textId="77777777" w:rsidR="00B8284F" w:rsidRDefault="00B8284F" w:rsidP="00760ED1">
      <w:r>
        <w:separator/>
      </w:r>
    </w:p>
  </w:footnote>
  <w:footnote w:type="continuationSeparator" w:id="0">
    <w:p w14:paraId="3F9DA86B" w14:textId="77777777" w:rsidR="00B8284F" w:rsidRDefault="00B8284F" w:rsidP="00760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7F"/>
    <w:rsid w:val="00760ED1"/>
    <w:rsid w:val="00B372F2"/>
    <w:rsid w:val="00B8284F"/>
    <w:rsid w:val="00C6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BD12"/>
  <w15:chartTrackingRefBased/>
  <w15:docId w15:val="{E726F788-CDF7-47F3-93F8-E6C2AB37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60ED1"/>
    <w:pPr>
      <w:widowControl w:val="0"/>
      <w:jc w:val="both"/>
    </w:pPr>
    <w:rPr>
      <w:rFonts w:ascii="Calibri" w:eastAsia="宋体" w:hAnsi="Calibri" w:cs="Times New Roman"/>
      <w:szCs w:val="24"/>
    </w:rPr>
  </w:style>
  <w:style w:type="paragraph" w:styleId="2">
    <w:name w:val="heading 2"/>
    <w:basedOn w:val="a"/>
    <w:next w:val="a"/>
    <w:link w:val="20"/>
    <w:uiPriority w:val="9"/>
    <w:semiHidden/>
    <w:unhideWhenUsed/>
    <w:qFormat/>
    <w:rsid w:val="00760E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ED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0ED1"/>
    <w:rPr>
      <w:sz w:val="18"/>
      <w:szCs w:val="18"/>
    </w:rPr>
  </w:style>
  <w:style w:type="paragraph" w:styleId="a5">
    <w:name w:val="footer"/>
    <w:basedOn w:val="a"/>
    <w:link w:val="a6"/>
    <w:uiPriority w:val="99"/>
    <w:unhideWhenUsed/>
    <w:rsid w:val="00760E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60ED1"/>
    <w:rPr>
      <w:sz w:val="18"/>
      <w:szCs w:val="18"/>
    </w:rPr>
  </w:style>
  <w:style w:type="paragraph" w:styleId="a7">
    <w:name w:val="Normal Indent"/>
    <w:basedOn w:val="a"/>
    <w:next w:val="a"/>
    <w:qFormat/>
    <w:rsid w:val="00760ED1"/>
    <w:pPr>
      <w:ind w:firstLine="420"/>
    </w:pPr>
    <w:rPr>
      <w:rFonts w:ascii="等线" w:eastAsia="等线" w:hAnsi="等线"/>
    </w:rPr>
  </w:style>
  <w:style w:type="character" w:customStyle="1" w:styleId="20">
    <w:name w:val="标题 2 字符"/>
    <w:basedOn w:val="a0"/>
    <w:link w:val="2"/>
    <w:uiPriority w:val="9"/>
    <w:semiHidden/>
    <w:rsid w:val="00760ED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2023-07-11T06:36:00Z</dcterms:created>
  <dcterms:modified xsi:type="dcterms:W3CDTF">2023-07-11T06:36:00Z</dcterms:modified>
</cp:coreProperties>
</file>