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D18F" w14:textId="77777777" w:rsidR="00015DF0" w:rsidRDefault="00015DF0" w:rsidP="00015DF0">
      <w:pPr>
        <w:widowControl/>
        <w:spacing w:line="579" w:lineRule="exact"/>
        <w:jc w:val="left"/>
        <w:rPr>
          <w:rFonts w:ascii="黑体" w:eastAsia="黑体" w:hAnsi="黑体" w:cs="黑体"/>
          <w:bCs/>
          <w:sz w:val="32"/>
          <w:szCs w:val="32"/>
        </w:rPr>
      </w:pPr>
      <w:r>
        <w:rPr>
          <w:rFonts w:ascii="黑体" w:eastAsia="黑体" w:hAnsi="黑体" w:cs="黑体" w:hint="eastAsia"/>
          <w:bCs/>
          <w:sz w:val="32"/>
          <w:szCs w:val="32"/>
        </w:rPr>
        <w:t>附件2</w:t>
      </w:r>
    </w:p>
    <w:p w14:paraId="295D29C7" w14:textId="77777777" w:rsidR="00015DF0" w:rsidRDefault="00015DF0" w:rsidP="00015DF0">
      <w:pPr>
        <w:spacing w:line="579"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废止的规范性文件清单</w:t>
      </w:r>
    </w:p>
    <w:p w14:paraId="76186E10" w14:textId="77777777" w:rsidR="00015DF0" w:rsidRDefault="00015DF0" w:rsidP="00015DF0">
      <w:pPr>
        <w:spacing w:line="579" w:lineRule="exact"/>
        <w:jc w:val="center"/>
        <w:rPr>
          <w:rFonts w:ascii="楷体_GB2312" w:eastAsia="楷体_GB2312" w:hAnsi="楷体_GB2312" w:cs="楷体_GB2312"/>
          <w:sz w:val="32"/>
          <w:szCs w:val="32"/>
          <w:shd w:val="clear" w:color="auto" w:fill="FBD4B4"/>
        </w:rPr>
      </w:pPr>
      <w:r>
        <w:rPr>
          <w:rFonts w:ascii="楷体_GB2312" w:eastAsia="楷体_GB2312" w:hAnsi="楷体_GB2312" w:cs="楷体_GB2312" w:hint="eastAsia"/>
          <w:sz w:val="32"/>
          <w:szCs w:val="32"/>
        </w:rPr>
        <w:t>（共56件）</w:t>
      </w:r>
    </w:p>
    <w:p w14:paraId="2243538D" w14:textId="77777777" w:rsidR="00015DF0" w:rsidRDefault="00015DF0" w:rsidP="00015DF0">
      <w:pPr>
        <w:pStyle w:val="a8"/>
        <w:spacing w:after="0" w:line="240" w:lineRule="exact"/>
      </w:pPr>
    </w:p>
    <w:tbl>
      <w:tblPr>
        <w:tblW w:w="13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9"/>
        <w:gridCol w:w="3187"/>
        <w:gridCol w:w="9019"/>
      </w:tblGrid>
      <w:tr w:rsidR="00015DF0" w14:paraId="2F7199AC" w14:textId="77777777" w:rsidTr="00CB3C82">
        <w:trPr>
          <w:trHeight w:val="595"/>
          <w:tblHeader/>
          <w:jc w:val="center"/>
        </w:trPr>
        <w:tc>
          <w:tcPr>
            <w:tcW w:w="1169" w:type="dxa"/>
            <w:tcMar>
              <w:left w:w="0" w:type="dxa"/>
              <w:right w:w="0" w:type="dxa"/>
            </w:tcMar>
            <w:vAlign w:val="center"/>
          </w:tcPr>
          <w:p w14:paraId="0BE905E4" w14:textId="77777777" w:rsidR="00015DF0" w:rsidRDefault="00015DF0" w:rsidP="00CB3C82">
            <w:pPr>
              <w:tabs>
                <w:tab w:val="left" w:pos="397"/>
              </w:tabs>
              <w:spacing w:line="300" w:lineRule="exact"/>
              <w:jc w:val="center"/>
              <w:rPr>
                <w:rFonts w:ascii="黑体" w:eastAsia="黑体" w:hAnsi="黑体" w:cs="黑体"/>
                <w:bCs/>
                <w:szCs w:val="21"/>
              </w:rPr>
            </w:pPr>
            <w:r>
              <w:rPr>
                <w:rFonts w:ascii="黑体" w:eastAsia="黑体" w:hAnsi="黑体" w:cs="黑体" w:hint="eastAsia"/>
                <w:bCs/>
                <w:szCs w:val="21"/>
              </w:rPr>
              <w:t>序号</w:t>
            </w:r>
          </w:p>
        </w:tc>
        <w:tc>
          <w:tcPr>
            <w:tcW w:w="3187" w:type="dxa"/>
            <w:tcMar>
              <w:left w:w="0" w:type="dxa"/>
              <w:right w:w="0" w:type="dxa"/>
            </w:tcMar>
            <w:vAlign w:val="center"/>
          </w:tcPr>
          <w:p w14:paraId="0593C21D" w14:textId="77777777" w:rsidR="00015DF0" w:rsidRDefault="00015DF0" w:rsidP="00CB3C82">
            <w:pPr>
              <w:spacing w:line="300" w:lineRule="exact"/>
              <w:jc w:val="center"/>
              <w:rPr>
                <w:rFonts w:ascii="黑体" w:eastAsia="黑体" w:hAnsi="黑体" w:cs="黑体"/>
                <w:bCs/>
                <w:szCs w:val="21"/>
              </w:rPr>
            </w:pPr>
            <w:r>
              <w:rPr>
                <w:rFonts w:ascii="黑体" w:eastAsia="黑体" w:hAnsi="黑体" w:cs="黑体" w:hint="eastAsia"/>
                <w:bCs/>
                <w:szCs w:val="21"/>
              </w:rPr>
              <w:t>文号</w:t>
            </w:r>
          </w:p>
        </w:tc>
        <w:tc>
          <w:tcPr>
            <w:tcW w:w="9019" w:type="dxa"/>
            <w:vAlign w:val="center"/>
          </w:tcPr>
          <w:p w14:paraId="108A948D" w14:textId="77777777" w:rsidR="00015DF0" w:rsidRDefault="00015DF0" w:rsidP="00CB3C82">
            <w:pPr>
              <w:spacing w:line="300" w:lineRule="exact"/>
              <w:jc w:val="center"/>
              <w:rPr>
                <w:rFonts w:ascii="黑体" w:eastAsia="黑体" w:hAnsi="黑体" w:cs="黑体"/>
                <w:bCs/>
                <w:szCs w:val="21"/>
              </w:rPr>
            </w:pPr>
            <w:r>
              <w:rPr>
                <w:rFonts w:ascii="黑体" w:eastAsia="黑体" w:hAnsi="黑体" w:cs="黑体" w:hint="eastAsia"/>
                <w:bCs/>
                <w:szCs w:val="21"/>
              </w:rPr>
              <w:t>规范性文件名称</w:t>
            </w:r>
          </w:p>
        </w:tc>
      </w:tr>
      <w:tr w:rsidR="00015DF0" w14:paraId="1E8CEDB5" w14:textId="77777777" w:rsidTr="00CB3C82">
        <w:trPr>
          <w:trHeight w:val="595"/>
          <w:jc w:val="center"/>
        </w:trPr>
        <w:tc>
          <w:tcPr>
            <w:tcW w:w="1169" w:type="dxa"/>
            <w:tcMar>
              <w:left w:w="0" w:type="dxa"/>
              <w:right w:w="0" w:type="dxa"/>
            </w:tcMar>
            <w:vAlign w:val="center"/>
          </w:tcPr>
          <w:p w14:paraId="34213B05"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79E1F8F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〔2010〕11号</w:t>
            </w:r>
          </w:p>
        </w:tc>
        <w:tc>
          <w:tcPr>
            <w:tcW w:w="9019" w:type="dxa"/>
            <w:vAlign w:val="center"/>
          </w:tcPr>
          <w:p w14:paraId="6D1A21BB"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《珠海市横琴新区建设工程项目和企业投资项目代办制实施办法》</w:t>
            </w:r>
          </w:p>
        </w:tc>
      </w:tr>
      <w:tr w:rsidR="00015DF0" w14:paraId="2732A7F2" w14:textId="77777777" w:rsidTr="00CB3C82">
        <w:trPr>
          <w:trHeight w:val="595"/>
          <w:jc w:val="center"/>
        </w:trPr>
        <w:tc>
          <w:tcPr>
            <w:tcW w:w="1169" w:type="dxa"/>
            <w:tcMar>
              <w:left w:w="0" w:type="dxa"/>
              <w:right w:w="0" w:type="dxa"/>
            </w:tcMar>
            <w:vAlign w:val="center"/>
          </w:tcPr>
          <w:p w14:paraId="1F880C73"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1526D7F"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〔2010〕75号</w:t>
            </w:r>
          </w:p>
        </w:tc>
        <w:tc>
          <w:tcPr>
            <w:tcW w:w="9019" w:type="dxa"/>
            <w:vAlign w:val="center"/>
          </w:tcPr>
          <w:p w14:paraId="123F7330"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《珠海市横琴新区建设工程项目协同审批暂行办法》</w:t>
            </w:r>
          </w:p>
        </w:tc>
      </w:tr>
      <w:tr w:rsidR="00015DF0" w14:paraId="06D1382F" w14:textId="77777777" w:rsidTr="00CB3C82">
        <w:trPr>
          <w:trHeight w:val="595"/>
          <w:jc w:val="center"/>
        </w:trPr>
        <w:tc>
          <w:tcPr>
            <w:tcW w:w="1169" w:type="dxa"/>
            <w:tcMar>
              <w:left w:w="0" w:type="dxa"/>
              <w:right w:w="0" w:type="dxa"/>
            </w:tcMar>
            <w:vAlign w:val="center"/>
          </w:tcPr>
          <w:p w14:paraId="5D61A888"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68B5D66"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〔2010〕93号</w:t>
            </w:r>
          </w:p>
        </w:tc>
        <w:tc>
          <w:tcPr>
            <w:tcW w:w="9019" w:type="dxa"/>
            <w:vAlign w:val="center"/>
          </w:tcPr>
          <w:p w14:paraId="2B8ACC6D"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《珠海市横琴新区财政性资金管理暂行办法》</w:t>
            </w:r>
          </w:p>
        </w:tc>
      </w:tr>
      <w:tr w:rsidR="00015DF0" w14:paraId="6514BF60" w14:textId="77777777" w:rsidTr="00CB3C82">
        <w:trPr>
          <w:trHeight w:val="595"/>
          <w:jc w:val="center"/>
        </w:trPr>
        <w:tc>
          <w:tcPr>
            <w:tcW w:w="1169" w:type="dxa"/>
            <w:tcMar>
              <w:left w:w="0" w:type="dxa"/>
              <w:right w:w="0" w:type="dxa"/>
            </w:tcMar>
            <w:vAlign w:val="center"/>
          </w:tcPr>
          <w:p w14:paraId="23651A99"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78BA29E8"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〔2011〕40号</w:t>
            </w:r>
          </w:p>
        </w:tc>
        <w:tc>
          <w:tcPr>
            <w:tcW w:w="9019" w:type="dxa"/>
            <w:vAlign w:val="center"/>
          </w:tcPr>
          <w:p w14:paraId="18E6B0AE"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《珠海市横琴新区财政性基本建设资金管理暂行办法》</w:t>
            </w:r>
          </w:p>
        </w:tc>
      </w:tr>
      <w:tr w:rsidR="00015DF0" w14:paraId="2A9FDB31" w14:textId="77777777" w:rsidTr="00CB3C82">
        <w:trPr>
          <w:trHeight w:val="595"/>
          <w:jc w:val="center"/>
        </w:trPr>
        <w:tc>
          <w:tcPr>
            <w:tcW w:w="1169" w:type="dxa"/>
            <w:tcMar>
              <w:left w:w="0" w:type="dxa"/>
              <w:right w:w="0" w:type="dxa"/>
            </w:tcMar>
            <w:vAlign w:val="center"/>
          </w:tcPr>
          <w:p w14:paraId="67FEC09B"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332FE861" w14:textId="77777777" w:rsidR="00015DF0" w:rsidRDefault="00015DF0"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﹝2012</w:t>
            </w:r>
            <w:proofErr w:type="gramStart"/>
            <w:r>
              <w:rPr>
                <w:rFonts w:ascii="楷体_GB2312" w:eastAsia="楷体_GB2312" w:hAnsi="楷体_GB2312" w:cs="楷体_GB2312" w:hint="eastAsia"/>
                <w:kern w:val="0"/>
                <w:szCs w:val="21"/>
                <w:lang w:bidi="ar"/>
              </w:rPr>
              <w:t>〕</w:t>
            </w:r>
            <w:proofErr w:type="gramEnd"/>
            <w:r>
              <w:rPr>
                <w:rFonts w:ascii="楷体_GB2312" w:eastAsia="楷体_GB2312" w:hAnsi="楷体_GB2312" w:cs="楷体_GB2312" w:hint="eastAsia"/>
                <w:kern w:val="0"/>
                <w:szCs w:val="21"/>
                <w:lang w:bidi="ar"/>
              </w:rPr>
              <w:t>10号</w:t>
            </w:r>
          </w:p>
        </w:tc>
        <w:tc>
          <w:tcPr>
            <w:tcW w:w="9019" w:type="dxa"/>
            <w:vAlign w:val="center"/>
          </w:tcPr>
          <w:p w14:paraId="4FF2A48F" w14:textId="77777777" w:rsidR="00015DF0" w:rsidRDefault="00015DF0" w:rsidP="00CB3C82">
            <w:pPr>
              <w:widowControl/>
              <w:spacing w:line="300" w:lineRule="exact"/>
              <w:textAlignment w:val="center"/>
              <w:rPr>
                <w:rFonts w:ascii="楷体_GB2312" w:eastAsia="楷体_GB2312" w:hAnsi="楷体_GB2312" w:cs="楷体_GB2312" w:hint="eastAsia"/>
                <w:color w:val="000000"/>
                <w:kern w:val="0"/>
                <w:szCs w:val="21"/>
                <w:lang w:bidi="ar"/>
              </w:rPr>
            </w:pPr>
            <w:r>
              <w:rPr>
                <w:rFonts w:ascii="楷体_GB2312" w:eastAsia="楷体_GB2312" w:hAnsi="楷体_GB2312" w:cs="楷体_GB2312" w:hint="eastAsia"/>
                <w:color w:val="000000"/>
                <w:kern w:val="0"/>
                <w:szCs w:val="21"/>
                <w:lang w:bidi="ar"/>
              </w:rPr>
              <w:t>《珠海市横琴新区临时用地和临时建筑管理办法（试行）》</w:t>
            </w:r>
          </w:p>
        </w:tc>
      </w:tr>
      <w:tr w:rsidR="00015DF0" w14:paraId="577E49A9" w14:textId="77777777" w:rsidTr="00CB3C82">
        <w:trPr>
          <w:trHeight w:val="595"/>
          <w:jc w:val="center"/>
        </w:trPr>
        <w:tc>
          <w:tcPr>
            <w:tcW w:w="1169" w:type="dxa"/>
            <w:tcMar>
              <w:left w:w="0" w:type="dxa"/>
              <w:right w:w="0" w:type="dxa"/>
            </w:tcMar>
            <w:vAlign w:val="center"/>
          </w:tcPr>
          <w:p w14:paraId="51A8A717"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E1EF159"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〔2012〕10号</w:t>
            </w:r>
          </w:p>
        </w:tc>
        <w:tc>
          <w:tcPr>
            <w:tcW w:w="9019" w:type="dxa"/>
            <w:vAlign w:val="center"/>
          </w:tcPr>
          <w:p w14:paraId="141DD4ED"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《关于完善横琴新区征地和青苗补偿工作有关事项的通知》</w:t>
            </w:r>
          </w:p>
        </w:tc>
      </w:tr>
      <w:tr w:rsidR="00015DF0" w14:paraId="3A594015" w14:textId="77777777" w:rsidTr="00CB3C82">
        <w:trPr>
          <w:trHeight w:val="595"/>
          <w:jc w:val="center"/>
        </w:trPr>
        <w:tc>
          <w:tcPr>
            <w:tcW w:w="1169" w:type="dxa"/>
            <w:tcMar>
              <w:left w:w="0" w:type="dxa"/>
              <w:right w:w="0" w:type="dxa"/>
            </w:tcMar>
            <w:vAlign w:val="center"/>
          </w:tcPr>
          <w:p w14:paraId="22DCAFC3"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74F9DB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〔2012〕22号</w:t>
            </w:r>
          </w:p>
        </w:tc>
        <w:tc>
          <w:tcPr>
            <w:tcW w:w="9019" w:type="dxa"/>
            <w:vAlign w:val="center"/>
          </w:tcPr>
          <w:p w14:paraId="14632398"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《横琴新区促进股权投资基金业发展的实施意见》</w:t>
            </w:r>
          </w:p>
        </w:tc>
      </w:tr>
      <w:tr w:rsidR="00015DF0" w14:paraId="5E0605DD" w14:textId="77777777" w:rsidTr="00CB3C82">
        <w:trPr>
          <w:trHeight w:val="595"/>
          <w:jc w:val="center"/>
        </w:trPr>
        <w:tc>
          <w:tcPr>
            <w:tcW w:w="1169" w:type="dxa"/>
            <w:tcMar>
              <w:left w:w="0" w:type="dxa"/>
              <w:right w:w="0" w:type="dxa"/>
            </w:tcMar>
            <w:vAlign w:val="center"/>
          </w:tcPr>
          <w:p w14:paraId="0CFC3282"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22A66A4"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〔2012〕26号</w:t>
            </w:r>
          </w:p>
        </w:tc>
        <w:tc>
          <w:tcPr>
            <w:tcW w:w="9019" w:type="dxa"/>
            <w:vAlign w:val="center"/>
          </w:tcPr>
          <w:p w14:paraId="6FB06B01"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《珠海市横琴新区土地储备管理办法》</w:t>
            </w:r>
          </w:p>
        </w:tc>
      </w:tr>
      <w:tr w:rsidR="00015DF0" w14:paraId="7FEBDEC0" w14:textId="77777777" w:rsidTr="00CB3C82">
        <w:trPr>
          <w:trHeight w:val="595"/>
          <w:jc w:val="center"/>
        </w:trPr>
        <w:tc>
          <w:tcPr>
            <w:tcW w:w="1169" w:type="dxa"/>
            <w:tcMar>
              <w:left w:w="0" w:type="dxa"/>
              <w:right w:w="0" w:type="dxa"/>
            </w:tcMar>
            <w:vAlign w:val="center"/>
          </w:tcPr>
          <w:p w14:paraId="281BDCE8"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FF68027"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〔2012〕27号</w:t>
            </w:r>
          </w:p>
        </w:tc>
        <w:tc>
          <w:tcPr>
            <w:tcW w:w="9019" w:type="dxa"/>
            <w:vAlign w:val="center"/>
          </w:tcPr>
          <w:p w14:paraId="3E9F4A22"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《横琴新区建设人口均衡型社会人口与计划生育利益导向机制暂行规定》</w:t>
            </w:r>
          </w:p>
        </w:tc>
      </w:tr>
      <w:tr w:rsidR="00015DF0" w14:paraId="3DB94A9F" w14:textId="77777777" w:rsidTr="00CB3C82">
        <w:trPr>
          <w:trHeight w:val="595"/>
          <w:jc w:val="center"/>
        </w:trPr>
        <w:tc>
          <w:tcPr>
            <w:tcW w:w="1169" w:type="dxa"/>
            <w:tcMar>
              <w:left w:w="0" w:type="dxa"/>
              <w:right w:w="0" w:type="dxa"/>
            </w:tcMar>
            <w:vAlign w:val="center"/>
          </w:tcPr>
          <w:p w14:paraId="16CD7B3E"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3FDA701"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﹝2012</w:t>
            </w:r>
            <w:proofErr w:type="gramStart"/>
            <w:r>
              <w:rPr>
                <w:rFonts w:ascii="楷体_GB2312" w:eastAsia="楷体_GB2312" w:hAnsi="楷体_GB2312" w:cs="楷体_GB2312" w:hint="eastAsia"/>
                <w:kern w:val="0"/>
                <w:szCs w:val="21"/>
                <w:lang w:bidi="ar"/>
              </w:rPr>
              <w:t>〕</w:t>
            </w:r>
            <w:proofErr w:type="gramEnd"/>
            <w:r>
              <w:rPr>
                <w:rFonts w:ascii="楷体_GB2312" w:eastAsia="楷体_GB2312" w:hAnsi="楷体_GB2312" w:cs="楷体_GB2312" w:hint="eastAsia"/>
                <w:kern w:val="0"/>
                <w:szCs w:val="21"/>
                <w:lang w:bidi="ar"/>
              </w:rPr>
              <w:t>43号</w:t>
            </w:r>
          </w:p>
        </w:tc>
        <w:tc>
          <w:tcPr>
            <w:tcW w:w="9019" w:type="dxa"/>
            <w:vAlign w:val="center"/>
          </w:tcPr>
          <w:p w14:paraId="14FCB505"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《横琴新区综合管沟管理办法》</w:t>
            </w:r>
          </w:p>
        </w:tc>
      </w:tr>
      <w:tr w:rsidR="00015DF0" w14:paraId="76ACE0E3" w14:textId="77777777" w:rsidTr="00CB3C82">
        <w:trPr>
          <w:trHeight w:val="595"/>
          <w:jc w:val="center"/>
        </w:trPr>
        <w:tc>
          <w:tcPr>
            <w:tcW w:w="1169" w:type="dxa"/>
            <w:tcMar>
              <w:left w:w="0" w:type="dxa"/>
              <w:right w:w="0" w:type="dxa"/>
            </w:tcMar>
            <w:vAlign w:val="center"/>
          </w:tcPr>
          <w:p w14:paraId="08708C62"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0C63E2D"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〔2012〕53号</w:t>
            </w:r>
          </w:p>
        </w:tc>
        <w:tc>
          <w:tcPr>
            <w:tcW w:w="9019" w:type="dxa"/>
            <w:vAlign w:val="center"/>
          </w:tcPr>
          <w:p w14:paraId="304C357E"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《横琴新区鼓励总部经济发展试行办法》</w:t>
            </w:r>
          </w:p>
        </w:tc>
      </w:tr>
      <w:tr w:rsidR="00015DF0" w14:paraId="22DA6F59" w14:textId="77777777" w:rsidTr="00CB3C82">
        <w:trPr>
          <w:trHeight w:val="595"/>
          <w:jc w:val="center"/>
        </w:trPr>
        <w:tc>
          <w:tcPr>
            <w:tcW w:w="1169" w:type="dxa"/>
            <w:tcMar>
              <w:left w:w="0" w:type="dxa"/>
              <w:right w:w="0" w:type="dxa"/>
            </w:tcMar>
            <w:vAlign w:val="center"/>
          </w:tcPr>
          <w:p w14:paraId="613C548E"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284C199"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〔2012〕69号</w:t>
            </w:r>
          </w:p>
        </w:tc>
        <w:tc>
          <w:tcPr>
            <w:tcW w:w="9019" w:type="dxa"/>
            <w:vAlign w:val="center"/>
          </w:tcPr>
          <w:p w14:paraId="1A03E7A5"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《横琴新区关于加强鼓励重点总部企业的补充办法》</w:t>
            </w:r>
          </w:p>
        </w:tc>
      </w:tr>
      <w:tr w:rsidR="00015DF0" w14:paraId="254AF9F8" w14:textId="77777777" w:rsidTr="00CB3C82">
        <w:trPr>
          <w:trHeight w:val="595"/>
          <w:jc w:val="center"/>
        </w:trPr>
        <w:tc>
          <w:tcPr>
            <w:tcW w:w="1169" w:type="dxa"/>
            <w:tcMar>
              <w:left w:w="0" w:type="dxa"/>
              <w:right w:w="0" w:type="dxa"/>
            </w:tcMar>
            <w:vAlign w:val="center"/>
          </w:tcPr>
          <w:p w14:paraId="30EE6AF8"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58A8A6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〔2013〕24号</w:t>
            </w:r>
          </w:p>
        </w:tc>
        <w:tc>
          <w:tcPr>
            <w:tcW w:w="9019" w:type="dxa"/>
            <w:vAlign w:val="center"/>
          </w:tcPr>
          <w:p w14:paraId="6EED6BBC"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《珠海市横琴新区市政公用设施移交接收管理暂行规定》</w:t>
            </w:r>
          </w:p>
        </w:tc>
      </w:tr>
      <w:tr w:rsidR="00015DF0" w14:paraId="6880A60E" w14:textId="77777777" w:rsidTr="00CB3C82">
        <w:trPr>
          <w:trHeight w:val="595"/>
          <w:jc w:val="center"/>
        </w:trPr>
        <w:tc>
          <w:tcPr>
            <w:tcW w:w="1169" w:type="dxa"/>
            <w:tcMar>
              <w:left w:w="0" w:type="dxa"/>
              <w:right w:w="0" w:type="dxa"/>
            </w:tcMar>
            <w:vAlign w:val="center"/>
          </w:tcPr>
          <w:p w14:paraId="48645D82"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D6429D4"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〔2013〕25号</w:t>
            </w:r>
          </w:p>
        </w:tc>
        <w:tc>
          <w:tcPr>
            <w:tcW w:w="9019" w:type="dxa"/>
            <w:vAlign w:val="center"/>
          </w:tcPr>
          <w:p w14:paraId="16A58F8C"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《横琴新区公众移动通信基站设施共建共享管理办法(试行)》</w:t>
            </w:r>
          </w:p>
        </w:tc>
      </w:tr>
      <w:tr w:rsidR="00015DF0" w14:paraId="3996A028" w14:textId="77777777" w:rsidTr="00CB3C82">
        <w:trPr>
          <w:trHeight w:val="595"/>
          <w:jc w:val="center"/>
        </w:trPr>
        <w:tc>
          <w:tcPr>
            <w:tcW w:w="1169" w:type="dxa"/>
            <w:tcMar>
              <w:left w:w="0" w:type="dxa"/>
              <w:right w:w="0" w:type="dxa"/>
            </w:tcMar>
            <w:vAlign w:val="center"/>
          </w:tcPr>
          <w:p w14:paraId="2A6F49C5"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A6DC683"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〔2013〕50号</w:t>
            </w:r>
          </w:p>
        </w:tc>
        <w:tc>
          <w:tcPr>
            <w:tcW w:w="9019" w:type="dxa"/>
            <w:vAlign w:val="center"/>
          </w:tcPr>
          <w:p w14:paraId="30654F0E"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《珠海市横琴新区建设工程招标投标管理办法》</w:t>
            </w:r>
          </w:p>
        </w:tc>
      </w:tr>
      <w:tr w:rsidR="00015DF0" w14:paraId="2ED358C6" w14:textId="77777777" w:rsidTr="00CB3C82">
        <w:trPr>
          <w:trHeight w:val="595"/>
          <w:jc w:val="center"/>
        </w:trPr>
        <w:tc>
          <w:tcPr>
            <w:tcW w:w="1169" w:type="dxa"/>
            <w:tcMar>
              <w:left w:w="0" w:type="dxa"/>
              <w:right w:w="0" w:type="dxa"/>
            </w:tcMar>
            <w:vAlign w:val="center"/>
          </w:tcPr>
          <w:p w14:paraId="628AF0BA"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741F361"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〔2013〕51号</w:t>
            </w:r>
          </w:p>
        </w:tc>
        <w:tc>
          <w:tcPr>
            <w:tcW w:w="9019" w:type="dxa"/>
            <w:vAlign w:val="center"/>
          </w:tcPr>
          <w:p w14:paraId="0822819F"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《珠海市横琴新区零星工程管理办法》</w:t>
            </w:r>
          </w:p>
        </w:tc>
      </w:tr>
      <w:tr w:rsidR="00015DF0" w14:paraId="503CF80B" w14:textId="77777777" w:rsidTr="00CB3C82">
        <w:trPr>
          <w:trHeight w:val="595"/>
          <w:jc w:val="center"/>
        </w:trPr>
        <w:tc>
          <w:tcPr>
            <w:tcW w:w="1169" w:type="dxa"/>
            <w:tcMar>
              <w:left w:w="0" w:type="dxa"/>
              <w:right w:w="0" w:type="dxa"/>
            </w:tcMar>
            <w:vAlign w:val="center"/>
          </w:tcPr>
          <w:p w14:paraId="7D017D9E"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3D3D007F"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〔2013〕53号</w:t>
            </w:r>
          </w:p>
        </w:tc>
        <w:tc>
          <w:tcPr>
            <w:tcW w:w="9019" w:type="dxa"/>
            <w:vAlign w:val="center"/>
          </w:tcPr>
          <w:p w14:paraId="6848E9C4"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《横琴新区国有非建设用地管理办法（试行）》</w:t>
            </w:r>
          </w:p>
        </w:tc>
      </w:tr>
      <w:tr w:rsidR="00015DF0" w14:paraId="6A3FEFB8" w14:textId="77777777" w:rsidTr="00CB3C82">
        <w:trPr>
          <w:trHeight w:val="595"/>
          <w:jc w:val="center"/>
        </w:trPr>
        <w:tc>
          <w:tcPr>
            <w:tcW w:w="1169" w:type="dxa"/>
            <w:tcMar>
              <w:left w:w="0" w:type="dxa"/>
              <w:right w:w="0" w:type="dxa"/>
            </w:tcMar>
            <w:vAlign w:val="center"/>
          </w:tcPr>
          <w:p w14:paraId="4E0490CB"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20338A93"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〔2013〕56号</w:t>
            </w:r>
          </w:p>
        </w:tc>
        <w:tc>
          <w:tcPr>
            <w:tcW w:w="9019" w:type="dxa"/>
            <w:vAlign w:val="center"/>
          </w:tcPr>
          <w:p w14:paraId="7457E02C"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《珠海市横琴新区市政公用设施养护考核办法(试行)》</w:t>
            </w:r>
          </w:p>
        </w:tc>
      </w:tr>
      <w:tr w:rsidR="00015DF0" w14:paraId="5302CDAB" w14:textId="77777777" w:rsidTr="00CB3C82">
        <w:trPr>
          <w:trHeight w:val="595"/>
          <w:jc w:val="center"/>
        </w:trPr>
        <w:tc>
          <w:tcPr>
            <w:tcW w:w="1169" w:type="dxa"/>
            <w:tcMar>
              <w:left w:w="0" w:type="dxa"/>
              <w:right w:w="0" w:type="dxa"/>
            </w:tcMar>
            <w:vAlign w:val="center"/>
          </w:tcPr>
          <w:p w14:paraId="31DC49E0"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B0ADCA8"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〔2013〕71号</w:t>
            </w:r>
          </w:p>
        </w:tc>
        <w:tc>
          <w:tcPr>
            <w:tcW w:w="9019" w:type="dxa"/>
            <w:vAlign w:val="center"/>
          </w:tcPr>
          <w:p w14:paraId="1AC00169" w14:textId="77777777" w:rsidR="00015DF0" w:rsidRDefault="00015DF0" w:rsidP="00CB3C82">
            <w:pPr>
              <w:widowControl/>
              <w:spacing w:line="300" w:lineRule="exact"/>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《横琴新区企业信用信息管理实施办法》</w:t>
            </w:r>
          </w:p>
        </w:tc>
      </w:tr>
      <w:tr w:rsidR="00015DF0" w14:paraId="2E1D1CAC" w14:textId="77777777" w:rsidTr="00CB3C82">
        <w:trPr>
          <w:trHeight w:val="595"/>
          <w:jc w:val="center"/>
        </w:trPr>
        <w:tc>
          <w:tcPr>
            <w:tcW w:w="1169" w:type="dxa"/>
            <w:tcMar>
              <w:left w:w="0" w:type="dxa"/>
              <w:right w:w="0" w:type="dxa"/>
            </w:tcMar>
            <w:vAlign w:val="center"/>
          </w:tcPr>
          <w:p w14:paraId="2D98FFA0"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193632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〔2013〕78号</w:t>
            </w:r>
          </w:p>
        </w:tc>
        <w:tc>
          <w:tcPr>
            <w:tcW w:w="9019" w:type="dxa"/>
            <w:vAlign w:val="center"/>
          </w:tcPr>
          <w:p w14:paraId="6E50D58B" w14:textId="77777777" w:rsidR="00015DF0" w:rsidRDefault="00015DF0" w:rsidP="00CB3C82">
            <w:pPr>
              <w:widowControl/>
              <w:spacing w:line="300" w:lineRule="exact"/>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《横琴新区横琴镇原旧村部分区域管理规定》</w:t>
            </w:r>
          </w:p>
        </w:tc>
      </w:tr>
      <w:tr w:rsidR="00015DF0" w14:paraId="3C1B7DCB" w14:textId="77777777" w:rsidTr="00CB3C82">
        <w:trPr>
          <w:trHeight w:val="595"/>
          <w:jc w:val="center"/>
        </w:trPr>
        <w:tc>
          <w:tcPr>
            <w:tcW w:w="1169" w:type="dxa"/>
            <w:tcMar>
              <w:left w:w="0" w:type="dxa"/>
              <w:right w:w="0" w:type="dxa"/>
            </w:tcMar>
            <w:vAlign w:val="center"/>
          </w:tcPr>
          <w:p w14:paraId="2DE1D0F8"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B1A95C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〔2013〕96号</w:t>
            </w:r>
          </w:p>
        </w:tc>
        <w:tc>
          <w:tcPr>
            <w:tcW w:w="9019" w:type="dxa"/>
            <w:vAlign w:val="center"/>
          </w:tcPr>
          <w:p w14:paraId="55F1E643"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《关于支持港澳企业和居民在横琴置业的意见（试行）》</w:t>
            </w:r>
          </w:p>
        </w:tc>
      </w:tr>
      <w:tr w:rsidR="00015DF0" w14:paraId="6DCF6E72" w14:textId="77777777" w:rsidTr="00CB3C82">
        <w:trPr>
          <w:trHeight w:val="595"/>
          <w:jc w:val="center"/>
        </w:trPr>
        <w:tc>
          <w:tcPr>
            <w:tcW w:w="1169" w:type="dxa"/>
            <w:tcMar>
              <w:left w:w="0" w:type="dxa"/>
              <w:right w:w="0" w:type="dxa"/>
            </w:tcMar>
            <w:vAlign w:val="center"/>
          </w:tcPr>
          <w:p w14:paraId="05B5AC57"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25A1460C"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〔2014〕28号</w:t>
            </w:r>
          </w:p>
        </w:tc>
        <w:tc>
          <w:tcPr>
            <w:tcW w:w="9019" w:type="dxa"/>
            <w:vAlign w:val="center"/>
          </w:tcPr>
          <w:p w14:paraId="3708F5EE"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《横琴新区支持澳门经济适度多元发展的十一条措施》</w:t>
            </w:r>
          </w:p>
        </w:tc>
      </w:tr>
      <w:tr w:rsidR="00015DF0" w14:paraId="5627EFE8" w14:textId="77777777" w:rsidTr="00CB3C82">
        <w:trPr>
          <w:trHeight w:val="595"/>
          <w:jc w:val="center"/>
        </w:trPr>
        <w:tc>
          <w:tcPr>
            <w:tcW w:w="1169" w:type="dxa"/>
            <w:tcMar>
              <w:left w:w="0" w:type="dxa"/>
              <w:right w:w="0" w:type="dxa"/>
            </w:tcMar>
            <w:vAlign w:val="center"/>
          </w:tcPr>
          <w:p w14:paraId="49CCF417"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6BCE6C1"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〔2014〕36号</w:t>
            </w:r>
          </w:p>
        </w:tc>
        <w:tc>
          <w:tcPr>
            <w:tcW w:w="9019" w:type="dxa"/>
            <w:vAlign w:val="center"/>
          </w:tcPr>
          <w:p w14:paraId="27ED5022"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《横琴新区促进融资租赁业发展试行办法》</w:t>
            </w:r>
          </w:p>
        </w:tc>
      </w:tr>
      <w:tr w:rsidR="00015DF0" w14:paraId="353289AB" w14:textId="77777777" w:rsidTr="00CB3C82">
        <w:trPr>
          <w:trHeight w:val="595"/>
          <w:jc w:val="center"/>
        </w:trPr>
        <w:tc>
          <w:tcPr>
            <w:tcW w:w="1169" w:type="dxa"/>
            <w:tcMar>
              <w:left w:w="0" w:type="dxa"/>
              <w:right w:w="0" w:type="dxa"/>
            </w:tcMar>
            <w:vAlign w:val="center"/>
          </w:tcPr>
          <w:p w14:paraId="552B8307"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14E8507"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2014）40号</w:t>
            </w:r>
          </w:p>
        </w:tc>
        <w:tc>
          <w:tcPr>
            <w:tcW w:w="9019" w:type="dxa"/>
            <w:vAlign w:val="center"/>
          </w:tcPr>
          <w:p w14:paraId="3C521D15"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《横琴新区创新金融总部企业认定办法》</w:t>
            </w:r>
          </w:p>
        </w:tc>
      </w:tr>
      <w:tr w:rsidR="00015DF0" w14:paraId="512D2569" w14:textId="77777777" w:rsidTr="00CB3C82">
        <w:trPr>
          <w:trHeight w:val="595"/>
          <w:jc w:val="center"/>
        </w:trPr>
        <w:tc>
          <w:tcPr>
            <w:tcW w:w="1169" w:type="dxa"/>
            <w:tcMar>
              <w:left w:w="0" w:type="dxa"/>
              <w:right w:w="0" w:type="dxa"/>
            </w:tcMar>
            <w:vAlign w:val="center"/>
          </w:tcPr>
          <w:p w14:paraId="6ED83EA8"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78E8B58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〔2014〕49号</w:t>
            </w:r>
          </w:p>
        </w:tc>
        <w:tc>
          <w:tcPr>
            <w:tcW w:w="9019" w:type="dxa"/>
            <w:vAlign w:val="center"/>
          </w:tcPr>
          <w:p w14:paraId="1289F29D"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《横琴新区精英人才住房保障暂行办法》</w:t>
            </w:r>
          </w:p>
        </w:tc>
      </w:tr>
      <w:tr w:rsidR="00015DF0" w14:paraId="7949EB12" w14:textId="77777777" w:rsidTr="00CB3C82">
        <w:trPr>
          <w:trHeight w:val="595"/>
          <w:jc w:val="center"/>
        </w:trPr>
        <w:tc>
          <w:tcPr>
            <w:tcW w:w="1169" w:type="dxa"/>
            <w:tcMar>
              <w:left w:w="0" w:type="dxa"/>
              <w:right w:w="0" w:type="dxa"/>
            </w:tcMar>
            <w:vAlign w:val="center"/>
          </w:tcPr>
          <w:p w14:paraId="4C0105B6"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E44E56A"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〔2015〕11号</w:t>
            </w:r>
          </w:p>
        </w:tc>
        <w:tc>
          <w:tcPr>
            <w:tcW w:w="9019" w:type="dxa"/>
            <w:vAlign w:val="center"/>
          </w:tcPr>
          <w:p w14:paraId="14220C98"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《广东自贸试验区横琴片区产业培育和扶持暂行办法》</w:t>
            </w:r>
          </w:p>
        </w:tc>
      </w:tr>
      <w:tr w:rsidR="00015DF0" w14:paraId="21AFDC2B" w14:textId="77777777" w:rsidTr="00CB3C82">
        <w:trPr>
          <w:trHeight w:val="595"/>
          <w:jc w:val="center"/>
        </w:trPr>
        <w:tc>
          <w:tcPr>
            <w:tcW w:w="1169" w:type="dxa"/>
            <w:tcMar>
              <w:left w:w="0" w:type="dxa"/>
              <w:right w:w="0" w:type="dxa"/>
            </w:tcMar>
            <w:vAlign w:val="center"/>
          </w:tcPr>
          <w:p w14:paraId="23CC1929"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7EE0B0A"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〔2016〕22号</w:t>
            </w:r>
          </w:p>
        </w:tc>
        <w:tc>
          <w:tcPr>
            <w:tcW w:w="9019" w:type="dxa"/>
            <w:vAlign w:val="center"/>
          </w:tcPr>
          <w:p w14:paraId="322A73F9"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《关于促进横琴新区广告产业发展的若干措施》</w:t>
            </w:r>
          </w:p>
        </w:tc>
      </w:tr>
      <w:tr w:rsidR="00015DF0" w14:paraId="0D638390" w14:textId="77777777" w:rsidTr="00CB3C82">
        <w:trPr>
          <w:trHeight w:val="595"/>
          <w:jc w:val="center"/>
        </w:trPr>
        <w:tc>
          <w:tcPr>
            <w:tcW w:w="1169" w:type="dxa"/>
            <w:tcMar>
              <w:left w:w="0" w:type="dxa"/>
              <w:right w:w="0" w:type="dxa"/>
            </w:tcMar>
            <w:vAlign w:val="center"/>
          </w:tcPr>
          <w:p w14:paraId="729E26C0"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38417861"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〔2016〕41号</w:t>
            </w:r>
          </w:p>
        </w:tc>
        <w:tc>
          <w:tcPr>
            <w:tcW w:w="9019" w:type="dxa"/>
            <w:vAlign w:val="center"/>
          </w:tcPr>
          <w:p w14:paraId="42B3F8FB"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《横琴新区跨境融资项下不动产抵押管理暂行规定》</w:t>
            </w:r>
          </w:p>
        </w:tc>
      </w:tr>
      <w:tr w:rsidR="00015DF0" w14:paraId="1AC6C524" w14:textId="77777777" w:rsidTr="00CB3C82">
        <w:trPr>
          <w:trHeight w:val="595"/>
          <w:jc w:val="center"/>
        </w:trPr>
        <w:tc>
          <w:tcPr>
            <w:tcW w:w="1169" w:type="dxa"/>
            <w:tcMar>
              <w:left w:w="0" w:type="dxa"/>
              <w:right w:w="0" w:type="dxa"/>
            </w:tcMar>
            <w:vAlign w:val="center"/>
          </w:tcPr>
          <w:p w14:paraId="3DBADEA4"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4FBFD50"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〔2017〕4号</w:t>
            </w:r>
          </w:p>
        </w:tc>
        <w:tc>
          <w:tcPr>
            <w:tcW w:w="9019" w:type="dxa"/>
            <w:vAlign w:val="center"/>
          </w:tcPr>
          <w:p w14:paraId="1231C7B2"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《横琴新区失信商事主体联合惩戒清单（工商行政管理第一批）》</w:t>
            </w:r>
          </w:p>
        </w:tc>
      </w:tr>
      <w:tr w:rsidR="00015DF0" w14:paraId="3DE57021" w14:textId="77777777" w:rsidTr="00CB3C82">
        <w:trPr>
          <w:trHeight w:val="595"/>
          <w:jc w:val="center"/>
        </w:trPr>
        <w:tc>
          <w:tcPr>
            <w:tcW w:w="1169" w:type="dxa"/>
            <w:tcMar>
              <w:left w:w="0" w:type="dxa"/>
              <w:right w:w="0" w:type="dxa"/>
            </w:tcMar>
            <w:vAlign w:val="center"/>
          </w:tcPr>
          <w:p w14:paraId="5685C8DF"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5780833"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〔2017〕8号</w:t>
            </w:r>
          </w:p>
        </w:tc>
        <w:tc>
          <w:tcPr>
            <w:tcW w:w="9019" w:type="dxa"/>
            <w:vAlign w:val="center"/>
          </w:tcPr>
          <w:p w14:paraId="48DF69AA"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《横琴新区促进金融教育培训产业发展扶持暂行办法》</w:t>
            </w:r>
          </w:p>
        </w:tc>
      </w:tr>
      <w:tr w:rsidR="00015DF0" w14:paraId="46D241E9" w14:textId="77777777" w:rsidTr="00CB3C82">
        <w:trPr>
          <w:trHeight w:val="595"/>
          <w:jc w:val="center"/>
        </w:trPr>
        <w:tc>
          <w:tcPr>
            <w:tcW w:w="1169" w:type="dxa"/>
            <w:tcMar>
              <w:left w:w="0" w:type="dxa"/>
              <w:right w:w="0" w:type="dxa"/>
            </w:tcMar>
            <w:vAlign w:val="center"/>
          </w:tcPr>
          <w:p w14:paraId="260B85DF"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231B745C"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〔2017〕12号</w:t>
            </w:r>
          </w:p>
        </w:tc>
        <w:tc>
          <w:tcPr>
            <w:tcW w:w="9019" w:type="dxa"/>
            <w:vAlign w:val="center"/>
          </w:tcPr>
          <w:p w14:paraId="6F4BB7AC"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《关于广东自贸试验区横琴片区产业培育和扶持暂行办法的补充规定》</w:t>
            </w:r>
          </w:p>
        </w:tc>
      </w:tr>
      <w:tr w:rsidR="00015DF0" w14:paraId="32E4E5E6" w14:textId="77777777" w:rsidTr="00CB3C82">
        <w:trPr>
          <w:trHeight w:val="595"/>
          <w:jc w:val="center"/>
        </w:trPr>
        <w:tc>
          <w:tcPr>
            <w:tcW w:w="1169" w:type="dxa"/>
            <w:tcMar>
              <w:left w:w="0" w:type="dxa"/>
              <w:right w:w="0" w:type="dxa"/>
            </w:tcMar>
            <w:vAlign w:val="center"/>
          </w:tcPr>
          <w:p w14:paraId="0B376E60"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8920D79"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〔2017〕23号</w:t>
            </w:r>
          </w:p>
        </w:tc>
        <w:tc>
          <w:tcPr>
            <w:tcW w:w="9019" w:type="dxa"/>
            <w:vAlign w:val="center"/>
          </w:tcPr>
          <w:p w14:paraId="461BC86D"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《横琴新区促进休闲旅游业发展办法》</w:t>
            </w:r>
          </w:p>
        </w:tc>
      </w:tr>
      <w:tr w:rsidR="00015DF0" w14:paraId="65189F59" w14:textId="77777777" w:rsidTr="00CB3C82">
        <w:trPr>
          <w:trHeight w:val="595"/>
          <w:jc w:val="center"/>
        </w:trPr>
        <w:tc>
          <w:tcPr>
            <w:tcW w:w="1169" w:type="dxa"/>
            <w:tcMar>
              <w:left w:w="0" w:type="dxa"/>
              <w:right w:w="0" w:type="dxa"/>
            </w:tcMar>
            <w:vAlign w:val="center"/>
          </w:tcPr>
          <w:p w14:paraId="12547C67"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E3538B5"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〔2017〕34号</w:t>
            </w:r>
          </w:p>
        </w:tc>
        <w:tc>
          <w:tcPr>
            <w:tcW w:w="9019" w:type="dxa"/>
            <w:vAlign w:val="center"/>
          </w:tcPr>
          <w:p w14:paraId="6ACD67EB"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《横琴新区天使投资基金管理暂行办法》</w:t>
            </w:r>
          </w:p>
        </w:tc>
      </w:tr>
      <w:tr w:rsidR="00015DF0" w14:paraId="59BBC095" w14:textId="77777777" w:rsidTr="00CB3C82">
        <w:trPr>
          <w:trHeight w:val="595"/>
          <w:jc w:val="center"/>
        </w:trPr>
        <w:tc>
          <w:tcPr>
            <w:tcW w:w="1169" w:type="dxa"/>
            <w:tcMar>
              <w:left w:w="0" w:type="dxa"/>
              <w:right w:w="0" w:type="dxa"/>
            </w:tcMar>
            <w:vAlign w:val="center"/>
          </w:tcPr>
          <w:p w14:paraId="7CA618A2"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B0BEFFF"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〔2017〕35号</w:t>
            </w:r>
          </w:p>
        </w:tc>
        <w:tc>
          <w:tcPr>
            <w:tcW w:w="9019" w:type="dxa"/>
            <w:vAlign w:val="center"/>
          </w:tcPr>
          <w:p w14:paraId="6402C7E6"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《横琴新区促进保险业发展的扶持措施》</w:t>
            </w:r>
          </w:p>
        </w:tc>
      </w:tr>
      <w:tr w:rsidR="00015DF0" w14:paraId="1701F762" w14:textId="77777777" w:rsidTr="00CB3C82">
        <w:trPr>
          <w:trHeight w:val="595"/>
          <w:jc w:val="center"/>
        </w:trPr>
        <w:tc>
          <w:tcPr>
            <w:tcW w:w="1169" w:type="dxa"/>
            <w:tcMar>
              <w:left w:w="0" w:type="dxa"/>
              <w:right w:w="0" w:type="dxa"/>
            </w:tcMar>
            <w:vAlign w:val="center"/>
          </w:tcPr>
          <w:p w14:paraId="12D801E7"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3CDB25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〔2018〕23号</w:t>
            </w:r>
          </w:p>
        </w:tc>
        <w:tc>
          <w:tcPr>
            <w:tcW w:w="9019" w:type="dxa"/>
            <w:vAlign w:val="center"/>
          </w:tcPr>
          <w:p w14:paraId="05408383"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《广东自贸试验区横琴片区产业培育和扶持暂行办法第八条补充规定（修订）》</w:t>
            </w:r>
          </w:p>
        </w:tc>
      </w:tr>
      <w:tr w:rsidR="00015DF0" w14:paraId="3A5FE84C" w14:textId="77777777" w:rsidTr="00CB3C82">
        <w:trPr>
          <w:trHeight w:val="595"/>
          <w:jc w:val="center"/>
        </w:trPr>
        <w:tc>
          <w:tcPr>
            <w:tcW w:w="1169" w:type="dxa"/>
            <w:tcMar>
              <w:left w:w="0" w:type="dxa"/>
              <w:right w:w="0" w:type="dxa"/>
            </w:tcMar>
            <w:vAlign w:val="center"/>
          </w:tcPr>
          <w:p w14:paraId="417C2652"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2D6E8B6"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〔2018〕24号</w:t>
            </w:r>
          </w:p>
        </w:tc>
        <w:tc>
          <w:tcPr>
            <w:tcW w:w="9019" w:type="dxa"/>
            <w:vAlign w:val="center"/>
          </w:tcPr>
          <w:p w14:paraId="19AA6E8D"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《横琴新区2018年外贸扶持政策》</w:t>
            </w:r>
          </w:p>
        </w:tc>
      </w:tr>
      <w:tr w:rsidR="00015DF0" w14:paraId="05231E97" w14:textId="77777777" w:rsidTr="00CB3C82">
        <w:trPr>
          <w:trHeight w:val="595"/>
          <w:jc w:val="center"/>
        </w:trPr>
        <w:tc>
          <w:tcPr>
            <w:tcW w:w="1169" w:type="dxa"/>
            <w:tcMar>
              <w:left w:w="0" w:type="dxa"/>
              <w:right w:w="0" w:type="dxa"/>
            </w:tcMar>
            <w:vAlign w:val="center"/>
          </w:tcPr>
          <w:p w14:paraId="0C5F739E"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4E33D3B"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珠横新金</w:t>
            </w:r>
            <w:proofErr w:type="gramEnd"/>
            <w:r>
              <w:rPr>
                <w:rFonts w:ascii="楷体_GB2312" w:eastAsia="楷体_GB2312" w:hAnsi="楷体_GB2312" w:cs="楷体_GB2312" w:hint="eastAsia"/>
                <w:kern w:val="0"/>
                <w:szCs w:val="21"/>
                <w:lang w:bidi="ar"/>
              </w:rPr>
              <w:t>通〔2018〕36号</w:t>
            </w:r>
          </w:p>
        </w:tc>
        <w:tc>
          <w:tcPr>
            <w:tcW w:w="9019" w:type="dxa"/>
            <w:vAlign w:val="center"/>
          </w:tcPr>
          <w:p w14:paraId="5CB0C930"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《横琴新区保险业改革创新和特别贡献奖励评选办法（试行）》</w:t>
            </w:r>
          </w:p>
        </w:tc>
      </w:tr>
      <w:tr w:rsidR="00015DF0" w14:paraId="33E1D924" w14:textId="77777777" w:rsidTr="00CB3C82">
        <w:trPr>
          <w:trHeight w:val="595"/>
          <w:jc w:val="center"/>
        </w:trPr>
        <w:tc>
          <w:tcPr>
            <w:tcW w:w="1169" w:type="dxa"/>
            <w:tcMar>
              <w:left w:w="0" w:type="dxa"/>
              <w:right w:w="0" w:type="dxa"/>
            </w:tcMar>
            <w:vAlign w:val="center"/>
          </w:tcPr>
          <w:p w14:paraId="2F594CC4"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FE2C0BD"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珠横新建</w:t>
            </w:r>
            <w:proofErr w:type="gramEnd"/>
            <w:r>
              <w:rPr>
                <w:rFonts w:ascii="楷体_GB2312" w:eastAsia="楷体_GB2312" w:hAnsi="楷体_GB2312" w:cs="楷体_GB2312" w:hint="eastAsia"/>
                <w:kern w:val="0"/>
                <w:szCs w:val="21"/>
                <w:lang w:bidi="ar"/>
              </w:rPr>
              <w:t>通知〔2018〕64号</w:t>
            </w:r>
          </w:p>
        </w:tc>
        <w:tc>
          <w:tcPr>
            <w:tcW w:w="9019" w:type="dxa"/>
            <w:vAlign w:val="center"/>
          </w:tcPr>
          <w:p w14:paraId="0908DBB8"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《横琴新区房地产开发企业资质实施告知承诺制和加强事中事后监管实施办法（试行）》</w:t>
            </w:r>
          </w:p>
        </w:tc>
      </w:tr>
      <w:tr w:rsidR="00015DF0" w14:paraId="2DD25C77" w14:textId="77777777" w:rsidTr="00CB3C82">
        <w:trPr>
          <w:trHeight w:val="595"/>
          <w:jc w:val="center"/>
        </w:trPr>
        <w:tc>
          <w:tcPr>
            <w:tcW w:w="1169" w:type="dxa"/>
            <w:tcMar>
              <w:left w:w="0" w:type="dxa"/>
              <w:right w:w="0" w:type="dxa"/>
            </w:tcMar>
            <w:vAlign w:val="center"/>
          </w:tcPr>
          <w:p w14:paraId="7A5415DD"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6D7ACAF"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珠横新建</w:t>
            </w:r>
            <w:proofErr w:type="gramEnd"/>
            <w:r>
              <w:rPr>
                <w:rFonts w:ascii="楷体_GB2312" w:eastAsia="楷体_GB2312" w:hAnsi="楷体_GB2312" w:cs="楷体_GB2312" w:hint="eastAsia"/>
                <w:kern w:val="0"/>
                <w:szCs w:val="21"/>
                <w:lang w:bidi="ar"/>
              </w:rPr>
              <w:t>通知〔2018〕147号</w:t>
            </w:r>
          </w:p>
        </w:tc>
        <w:tc>
          <w:tcPr>
            <w:tcW w:w="9019" w:type="dxa"/>
            <w:vAlign w:val="center"/>
          </w:tcPr>
          <w:p w14:paraId="1B08708C"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《横琴新区建筑市场信用“红黑名单”管理办法(暂行)》</w:t>
            </w:r>
          </w:p>
        </w:tc>
      </w:tr>
      <w:tr w:rsidR="00015DF0" w14:paraId="0D12E4C3" w14:textId="77777777" w:rsidTr="00CB3C82">
        <w:trPr>
          <w:trHeight w:val="595"/>
          <w:jc w:val="center"/>
        </w:trPr>
        <w:tc>
          <w:tcPr>
            <w:tcW w:w="1169" w:type="dxa"/>
            <w:tcMar>
              <w:left w:w="0" w:type="dxa"/>
              <w:right w:w="0" w:type="dxa"/>
            </w:tcMar>
            <w:vAlign w:val="center"/>
          </w:tcPr>
          <w:p w14:paraId="7A31FE25"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6AEFC521"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spacing w:val="-6"/>
                <w:kern w:val="0"/>
                <w:szCs w:val="21"/>
                <w:lang w:bidi="ar"/>
              </w:rPr>
              <w:t>珠横新办</w:t>
            </w:r>
            <w:proofErr w:type="gramEnd"/>
            <w:r>
              <w:rPr>
                <w:rFonts w:ascii="楷体_GB2312" w:eastAsia="楷体_GB2312" w:hAnsi="楷体_GB2312" w:cs="楷体_GB2312" w:hint="eastAsia"/>
                <w:spacing w:val="-6"/>
                <w:kern w:val="0"/>
                <w:szCs w:val="21"/>
                <w:lang w:bidi="ar"/>
              </w:rPr>
              <w:t>函〔2018〕328号</w:t>
            </w:r>
          </w:p>
        </w:tc>
        <w:tc>
          <w:tcPr>
            <w:tcW w:w="9019" w:type="dxa"/>
            <w:vAlign w:val="center"/>
          </w:tcPr>
          <w:p w14:paraId="0B6A6E37"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《横琴新区管委会办公室关于加强横琴新区产业项目及商业服务类项目建设管理的通知》</w:t>
            </w:r>
          </w:p>
        </w:tc>
      </w:tr>
      <w:tr w:rsidR="00015DF0" w14:paraId="1A650EF0" w14:textId="77777777" w:rsidTr="00CB3C82">
        <w:trPr>
          <w:trHeight w:val="595"/>
          <w:jc w:val="center"/>
        </w:trPr>
        <w:tc>
          <w:tcPr>
            <w:tcW w:w="1169" w:type="dxa"/>
            <w:tcMar>
              <w:left w:w="0" w:type="dxa"/>
              <w:right w:w="0" w:type="dxa"/>
            </w:tcMar>
            <w:vAlign w:val="center"/>
          </w:tcPr>
          <w:p w14:paraId="28DEC9D5"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05F1C4AD"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〔2019〕1号</w:t>
            </w:r>
          </w:p>
        </w:tc>
        <w:tc>
          <w:tcPr>
            <w:tcW w:w="9019" w:type="dxa"/>
            <w:vAlign w:val="center"/>
          </w:tcPr>
          <w:p w14:paraId="2712E196"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《横琴新区进一步促进私募投资基金业发展扶持办法》</w:t>
            </w:r>
          </w:p>
        </w:tc>
      </w:tr>
      <w:tr w:rsidR="00015DF0" w14:paraId="4FD5BC49" w14:textId="77777777" w:rsidTr="00CB3C82">
        <w:trPr>
          <w:trHeight w:val="595"/>
          <w:jc w:val="center"/>
        </w:trPr>
        <w:tc>
          <w:tcPr>
            <w:tcW w:w="1169" w:type="dxa"/>
            <w:tcMar>
              <w:left w:w="0" w:type="dxa"/>
              <w:right w:w="0" w:type="dxa"/>
            </w:tcMar>
            <w:vAlign w:val="center"/>
          </w:tcPr>
          <w:p w14:paraId="31FABFB1"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7B98AD1C"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〔2019〕2号</w:t>
            </w:r>
          </w:p>
        </w:tc>
        <w:tc>
          <w:tcPr>
            <w:tcW w:w="9019" w:type="dxa"/>
            <w:vAlign w:val="center"/>
          </w:tcPr>
          <w:p w14:paraId="2B35F3C6"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《横琴新区企业上市挂牌专项扶持办法》</w:t>
            </w:r>
          </w:p>
        </w:tc>
      </w:tr>
      <w:tr w:rsidR="00015DF0" w14:paraId="142AA95B" w14:textId="77777777" w:rsidTr="00CB3C82">
        <w:trPr>
          <w:trHeight w:val="595"/>
          <w:jc w:val="center"/>
        </w:trPr>
        <w:tc>
          <w:tcPr>
            <w:tcW w:w="1169" w:type="dxa"/>
            <w:tcMar>
              <w:left w:w="0" w:type="dxa"/>
              <w:right w:w="0" w:type="dxa"/>
            </w:tcMar>
            <w:vAlign w:val="center"/>
          </w:tcPr>
          <w:p w14:paraId="55A50FB0"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3857C49B"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珠横新金</w:t>
            </w:r>
            <w:proofErr w:type="gramEnd"/>
            <w:r>
              <w:rPr>
                <w:rFonts w:ascii="楷体_GB2312" w:eastAsia="楷体_GB2312" w:hAnsi="楷体_GB2312" w:cs="楷体_GB2312" w:hint="eastAsia"/>
                <w:kern w:val="0"/>
                <w:szCs w:val="21"/>
                <w:lang w:bidi="ar"/>
              </w:rPr>
              <w:t>通〔2019〕17号</w:t>
            </w:r>
          </w:p>
        </w:tc>
        <w:tc>
          <w:tcPr>
            <w:tcW w:w="9019" w:type="dxa"/>
            <w:vAlign w:val="center"/>
          </w:tcPr>
          <w:p w14:paraId="1A1E36D8"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《关于促进供应链金融发展的扶持办法》</w:t>
            </w:r>
          </w:p>
        </w:tc>
      </w:tr>
      <w:tr w:rsidR="00015DF0" w14:paraId="23EE48CC" w14:textId="77777777" w:rsidTr="00CB3C82">
        <w:trPr>
          <w:trHeight w:val="595"/>
          <w:jc w:val="center"/>
        </w:trPr>
        <w:tc>
          <w:tcPr>
            <w:tcW w:w="1169" w:type="dxa"/>
            <w:tcMar>
              <w:left w:w="0" w:type="dxa"/>
              <w:right w:w="0" w:type="dxa"/>
            </w:tcMar>
            <w:vAlign w:val="center"/>
          </w:tcPr>
          <w:p w14:paraId="43AFB3F7"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697F581"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〔2020〕13号</w:t>
            </w:r>
          </w:p>
        </w:tc>
        <w:tc>
          <w:tcPr>
            <w:tcW w:w="9019" w:type="dxa"/>
            <w:vAlign w:val="center"/>
          </w:tcPr>
          <w:p w14:paraId="4EB2297C"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《横琴新区天使投资基金管理暂行办法（修订）》</w:t>
            </w:r>
          </w:p>
        </w:tc>
      </w:tr>
      <w:tr w:rsidR="00015DF0" w14:paraId="3A8A9D69" w14:textId="77777777" w:rsidTr="00CB3C82">
        <w:trPr>
          <w:trHeight w:val="595"/>
          <w:jc w:val="center"/>
        </w:trPr>
        <w:tc>
          <w:tcPr>
            <w:tcW w:w="1169" w:type="dxa"/>
            <w:tcMar>
              <w:left w:w="0" w:type="dxa"/>
              <w:right w:w="0" w:type="dxa"/>
            </w:tcMar>
            <w:vAlign w:val="center"/>
          </w:tcPr>
          <w:p w14:paraId="076B9048"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48AC949"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〔2020〕18号</w:t>
            </w:r>
          </w:p>
        </w:tc>
        <w:tc>
          <w:tcPr>
            <w:tcW w:w="9019" w:type="dxa"/>
            <w:vAlign w:val="center"/>
          </w:tcPr>
          <w:p w14:paraId="1B58D907" w14:textId="77777777" w:rsidR="00015DF0" w:rsidRDefault="00015DF0" w:rsidP="00CB3C82">
            <w:pPr>
              <w:widowControl/>
              <w:spacing w:line="300" w:lineRule="exact"/>
              <w:jc w:val="lef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《横琴新区既有住宅增设电梯工作实施意见》</w:t>
            </w:r>
          </w:p>
        </w:tc>
      </w:tr>
      <w:tr w:rsidR="00015DF0" w14:paraId="2EEE13FB" w14:textId="77777777" w:rsidTr="00CB3C82">
        <w:trPr>
          <w:trHeight w:val="595"/>
          <w:jc w:val="center"/>
        </w:trPr>
        <w:tc>
          <w:tcPr>
            <w:tcW w:w="1169" w:type="dxa"/>
            <w:tcMar>
              <w:left w:w="0" w:type="dxa"/>
              <w:right w:w="0" w:type="dxa"/>
            </w:tcMar>
            <w:vAlign w:val="center"/>
          </w:tcPr>
          <w:p w14:paraId="72C5A400"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2331928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〔2020〕24号</w:t>
            </w:r>
          </w:p>
        </w:tc>
        <w:tc>
          <w:tcPr>
            <w:tcW w:w="9019" w:type="dxa"/>
            <w:vAlign w:val="center"/>
          </w:tcPr>
          <w:p w14:paraId="3FD0237C"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《横琴新区政府投资基金管理暂行办法实施细则（修订）》</w:t>
            </w:r>
          </w:p>
        </w:tc>
      </w:tr>
      <w:tr w:rsidR="00015DF0" w14:paraId="07BC4094" w14:textId="77777777" w:rsidTr="00CB3C82">
        <w:trPr>
          <w:trHeight w:val="595"/>
          <w:jc w:val="center"/>
        </w:trPr>
        <w:tc>
          <w:tcPr>
            <w:tcW w:w="1169" w:type="dxa"/>
            <w:tcMar>
              <w:left w:w="0" w:type="dxa"/>
              <w:right w:w="0" w:type="dxa"/>
            </w:tcMar>
            <w:vAlign w:val="center"/>
          </w:tcPr>
          <w:p w14:paraId="7E81460B"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4069073C"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〔2020〕30号</w:t>
            </w:r>
          </w:p>
        </w:tc>
        <w:tc>
          <w:tcPr>
            <w:tcW w:w="9019" w:type="dxa"/>
            <w:vAlign w:val="center"/>
          </w:tcPr>
          <w:p w14:paraId="184770BA"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《横琴新区天使投资基金管理暂行办法（修订）》</w:t>
            </w:r>
          </w:p>
        </w:tc>
      </w:tr>
      <w:tr w:rsidR="00015DF0" w14:paraId="5CC51C64" w14:textId="77777777" w:rsidTr="00CB3C82">
        <w:trPr>
          <w:trHeight w:val="595"/>
          <w:jc w:val="center"/>
        </w:trPr>
        <w:tc>
          <w:tcPr>
            <w:tcW w:w="1169" w:type="dxa"/>
            <w:tcMar>
              <w:left w:w="0" w:type="dxa"/>
              <w:right w:w="0" w:type="dxa"/>
            </w:tcMar>
            <w:vAlign w:val="center"/>
          </w:tcPr>
          <w:p w14:paraId="5C06194C"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710566E7" w14:textId="77777777" w:rsidR="00015DF0" w:rsidRDefault="00015DF0"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函〔2020〕359号</w:t>
            </w:r>
          </w:p>
        </w:tc>
        <w:tc>
          <w:tcPr>
            <w:tcW w:w="9019" w:type="dxa"/>
            <w:vAlign w:val="center"/>
          </w:tcPr>
          <w:p w14:paraId="77499424" w14:textId="77777777" w:rsidR="00015DF0" w:rsidRDefault="00015DF0" w:rsidP="00CB3C82">
            <w:pPr>
              <w:widowControl/>
              <w:spacing w:line="300" w:lineRule="exact"/>
              <w:textAlignment w:val="center"/>
              <w:rPr>
                <w:rFonts w:ascii="楷体_GB2312" w:eastAsia="楷体_GB2312" w:hAnsi="楷体_GB2312" w:cs="楷体_GB2312" w:hint="eastAsia"/>
                <w:color w:val="000000"/>
                <w:kern w:val="0"/>
                <w:szCs w:val="21"/>
                <w:lang w:bidi="ar"/>
              </w:rPr>
            </w:pPr>
            <w:r>
              <w:rPr>
                <w:rFonts w:ascii="楷体_GB2312" w:eastAsia="楷体_GB2312" w:hAnsi="楷体_GB2312" w:cs="楷体_GB2312" w:hint="eastAsia"/>
                <w:color w:val="000000"/>
                <w:kern w:val="0"/>
                <w:szCs w:val="21"/>
                <w:lang w:bidi="ar"/>
              </w:rPr>
              <w:t>《横琴新区市场轻微违法经营行为免罚清单（市场监督管理类）（第三批）》</w:t>
            </w:r>
          </w:p>
        </w:tc>
      </w:tr>
      <w:tr w:rsidR="00015DF0" w14:paraId="4D229737" w14:textId="77777777" w:rsidTr="00CB3C82">
        <w:trPr>
          <w:trHeight w:val="595"/>
          <w:jc w:val="center"/>
        </w:trPr>
        <w:tc>
          <w:tcPr>
            <w:tcW w:w="1169" w:type="dxa"/>
            <w:tcMar>
              <w:left w:w="0" w:type="dxa"/>
              <w:right w:w="0" w:type="dxa"/>
            </w:tcMar>
            <w:vAlign w:val="center"/>
          </w:tcPr>
          <w:p w14:paraId="10DF1726"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987D915"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珠横琴工商法字〔2020〕3号</w:t>
            </w:r>
          </w:p>
        </w:tc>
        <w:tc>
          <w:tcPr>
            <w:tcW w:w="9019" w:type="dxa"/>
            <w:vAlign w:val="center"/>
          </w:tcPr>
          <w:p w14:paraId="4B9FD105"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《关于进一步规范企业逾期未公示年度报告违法行为查处工作的指导意见（2020年修订）》</w:t>
            </w:r>
          </w:p>
        </w:tc>
      </w:tr>
      <w:tr w:rsidR="00015DF0" w14:paraId="1F8BC268" w14:textId="77777777" w:rsidTr="00CB3C82">
        <w:trPr>
          <w:trHeight w:val="595"/>
          <w:jc w:val="center"/>
        </w:trPr>
        <w:tc>
          <w:tcPr>
            <w:tcW w:w="1169" w:type="dxa"/>
            <w:tcMar>
              <w:left w:w="0" w:type="dxa"/>
              <w:right w:w="0" w:type="dxa"/>
            </w:tcMar>
            <w:vAlign w:val="center"/>
          </w:tcPr>
          <w:p w14:paraId="430FF01F"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57BB89E"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珠横琴工商字〔2020〕4号</w:t>
            </w:r>
          </w:p>
        </w:tc>
        <w:tc>
          <w:tcPr>
            <w:tcW w:w="9019" w:type="dxa"/>
            <w:vAlign w:val="center"/>
          </w:tcPr>
          <w:p w14:paraId="066659B2"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《横琴新区工商局关于应对新冠肺炎疫情帮扶企业共渡难关若干政策》</w:t>
            </w:r>
          </w:p>
        </w:tc>
      </w:tr>
      <w:tr w:rsidR="00015DF0" w14:paraId="42F99567" w14:textId="77777777" w:rsidTr="00CB3C82">
        <w:trPr>
          <w:trHeight w:val="595"/>
          <w:jc w:val="center"/>
        </w:trPr>
        <w:tc>
          <w:tcPr>
            <w:tcW w:w="1169" w:type="dxa"/>
            <w:tcMar>
              <w:left w:w="0" w:type="dxa"/>
              <w:right w:w="0" w:type="dxa"/>
            </w:tcMar>
            <w:vAlign w:val="center"/>
          </w:tcPr>
          <w:p w14:paraId="4FADC0DC"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7CC90C9"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珠横新安</w:t>
            </w:r>
            <w:proofErr w:type="gramEnd"/>
            <w:r>
              <w:rPr>
                <w:rFonts w:ascii="楷体_GB2312" w:eastAsia="楷体_GB2312" w:hAnsi="楷体_GB2312" w:cs="楷体_GB2312" w:hint="eastAsia"/>
                <w:kern w:val="0"/>
                <w:szCs w:val="21"/>
                <w:lang w:bidi="ar"/>
              </w:rPr>
              <w:t>办〔2020〕5号</w:t>
            </w:r>
          </w:p>
        </w:tc>
        <w:tc>
          <w:tcPr>
            <w:tcW w:w="9019" w:type="dxa"/>
            <w:vAlign w:val="center"/>
          </w:tcPr>
          <w:p w14:paraId="5DDB5931"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《横琴新区重大生产安全事故隐患治理挂牌督办暂行办法》</w:t>
            </w:r>
          </w:p>
        </w:tc>
      </w:tr>
      <w:tr w:rsidR="00015DF0" w14:paraId="5382B205" w14:textId="77777777" w:rsidTr="00CB3C82">
        <w:trPr>
          <w:trHeight w:val="595"/>
          <w:jc w:val="center"/>
        </w:trPr>
        <w:tc>
          <w:tcPr>
            <w:tcW w:w="1169" w:type="dxa"/>
            <w:tcMar>
              <w:left w:w="0" w:type="dxa"/>
              <w:right w:w="0" w:type="dxa"/>
            </w:tcMar>
            <w:vAlign w:val="center"/>
          </w:tcPr>
          <w:p w14:paraId="7BE559C5"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28B1D41A"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〔2021〕7号</w:t>
            </w:r>
          </w:p>
        </w:tc>
        <w:tc>
          <w:tcPr>
            <w:tcW w:w="9019" w:type="dxa"/>
            <w:vAlign w:val="center"/>
          </w:tcPr>
          <w:p w14:paraId="4922B4E6"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《珠海市横琴新区企业欠薪应急周转金管理办法（修订）》</w:t>
            </w:r>
          </w:p>
        </w:tc>
      </w:tr>
      <w:tr w:rsidR="00015DF0" w14:paraId="11E02D8E" w14:textId="77777777" w:rsidTr="00CB3C82">
        <w:trPr>
          <w:trHeight w:val="595"/>
          <w:jc w:val="center"/>
        </w:trPr>
        <w:tc>
          <w:tcPr>
            <w:tcW w:w="1169" w:type="dxa"/>
            <w:tcMar>
              <w:left w:w="0" w:type="dxa"/>
              <w:right w:w="0" w:type="dxa"/>
            </w:tcMar>
            <w:vAlign w:val="center"/>
          </w:tcPr>
          <w:p w14:paraId="57F45B2F"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45AED18"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无文号</w:t>
            </w:r>
          </w:p>
        </w:tc>
        <w:tc>
          <w:tcPr>
            <w:tcW w:w="9019" w:type="dxa"/>
            <w:vAlign w:val="center"/>
          </w:tcPr>
          <w:p w14:paraId="3F469573" w14:textId="77777777" w:rsidR="00015DF0" w:rsidRDefault="00015DF0"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《珠海市横琴新区畜禽养殖禁养区划定方案》</w:t>
            </w:r>
          </w:p>
        </w:tc>
      </w:tr>
      <w:tr w:rsidR="00015DF0" w14:paraId="3F14AC0B" w14:textId="77777777" w:rsidTr="00CB3C82">
        <w:trPr>
          <w:trHeight w:val="595"/>
          <w:jc w:val="center"/>
        </w:trPr>
        <w:tc>
          <w:tcPr>
            <w:tcW w:w="1169" w:type="dxa"/>
            <w:tcMar>
              <w:left w:w="0" w:type="dxa"/>
              <w:right w:w="0" w:type="dxa"/>
            </w:tcMar>
            <w:vAlign w:val="center"/>
          </w:tcPr>
          <w:p w14:paraId="60404CB8"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1DCC0829"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无文号</w:t>
            </w:r>
          </w:p>
        </w:tc>
        <w:tc>
          <w:tcPr>
            <w:tcW w:w="9019" w:type="dxa"/>
            <w:vAlign w:val="center"/>
          </w:tcPr>
          <w:p w14:paraId="3761D427"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《关于促进横琴新区广告产业发展的若干措施的实施细则》</w:t>
            </w:r>
          </w:p>
        </w:tc>
      </w:tr>
      <w:tr w:rsidR="00015DF0" w14:paraId="7527D040" w14:textId="77777777" w:rsidTr="00CB3C82">
        <w:trPr>
          <w:trHeight w:val="595"/>
          <w:jc w:val="center"/>
        </w:trPr>
        <w:tc>
          <w:tcPr>
            <w:tcW w:w="1169" w:type="dxa"/>
            <w:tcMar>
              <w:left w:w="0" w:type="dxa"/>
              <w:right w:w="0" w:type="dxa"/>
            </w:tcMar>
            <w:vAlign w:val="center"/>
          </w:tcPr>
          <w:p w14:paraId="1718ED9A"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325FEAFD"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无文号</w:t>
            </w:r>
          </w:p>
        </w:tc>
        <w:tc>
          <w:tcPr>
            <w:tcW w:w="9019" w:type="dxa"/>
            <w:vAlign w:val="center"/>
          </w:tcPr>
          <w:p w14:paraId="24C6AEAC"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《横琴与香港、澳门差异化市场轻微违法经营行为免罚清单（工商行政管理类）（第一批）》</w:t>
            </w:r>
          </w:p>
        </w:tc>
      </w:tr>
      <w:tr w:rsidR="00015DF0" w14:paraId="5E57F276" w14:textId="77777777" w:rsidTr="00CB3C82">
        <w:trPr>
          <w:trHeight w:val="595"/>
          <w:jc w:val="center"/>
        </w:trPr>
        <w:tc>
          <w:tcPr>
            <w:tcW w:w="1169" w:type="dxa"/>
            <w:tcMar>
              <w:left w:w="0" w:type="dxa"/>
              <w:right w:w="0" w:type="dxa"/>
            </w:tcMar>
            <w:vAlign w:val="center"/>
          </w:tcPr>
          <w:p w14:paraId="136D2A4D" w14:textId="77777777" w:rsidR="00015DF0" w:rsidRDefault="00015DF0" w:rsidP="00015DF0">
            <w:pPr>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187" w:type="dxa"/>
            <w:tcMar>
              <w:left w:w="0" w:type="dxa"/>
              <w:right w:w="0" w:type="dxa"/>
            </w:tcMar>
            <w:vAlign w:val="center"/>
          </w:tcPr>
          <w:p w14:paraId="5DFC99F9" w14:textId="77777777" w:rsidR="00015DF0" w:rsidRDefault="00015DF0" w:rsidP="00CB3C82">
            <w:pPr>
              <w:widowControl/>
              <w:spacing w:line="300" w:lineRule="exact"/>
              <w:jc w:val="center"/>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无文号</w:t>
            </w:r>
          </w:p>
        </w:tc>
        <w:tc>
          <w:tcPr>
            <w:tcW w:w="9019" w:type="dxa"/>
            <w:vAlign w:val="center"/>
          </w:tcPr>
          <w:p w14:paraId="3EABC2AB" w14:textId="77777777" w:rsidR="00015DF0" w:rsidRDefault="00015DF0"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《横琴与香港、澳门差异化市场轻微违法经营行为免罚清单（市场监督管理类）（第二批）》</w:t>
            </w:r>
          </w:p>
        </w:tc>
      </w:tr>
    </w:tbl>
    <w:p w14:paraId="03BB97BE" w14:textId="77777777" w:rsidR="00156D38" w:rsidRPr="00015DF0" w:rsidRDefault="00156D38"/>
    <w:sectPr w:rsidR="00156D38" w:rsidRPr="00015D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7D1E" w14:textId="77777777" w:rsidR="000878EE" w:rsidRDefault="000878EE" w:rsidP="00015DF0">
      <w:r>
        <w:separator/>
      </w:r>
    </w:p>
  </w:endnote>
  <w:endnote w:type="continuationSeparator" w:id="0">
    <w:p w14:paraId="37D87730" w14:textId="77777777" w:rsidR="000878EE" w:rsidRDefault="000878EE" w:rsidP="0001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9C36" w14:textId="77777777" w:rsidR="000878EE" w:rsidRDefault="000878EE" w:rsidP="00015DF0">
      <w:r>
        <w:separator/>
      </w:r>
    </w:p>
  </w:footnote>
  <w:footnote w:type="continuationSeparator" w:id="0">
    <w:p w14:paraId="7DEB07E7" w14:textId="77777777" w:rsidR="000878EE" w:rsidRDefault="000878EE" w:rsidP="0001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17AD9"/>
    <w:multiLevelType w:val="singleLevel"/>
    <w:tmpl w:val="48117AD9"/>
    <w:lvl w:ilvl="0">
      <w:start w:val="1"/>
      <w:numFmt w:val="decimal"/>
      <w:suff w:val="nothing"/>
      <w:lvlText w:val="%1"/>
      <w:lvlJc w:val="left"/>
      <w:pPr>
        <w:tabs>
          <w:tab w:val="num" w:pos="0"/>
        </w:tabs>
        <w:ind w:left="454" w:hanging="454"/>
      </w:pPr>
      <w:rPr>
        <w:rFonts w:hint="default"/>
      </w:rPr>
    </w:lvl>
  </w:abstractNum>
  <w:num w:numId="1" w16cid:durableId="186201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C8"/>
    <w:rsid w:val="00015DF0"/>
    <w:rsid w:val="000878EE"/>
    <w:rsid w:val="00156D38"/>
    <w:rsid w:val="00B8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FD68EC-1DDC-4CFE-A322-FCF24ED0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15DF0"/>
    <w:pPr>
      <w:widowControl w:val="0"/>
      <w:jc w:val="both"/>
    </w:pPr>
    <w:rPr>
      <w:rFonts w:ascii="Calibri" w:eastAsia="宋体" w:hAnsi="Calibri"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15DF0"/>
    <w:pPr>
      <w:tabs>
        <w:tab w:val="center" w:pos="4153"/>
        <w:tab w:val="right" w:pos="8306"/>
      </w:tabs>
      <w:snapToGrid w:val="0"/>
      <w:jc w:val="center"/>
    </w:pPr>
    <w:rPr>
      <w:sz w:val="18"/>
      <w:szCs w:val="18"/>
    </w:rPr>
  </w:style>
  <w:style w:type="character" w:customStyle="1" w:styleId="a5">
    <w:name w:val="页眉 字符"/>
    <w:basedOn w:val="a1"/>
    <w:link w:val="a4"/>
    <w:uiPriority w:val="99"/>
    <w:rsid w:val="00015DF0"/>
    <w:rPr>
      <w:sz w:val="18"/>
      <w:szCs w:val="18"/>
    </w:rPr>
  </w:style>
  <w:style w:type="paragraph" w:styleId="a6">
    <w:name w:val="footer"/>
    <w:basedOn w:val="a"/>
    <w:link w:val="a7"/>
    <w:uiPriority w:val="99"/>
    <w:unhideWhenUsed/>
    <w:rsid w:val="00015DF0"/>
    <w:pPr>
      <w:tabs>
        <w:tab w:val="center" w:pos="4153"/>
        <w:tab w:val="right" w:pos="8306"/>
      </w:tabs>
      <w:snapToGrid w:val="0"/>
      <w:jc w:val="left"/>
    </w:pPr>
    <w:rPr>
      <w:sz w:val="18"/>
      <w:szCs w:val="18"/>
    </w:rPr>
  </w:style>
  <w:style w:type="character" w:customStyle="1" w:styleId="a7">
    <w:name w:val="页脚 字符"/>
    <w:basedOn w:val="a1"/>
    <w:link w:val="a6"/>
    <w:uiPriority w:val="99"/>
    <w:rsid w:val="00015DF0"/>
    <w:rPr>
      <w:sz w:val="18"/>
      <w:szCs w:val="18"/>
    </w:rPr>
  </w:style>
  <w:style w:type="paragraph" w:styleId="a8">
    <w:name w:val="Body Text"/>
    <w:basedOn w:val="a"/>
    <w:next w:val="a9"/>
    <w:link w:val="aa"/>
    <w:qFormat/>
    <w:rsid w:val="00015DF0"/>
    <w:pPr>
      <w:spacing w:after="120"/>
    </w:pPr>
    <w:rPr>
      <w:szCs w:val="21"/>
    </w:rPr>
  </w:style>
  <w:style w:type="character" w:customStyle="1" w:styleId="aa">
    <w:name w:val="正文文本 字符"/>
    <w:basedOn w:val="a1"/>
    <w:link w:val="a8"/>
    <w:rsid w:val="00015DF0"/>
    <w:rPr>
      <w:rFonts w:ascii="Calibri" w:eastAsia="宋体" w:hAnsi="Calibri" w:cs="Arial"/>
      <w:szCs w:val="21"/>
    </w:rPr>
  </w:style>
  <w:style w:type="paragraph" w:styleId="a0">
    <w:name w:val="Normal Indent"/>
    <w:basedOn w:val="a"/>
    <w:uiPriority w:val="99"/>
    <w:semiHidden/>
    <w:unhideWhenUsed/>
    <w:rsid w:val="00015DF0"/>
    <w:pPr>
      <w:ind w:firstLineChars="200" w:firstLine="420"/>
    </w:pPr>
  </w:style>
  <w:style w:type="paragraph" w:styleId="a9">
    <w:name w:val="Title"/>
    <w:basedOn w:val="a"/>
    <w:next w:val="a"/>
    <w:link w:val="ab"/>
    <w:uiPriority w:val="10"/>
    <w:qFormat/>
    <w:rsid w:val="00015DF0"/>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1"/>
    <w:link w:val="a9"/>
    <w:uiPriority w:val="10"/>
    <w:rsid w:val="00015DF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2023-07-20T10:01:00Z</dcterms:created>
  <dcterms:modified xsi:type="dcterms:W3CDTF">2023-07-20T10:02:00Z</dcterms:modified>
</cp:coreProperties>
</file>