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AC6C5" w14:textId="77777777" w:rsidR="008B47C3" w:rsidRDefault="008B47C3" w:rsidP="008B47C3">
      <w:pPr>
        <w:widowControl/>
        <w:spacing w:line="579" w:lineRule="exact"/>
        <w:jc w:val="left"/>
        <w:rPr>
          <w:rFonts w:ascii="黑体" w:eastAsia="黑体" w:hAnsi="黑体" w:cs="黑体"/>
          <w:bCs/>
          <w:sz w:val="32"/>
          <w:szCs w:val="32"/>
        </w:rPr>
      </w:pPr>
      <w:r>
        <w:rPr>
          <w:rFonts w:ascii="黑体" w:eastAsia="黑体" w:hAnsi="黑体" w:cs="黑体" w:hint="eastAsia"/>
          <w:bCs/>
          <w:sz w:val="32"/>
          <w:szCs w:val="32"/>
        </w:rPr>
        <w:t>附件4</w:t>
      </w:r>
    </w:p>
    <w:p w14:paraId="064824F3" w14:textId="77777777" w:rsidR="008B47C3" w:rsidRDefault="008B47C3" w:rsidP="008B47C3">
      <w:pPr>
        <w:pStyle w:val="a9"/>
        <w:rPr>
          <w:rFonts w:ascii="方正小标宋简体" w:eastAsia="方正小标宋简体" w:hAnsi="仿宋" w:hint="default"/>
          <w:b w:val="0"/>
          <w:sz w:val="44"/>
          <w:szCs w:val="44"/>
        </w:rPr>
      </w:pPr>
      <w:r>
        <w:rPr>
          <w:rFonts w:ascii="方正小标宋简体" w:eastAsia="方正小标宋简体" w:hAnsi="仿宋"/>
          <w:b w:val="0"/>
          <w:sz w:val="44"/>
          <w:szCs w:val="44"/>
        </w:rPr>
        <w:t>参照适用的规范性文件清单</w:t>
      </w:r>
    </w:p>
    <w:p w14:paraId="18BE264B" w14:textId="77777777" w:rsidR="008B47C3" w:rsidRDefault="008B47C3" w:rsidP="008B47C3">
      <w:pPr>
        <w:spacing w:line="579" w:lineRule="exact"/>
        <w:jc w:val="center"/>
        <w:rPr>
          <w:rFonts w:ascii="楷体_GB2312" w:eastAsia="楷体_GB2312" w:hAnsi="楷体_GB2312" w:cs="楷体_GB2312"/>
          <w:szCs w:val="32"/>
        </w:rPr>
      </w:pPr>
      <w:r>
        <w:rPr>
          <w:rFonts w:ascii="楷体_GB2312" w:eastAsia="楷体_GB2312" w:hAnsi="楷体_GB2312" w:cs="楷体_GB2312" w:hint="eastAsia"/>
          <w:szCs w:val="32"/>
        </w:rPr>
        <w:t>（相关部门正在起草新的执委会有关事项的规范性文件。在新的规范性文件实施前，继续参照适用下列文件有关规定，共15件）</w:t>
      </w:r>
    </w:p>
    <w:p w14:paraId="51CFBE92" w14:textId="77777777" w:rsidR="008B47C3" w:rsidRDefault="008B47C3" w:rsidP="008B47C3">
      <w:pPr>
        <w:pStyle w:val="a8"/>
        <w:spacing w:line="240" w:lineRule="exact"/>
      </w:pPr>
    </w:p>
    <w:tbl>
      <w:tblPr>
        <w:tblW w:w="13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3555"/>
        <w:gridCol w:w="9210"/>
      </w:tblGrid>
      <w:tr w:rsidR="008B47C3" w14:paraId="7F09C424" w14:textId="77777777" w:rsidTr="00CB3C82">
        <w:trPr>
          <w:trHeight w:val="624"/>
          <w:tblHeader/>
          <w:jc w:val="center"/>
        </w:trPr>
        <w:tc>
          <w:tcPr>
            <w:tcW w:w="661" w:type="dxa"/>
            <w:vAlign w:val="center"/>
          </w:tcPr>
          <w:p w14:paraId="29CED124" w14:textId="77777777" w:rsidR="008B47C3" w:rsidRDefault="008B47C3" w:rsidP="00CB3C82">
            <w:pPr>
              <w:jc w:val="center"/>
              <w:rPr>
                <w:rFonts w:ascii="黑体" w:eastAsia="黑体" w:hAnsi="黑体" w:cs="黑体"/>
                <w:szCs w:val="21"/>
              </w:rPr>
            </w:pPr>
            <w:r>
              <w:rPr>
                <w:rFonts w:ascii="黑体" w:eastAsia="黑体" w:hAnsi="黑体" w:cs="黑体" w:hint="eastAsia"/>
                <w:spacing w:val="-6"/>
                <w:szCs w:val="21"/>
              </w:rPr>
              <w:t>序号</w:t>
            </w:r>
          </w:p>
        </w:tc>
        <w:tc>
          <w:tcPr>
            <w:tcW w:w="3555" w:type="dxa"/>
            <w:vAlign w:val="center"/>
          </w:tcPr>
          <w:p w14:paraId="7E3A0D58" w14:textId="77777777" w:rsidR="008B47C3" w:rsidRDefault="008B47C3" w:rsidP="00CB3C82">
            <w:pPr>
              <w:jc w:val="center"/>
            </w:pPr>
            <w:r>
              <w:rPr>
                <w:rFonts w:ascii="黑体" w:eastAsia="黑体" w:hAnsi="黑体" w:cs="黑体" w:hint="eastAsia"/>
                <w:szCs w:val="21"/>
              </w:rPr>
              <w:t>文号</w:t>
            </w:r>
          </w:p>
        </w:tc>
        <w:tc>
          <w:tcPr>
            <w:tcW w:w="9210" w:type="dxa"/>
            <w:vAlign w:val="center"/>
          </w:tcPr>
          <w:p w14:paraId="141EDCD0" w14:textId="77777777" w:rsidR="008B47C3" w:rsidRDefault="008B47C3" w:rsidP="00CB3C82">
            <w:pPr>
              <w:jc w:val="center"/>
              <w:rPr>
                <w:rFonts w:ascii="黑体" w:eastAsia="黑体" w:hAnsi="黑体" w:cs="黑体"/>
                <w:szCs w:val="21"/>
              </w:rPr>
            </w:pPr>
            <w:r>
              <w:rPr>
                <w:rFonts w:ascii="黑体" w:eastAsia="黑体" w:hAnsi="黑体" w:cs="黑体" w:hint="eastAsia"/>
                <w:szCs w:val="21"/>
              </w:rPr>
              <w:t>文件名称</w:t>
            </w:r>
          </w:p>
        </w:tc>
      </w:tr>
      <w:tr w:rsidR="008B47C3" w14:paraId="190385B3" w14:textId="77777777" w:rsidTr="00CB3C82">
        <w:trPr>
          <w:trHeight w:val="624"/>
          <w:jc w:val="center"/>
        </w:trPr>
        <w:tc>
          <w:tcPr>
            <w:tcW w:w="661" w:type="dxa"/>
            <w:vAlign w:val="center"/>
          </w:tcPr>
          <w:p w14:paraId="34B69C34" w14:textId="77777777" w:rsidR="008B47C3" w:rsidRDefault="008B47C3" w:rsidP="00CB3C82">
            <w:pPr>
              <w:widowControl/>
              <w:jc w:val="center"/>
              <w:rPr>
                <w:rFonts w:ascii="楷体_GB2312" w:eastAsia="楷体_GB2312" w:hAnsi="楷体_GB2312" w:cs="楷体_GB2312"/>
                <w:bCs/>
                <w:color w:val="000000"/>
                <w:szCs w:val="21"/>
                <w:lang w:bidi="ar"/>
              </w:rPr>
            </w:pPr>
            <w:r>
              <w:rPr>
                <w:rFonts w:ascii="楷体_GB2312" w:eastAsia="楷体_GB2312" w:hAnsi="楷体_GB2312" w:cs="楷体_GB2312" w:hint="eastAsia"/>
                <w:bCs/>
                <w:szCs w:val="21"/>
                <w:lang w:bidi="ar"/>
              </w:rPr>
              <w:t>1</w:t>
            </w:r>
          </w:p>
        </w:tc>
        <w:tc>
          <w:tcPr>
            <w:tcW w:w="3555" w:type="dxa"/>
            <w:vAlign w:val="center"/>
          </w:tcPr>
          <w:p w14:paraId="5C934BEF"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〔2012〕20号</w:t>
            </w:r>
          </w:p>
        </w:tc>
        <w:tc>
          <w:tcPr>
            <w:tcW w:w="9210" w:type="dxa"/>
            <w:vAlign w:val="center"/>
          </w:tcPr>
          <w:p w14:paraId="19D4EFE3" w14:textId="77777777" w:rsidR="008B47C3" w:rsidRDefault="008B47C3" w:rsidP="00CB3C82">
            <w:pPr>
              <w:widowControl/>
              <w:jc w:val="lef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《横琴新区区域供冷供热管理办法》</w:t>
            </w:r>
          </w:p>
        </w:tc>
      </w:tr>
      <w:tr w:rsidR="008B47C3" w14:paraId="17C4D0A0" w14:textId="77777777" w:rsidTr="00CB3C82">
        <w:trPr>
          <w:trHeight w:val="624"/>
          <w:jc w:val="center"/>
        </w:trPr>
        <w:tc>
          <w:tcPr>
            <w:tcW w:w="661" w:type="dxa"/>
            <w:vAlign w:val="center"/>
          </w:tcPr>
          <w:p w14:paraId="372CDA47"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2</w:t>
            </w:r>
          </w:p>
        </w:tc>
        <w:tc>
          <w:tcPr>
            <w:tcW w:w="3555" w:type="dxa"/>
            <w:vAlign w:val="center"/>
          </w:tcPr>
          <w:p w14:paraId="4EBE9CC0" w14:textId="77777777" w:rsidR="008B47C3" w:rsidRDefault="008B47C3" w:rsidP="00CB3C82">
            <w:pPr>
              <w:widowControl/>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〔2012〕99号</w:t>
            </w:r>
          </w:p>
        </w:tc>
        <w:tc>
          <w:tcPr>
            <w:tcW w:w="9210" w:type="dxa"/>
            <w:vAlign w:val="center"/>
          </w:tcPr>
          <w:p w14:paraId="01904C1E"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《横琴新区用地项目限制销售物业处置核准办法》</w:t>
            </w:r>
          </w:p>
        </w:tc>
      </w:tr>
      <w:tr w:rsidR="008B47C3" w14:paraId="191F762B" w14:textId="77777777" w:rsidTr="00CB3C82">
        <w:trPr>
          <w:trHeight w:val="624"/>
          <w:jc w:val="center"/>
        </w:trPr>
        <w:tc>
          <w:tcPr>
            <w:tcW w:w="661" w:type="dxa"/>
            <w:vAlign w:val="center"/>
          </w:tcPr>
          <w:p w14:paraId="748446AA"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3</w:t>
            </w:r>
          </w:p>
        </w:tc>
        <w:tc>
          <w:tcPr>
            <w:tcW w:w="3555" w:type="dxa"/>
            <w:vAlign w:val="center"/>
          </w:tcPr>
          <w:p w14:paraId="1197EA79"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〔2013〕82号</w:t>
            </w:r>
          </w:p>
        </w:tc>
        <w:tc>
          <w:tcPr>
            <w:tcW w:w="9210" w:type="dxa"/>
            <w:vAlign w:val="center"/>
          </w:tcPr>
          <w:p w14:paraId="0C0AE5D3"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《横琴新区地下空间开发利用管理办法》</w:t>
            </w:r>
          </w:p>
        </w:tc>
      </w:tr>
      <w:tr w:rsidR="008B47C3" w14:paraId="62BF18CD" w14:textId="77777777" w:rsidTr="00CB3C82">
        <w:trPr>
          <w:trHeight w:val="624"/>
          <w:jc w:val="center"/>
        </w:trPr>
        <w:tc>
          <w:tcPr>
            <w:tcW w:w="661" w:type="dxa"/>
            <w:vAlign w:val="center"/>
          </w:tcPr>
          <w:p w14:paraId="67051108"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4</w:t>
            </w:r>
          </w:p>
        </w:tc>
        <w:tc>
          <w:tcPr>
            <w:tcW w:w="3555" w:type="dxa"/>
            <w:vAlign w:val="center"/>
          </w:tcPr>
          <w:p w14:paraId="486B4FB3"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〔2014〕32号</w:t>
            </w:r>
          </w:p>
        </w:tc>
        <w:tc>
          <w:tcPr>
            <w:tcW w:w="9210" w:type="dxa"/>
            <w:vAlign w:val="center"/>
          </w:tcPr>
          <w:p w14:paraId="57DD602A"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《珠海市横琴新区隧道管理办法（试行）》</w:t>
            </w:r>
          </w:p>
        </w:tc>
      </w:tr>
      <w:tr w:rsidR="008B47C3" w14:paraId="7031C93A" w14:textId="77777777" w:rsidTr="00CB3C82">
        <w:trPr>
          <w:trHeight w:val="624"/>
          <w:jc w:val="center"/>
        </w:trPr>
        <w:tc>
          <w:tcPr>
            <w:tcW w:w="661" w:type="dxa"/>
            <w:vAlign w:val="center"/>
          </w:tcPr>
          <w:p w14:paraId="58275FBD"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5</w:t>
            </w:r>
          </w:p>
        </w:tc>
        <w:tc>
          <w:tcPr>
            <w:tcW w:w="3555" w:type="dxa"/>
            <w:vAlign w:val="center"/>
          </w:tcPr>
          <w:p w14:paraId="7990CBBE"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〔2015〕10号</w:t>
            </w:r>
          </w:p>
        </w:tc>
        <w:tc>
          <w:tcPr>
            <w:tcW w:w="9210" w:type="dxa"/>
            <w:vAlign w:val="center"/>
          </w:tcPr>
          <w:p w14:paraId="42E5426B"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《横琴新区管委会办公室关于印发横琴新区国有土地价格管理规定（修订）的通知》</w:t>
            </w:r>
          </w:p>
        </w:tc>
      </w:tr>
      <w:tr w:rsidR="008B47C3" w14:paraId="6BC8D146" w14:textId="77777777" w:rsidTr="00CB3C82">
        <w:trPr>
          <w:trHeight w:val="624"/>
          <w:jc w:val="center"/>
        </w:trPr>
        <w:tc>
          <w:tcPr>
            <w:tcW w:w="661" w:type="dxa"/>
            <w:vAlign w:val="center"/>
          </w:tcPr>
          <w:p w14:paraId="4101A56A"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6</w:t>
            </w:r>
          </w:p>
        </w:tc>
        <w:tc>
          <w:tcPr>
            <w:tcW w:w="3555" w:type="dxa"/>
            <w:vAlign w:val="center"/>
          </w:tcPr>
          <w:p w14:paraId="7733AA59" w14:textId="77777777" w:rsidR="008B47C3" w:rsidRDefault="008B47C3" w:rsidP="00CB3C82">
            <w:pPr>
              <w:widowControl/>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〔2016〕23号</w:t>
            </w:r>
          </w:p>
        </w:tc>
        <w:tc>
          <w:tcPr>
            <w:tcW w:w="9210" w:type="dxa"/>
            <w:vAlign w:val="center"/>
          </w:tcPr>
          <w:p w14:paraId="141B062E"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《横琴新区异地务工人员随迁子女积分入学办法》</w:t>
            </w:r>
          </w:p>
        </w:tc>
      </w:tr>
      <w:tr w:rsidR="008B47C3" w14:paraId="7684C246" w14:textId="77777777" w:rsidTr="00CB3C82">
        <w:trPr>
          <w:trHeight w:val="624"/>
          <w:jc w:val="center"/>
        </w:trPr>
        <w:tc>
          <w:tcPr>
            <w:tcW w:w="661" w:type="dxa"/>
            <w:vAlign w:val="center"/>
          </w:tcPr>
          <w:p w14:paraId="12115DF9"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7</w:t>
            </w:r>
          </w:p>
        </w:tc>
        <w:tc>
          <w:tcPr>
            <w:tcW w:w="3555" w:type="dxa"/>
            <w:vAlign w:val="center"/>
          </w:tcPr>
          <w:p w14:paraId="3F4ED088" w14:textId="77777777" w:rsidR="008B47C3" w:rsidRDefault="008B47C3" w:rsidP="00CB3C82">
            <w:pPr>
              <w:widowControl/>
              <w:jc w:val="center"/>
              <w:textAlignment w:val="center"/>
            </w:pPr>
            <w:proofErr w:type="gramStart"/>
            <w:r>
              <w:rPr>
                <w:rFonts w:ascii="楷体_GB2312" w:eastAsia="楷体_GB2312" w:hAnsi="楷体_GB2312" w:cs="楷体_GB2312" w:hint="eastAsia"/>
                <w:spacing w:val="-6"/>
                <w:kern w:val="0"/>
                <w:szCs w:val="21"/>
                <w:lang w:bidi="ar"/>
              </w:rPr>
              <w:t>珠横新办</w:t>
            </w:r>
            <w:proofErr w:type="gramEnd"/>
            <w:r>
              <w:rPr>
                <w:rFonts w:ascii="楷体_GB2312" w:eastAsia="楷体_GB2312" w:hAnsi="楷体_GB2312" w:cs="楷体_GB2312" w:hint="eastAsia"/>
                <w:spacing w:val="-6"/>
                <w:kern w:val="0"/>
                <w:szCs w:val="21"/>
                <w:lang w:bidi="ar"/>
              </w:rPr>
              <w:t>〔2016〕156号</w:t>
            </w:r>
          </w:p>
        </w:tc>
        <w:tc>
          <w:tcPr>
            <w:tcW w:w="9210" w:type="dxa"/>
            <w:vAlign w:val="center"/>
          </w:tcPr>
          <w:p w14:paraId="4DA2B84A"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《横琴新区社会投资类建设工程管理模式创新方案》</w:t>
            </w:r>
          </w:p>
        </w:tc>
      </w:tr>
      <w:tr w:rsidR="008B47C3" w14:paraId="611642FF" w14:textId="77777777" w:rsidTr="00CB3C82">
        <w:trPr>
          <w:trHeight w:val="624"/>
          <w:jc w:val="center"/>
        </w:trPr>
        <w:tc>
          <w:tcPr>
            <w:tcW w:w="661" w:type="dxa"/>
            <w:vAlign w:val="center"/>
          </w:tcPr>
          <w:p w14:paraId="5E1DFE00"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8</w:t>
            </w:r>
          </w:p>
        </w:tc>
        <w:tc>
          <w:tcPr>
            <w:tcW w:w="3555" w:type="dxa"/>
            <w:vAlign w:val="center"/>
          </w:tcPr>
          <w:p w14:paraId="3FA62888"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spacing w:val="-6"/>
                <w:kern w:val="0"/>
                <w:szCs w:val="21"/>
                <w:lang w:bidi="ar"/>
              </w:rPr>
              <w:t>〔2017〕7号</w:t>
            </w:r>
          </w:p>
        </w:tc>
        <w:tc>
          <w:tcPr>
            <w:tcW w:w="9210" w:type="dxa"/>
            <w:vAlign w:val="center"/>
          </w:tcPr>
          <w:p w14:paraId="646DBDC6"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《关于进一步规范横琴新区征收地上青苗及附着物补偿工作的指导意见》</w:t>
            </w:r>
          </w:p>
        </w:tc>
      </w:tr>
      <w:tr w:rsidR="008B47C3" w14:paraId="0104E650" w14:textId="77777777" w:rsidTr="00CB3C82">
        <w:trPr>
          <w:trHeight w:val="624"/>
          <w:jc w:val="center"/>
        </w:trPr>
        <w:tc>
          <w:tcPr>
            <w:tcW w:w="661" w:type="dxa"/>
            <w:vAlign w:val="center"/>
          </w:tcPr>
          <w:p w14:paraId="2E152A52"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9</w:t>
            </w:r>
          </w:p>
        </w:tc>
        <w:tc>
          <w:tcPr>
            <w:tcW w:w="3555" w:type="dxa"/>
            <w:vAlign w:val="center"/>
          </w:tcPr>
          <w:p w14:paraId="7D056506"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spacing w:val="-6"/>
                <w:kern w:val="0"/>
                <w:szCs w:val="21"/>
                <w:lang w:bidi="ar"/>
              </w:rPr>
              <w:t>〔2017〕11号</w:t>
            </w:r>
          </w:p>
        </w:tc>
        <w:tc>
          <w:tcPr>
            <w:tcW w:w="9210" w:type="dxa"/>
            <w:vAlign w:val="center"/>
          </w:tcPr>
          <w:p w14:paraId="5301A432"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《珠海市横琴新区市政公用设施移交接收管理规定的通知》</w:t>
            </w:r>
          </w:p>
        </w:tc>
      </w:tr>
      <w:tr w:rsidR="008B47C3" w14:paraId="12E6AE9F" w14:textId="77777777" w:rsidTr="00CB3C82">
        <w:trPr>
          <w:trHeight w:val="624"/>
          <w:jc w:val="center"/>
        </w:trPr>
        <w:tc>
          <w:tcPr>
            <w:tcW w:w="661" w:type="dxa"/>
            <w:vAlign w:val="center"/>
          </w:tcPr>
          <w:p w14:paraId="34043DDD"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10</w:t>
            </w:r>
          </w:p>
        </w:tc>
        <w:tc>
          <w:tcPr>
            <w:tcW w:w="3555" w:type="dxa"/>
            <w:vAlign w:val="center"/>
          </w:tcPr>
          <w:p w14:paraId="21C626F9"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w:t>
            </w:r>
            <w:proofErr w:type="gramStart"/>
            <w:r>
              <w:rPr>
                <w:rFonts w:ascii="楷体_GB2312" w:eastAsia="楷体_GB2312" w:hAnsi="楷体_GB2312" w:cs="楷体_GB2312" w:hint="eastAsia"/>
                <w:kern w:val="0"/>
                <w:szCs w:val="21"/>
                <w:lang w:bidi="ar"/>
              </w:rPr>
              <w:t>〕</w:t>
            </w:r>
            <w:proofErr w:type="gramEnd"/>
            <w:r>
              <w:rPr>
                <w:rFonts w:ascii="楷体_GB2312" w:eastAsia="楷体_GB2312" w:hAnsi="楷体_GB2312" w:cs="楷体_GB2312" w:hint="eastAsia"/>
                <w:kern w:val="0"/>
                <w:szCs w:val="21"/>
                <w:lang w:bidi="ar"/>
              </w:rPr>
              <w:t>6号</w:t>
            </w:r>
          </w:p>
        </w:tc>
        <w:tc>
          <w:tcPr>
            <w:tcW w:w="9210" w:type="dxa"/>
            <w:vAlign w:val="center"/>
          </w:tcPr>
          <w:p w14:paraId="49D1DBB6"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《横琴新区及一体化新拓展区临时用地管理工作实施细则》</w:t>
            </w:r>
          </w:p>
        </w:tc>
      </w:tr>
      <w:tr w:rsidR="008B47C3" w14:paraId="540016A8" w14:textId="77777777" w:rsidTr="00CB3C82">
        <w:trPr>
          <w:trHeight w:val="624"/>
          <w:jc w:val="center"/>
        </w:trPr>
        <w:tc>
          <w:tcPr>
            <w:tcW w:w="661" w:type="dxa"/>
            <w:vAlign w:val="center"/>
          </w:tcPr>
          <w:p w14:paraId="36C5CF4C"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11</w:t>
            </w:r>
          </w:p>
        </w:tc>
        <w:tc>
          <w:tcPr>
            <w:tcW w:w="3555" w:type="dxa"/>
            <w:vAlign w:val="center"/>
          </w:tcPr>
          <w:p w14:paraId="5DAE5FAA" w14:textId="77777777" w:rsidR="008B47C3" w:rsidRDefault="008B47C3" w:rsidP="00CB3C82">
            <w:pPr>
              <w:widowControl/>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color w:val="000000"/>
                <w:kern w:val="0"/>
                <w:szCs w:val="21"/>
                <w:lang w:bidi="ar"/>
              </w:rPr>
              <w:t>珠横新办</w:t>
            </w:r>
            <w:proofErr w:type="gramEnd"/>
            <w:r>
              <w:rPr>
                <w:rFonts w:ascii="楷体_GB2312" w:eastAsia="楷体_GB2312" w:hAnsi="楷体_GB2312" w:cs="楷体_GB2312" w:hint="eastAsia"/>
                <w:color w:val="000000"/>
                <w:kern w:val="0"/>
                <w:szCs w:val="21"/>
                <w:lang w:bidi="ar"/>
              </w:rPr>
              <w:t>〔2019〕23号</w:t>
            </w:r>
          </w:p>
        </w:tc>
        <w:tc>
          <w:tcPr>
            <w:tcW w:w="9210" w:type="dxa"/>
            <w:vAlign w:val="center"/>
          </w:tcPr>
          <w:p w14:paraId="0598DA6C"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《横琴新区博士后管理办法》</w:t>
            </w:r>
          </w:p>
        </w:tc>
      </w:tr>
      <w:tr w:rsidR="008B47C3" w14:paraId="6AD050E0" w14:textId="77777777" w:rsidTr="00CB3C82">
        <w:trPr>
          <w:trHeight w:val="624"/>
          <w:jc w:val="center"/>
        </w:trPr>
        <w:tc>
          <w:tcPr>
            <w:tcW w:w="661" w:type="dxa"/>
            <w:vAlign w:val="center"/>
          </w:tcPr>
          <w:p w14:paraId="2272186E"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12</w:t>
            </w:r>
          </w:p>
        </w:tc>
        <w:tc>
          <w:tcPr>
            <w:tcW w:w="3555" w:type="dxa"/>
            <w:vAlign w:val="center"/>
          </w:tcPr>
          <w:p w14:paraId="0E1FEEEF"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珠横新建</w:t>
            </w:r>
            <w:proofErr w:type="gramEnd"/>
            <w:r>
              <w:rPr>
                <w:rFonts w:ascii="楷体_GB2312" w:eastAsia="楷体_GB2312" w:hAnsi="楷体_GB2312" w:cs="楷体_GB2312" w:hint="eastAsia"/>
                <w:kern w:val="0"/>
                <w:szCs w:val="21"/>
                <w:lang w:bidi="ar"/>
              </w:rPr>
              <w:t>通知〔2019〕57号</w:t>
            </w:r>
          </w:p>
        </w:tc>
        <w:tc>
          <w:tcPr>
            <w:tcW w:w="9210" w:type="dxa"/>
            <w:vAlign w:val="center"/>
          </w:tcPr>
          <w:p w14:paraId="7A1DF86C"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《横琴新区建设环保局关于改善营商环境优化施工许可办理环节的通知》</w:t>
            </w:r>
          </w:p>
        </w:tc>
      </w:tr>
      <w:tr w:rsidR="008B47C3" w14:paraId="7BD96BB8" w14:textId="77777777" w:rsidTr="00CB3C82">
        <w:trPr>
          <w:trHeight w:val="624"/>
          <w:jc w:val="center"/>
        </w:trPr>
        <w:tc>
          <w:tcPr>
            <w:tcW w:w="661" w:type="dxa"/>
            <w:vAlign w:val="center"/>
          </w:tcPr>
          <w:p w14:paraId="54BB9523"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13</w:t>
            </w:r>
          </w:p>
        </w:tc>
        <w:tc>
          <w:tcPr>
            <w:tcW w:w="3555" w:type="dxa"/>
            <w:vAlign w:val="center"/>
          </w:tcPr>
          <w:p w14:paraId="3B5551FB"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珠横新建</w:t>
            </w:r>
            <w:proofErr w:type="gramEnd"/>
            <w:r>
              <w:rPr>
                <w:rFonts w:ascii="楷体_GB2312" w:eastAsia="楷体_GB2312" w:hAnsi="楷体_GB2312" w:cs="楷体_GB2312" w:hint="eastAsia"/>
                <w:kern w:val="0"/>
                <w:szCs w:val="21"/>
                <w:lang w:bidi="ar"/>
              </w:rPr>
              <w:t>函〔2020〕7号</w:t>
            </w:r>
          </w:p>
        </w:tc>
        <w:tc>
          <w:tcPr>
            <w:tcW w:w="9210" w:type="dxa"/>
            <w:vAlign w:val="center"/>
          </w:tcPr>
          <w:p w14:paraId="5336E419"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《珠海市横琴新区市政公用设施移交接收管理规定关于提前启用的补充规定》</w:t>
            </w:r>
          </w:p>
        </w:tc>
      </w:tr>
      <w:tr w:rsidR="008B47C3" w14:paraId="5DA88D3F" w14:textId="77777777" w:rsidTr="00CB3C82">
        <w:trPr>
          <w:trHeight w:val="624"/>
          <w:jc w:val="center"/>
        </w:trPr>
        <w:tc>
          <w:tcPr>
            <w:tcW w:w="661" w:type="dxa"/>
            <w:vAlign w:val="center"/>
          </w:tcPr>
          <w:p w14:paraId="5F066D79"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14</w:t>
            </w:r>
          </w:p>
        </w:tc>
        <w:tc>
          <w:tcPr>
            <w:tcW w:w="3555" w:type="dxa"/>
            <w:vAlign w:val="center"/>
          </w:tcPr>
          <w:p w14:paraId="14A2B013" w14:textId="77777777" w:rsidR="008B47C3" w:rsidRDefault="008B47C3" w:rsidP="00CB3C82">
            <w:pPr>
              <w:widowControl/>
              <w:jc w:val="center"/>
              <w:textAlignment w:val="center"/>
            </w:pPr>
            <w:proofErr w:type="gramStart"/>
            <w:r>
              <w:rPr>
                <w:rFonts w:ascii="楷体_GB2312" w:eastAsia="楷体_GB2312" w:hAnsi="楷体_GB2312" w:cs="楷体_GB2312" w:hint="eastAsia"/>
                <w:spacing w:val="-6"/>
                <w:kern w:val="0"/>
                <w:szCs w:val="21"/>
                <w:lang w:bidi="ar"/>
              </w:rPr>
              <w:t>珠横新建</w:t>
            </w:r>
            <w:proofErr w:type="gramEnd"/>
            <w:r>
              <w:rPr>
                <w:rFonts w:ascii="楷体_GB2312" w:eastAsia="楷体_GB2312" w:hAnsi="楷体_GB2312" w:cs="楷体_GB2312" w:hint="eastAsia"/>
                <w:spacing w:val="-6"/>
                <w:kern w:val="0"/>
                <w:szCs w:val="21"/>
                <w:lang w:bidi="ar"/>
              </w:rPr>
              <w:t>〔2020〕207号</w:t>
            </w:r>
          </w:p>
        </w:tc>
        <w:tc>
          <w:tcPr>
            <w:tcW w:w="9210" w:type="dxa"/>
            <w:tcBorders>
              <w:top w:val="single" w:sz="8" w:space="0" w:color="000000"/>
            </w:tcBorders>
            <w:vAlign w:val="center"/>
          </w:tcPr>
          <w:p w14:paraId="404978B5"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《珠海经济特区横琴新区港澳建筑及相关工程咨询企业资质和专业人士执业资格认可规定实施细则（试行）》</w:t>
            </w:r>
          </w:p>
        </w:tc>
      </w:tr>
      <w:tr w:rsidR="008B47C3" w14:paraId="2816888B" w14:textId="77777777" w:rsidTr="00CB3C82">
        <w:trPr>
          <w:trHeight w:val="624"/>
          <w:jc w:val="center"/>
        </w:trPr>
        <w:tc>
          <w:tcPr>
            <w:tcW w:w="661" w:type="dxa"/>
            <w:tcBorders>
              <w:top w:val="single" w:sz="8" w:space="0" w:color="000000"/>
            </w:tcBorders>
            <w:vAlign w:val="center"/>
          </w:tcPr>
          <w:p w14:paraId="263F8D65" w14:textId="77777777" w:rsidR="008B47C3" w:rsidRDefault="008B47C3" w:rsidP="00CB3C82">
            <w:pPr>
              <w:widowControl/>
              <w:jc w:val="center"/>
              <w:rPr>
                <w:rFonts w:ascii="楷体_GB2312" w:eastAsia="楷体_GB2312" w:hAnsi="楷体_GB2312" w:cs="楷体_GB2312"/>
                <w:bCs/>
                <w:szCs w:val="21"/>
                <w:lang w:bidi="ar"/>
              </w:rPr>
            </w:pPr>
            <w:r>
              <w:rPr>
                <w:rFonts w:ascii="楷体_GB2312" w:eastAsia="楷体_GB2312" w:hAnsi="楷体_GB2312" w:cs="楷体_GB2312" w:hint="eastAsia"/>
                <w:bCs/>
                <w:szCs w:val="21"/>
                <w:lang w:bidi="ar"/>
              </w:rPr>
              <w:t>15</w:t>
            </w:r>
          </w:p>
        </w:tc>
        <w:tc>
          <w:tcPr>
            <w:tcW w:w="3555" w:type="dxa"/>
            <w:vAlign w:val="center"/>
          </w:tcPr>
          <w:p w14:paraId="6F20178E" w14:textId="77777777" w:rsidR="008B47C3" w:rsidRDefault="008B47C3" w:rsidP="00CB3C82">
            <w:pPr>
              <w:widowControl/>
              <w:jc w:val="center"/>
              <w:textAlignment w:val="center"/>
            </w:pPr>
            <w:proofErr w:type="gramStart"/>
            <w:r>
              <w:rPr>
                <w:rFonts w:ascii="楷体_GB2312" w:eastAsia="楷体_GB2312" w:hAnsi="楷体_GB2312" w:cs="楷体_GB2312" w:hint="eastAsia"/>
                <w:kern w:val="0"/>
                <w:szCs w:val="21"/>
                <w:lang w:bidi="ar"/>
              </w:rPr>
              <w:t>珠横新建</w:t>
            </w:r>
            <w:proofErr w:type="gramEnd"/>
            <w:r>
              <w:rPr>
                <w:rFonts w:ascii="楷体_GB2312" w:eastAsia="楷体_GB2312" w:hAnsi="楷体_GB2312" w:cs="楷体_GB2312" w:hint="eastAsia"/>
                <w:spacing w:val="-6"/>
                <w:kern w:val="0"/>
                <w:szCs w:val="21"/>
                <w:lang w:bidi="ar"/>
              </w:rPr>
              <w:t>〔2020〕241 号</w:t>
            </w:r>
          </w:p>
        </w:tc>
        <w:tc>
          <w:tcPr>
            <w:tcW w:w="9210" w:type="dxa"/>
            <w:vAlign w:val="center"/>
          </w:tcPr>
          <w:p w14:paraId="3D34A7CF" w14:textId="77777777" w:rsidR="008B47C3" w:rsidRDefault="008B47C3"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《横琴新区建设环保局关于开展横琴新区建设工程质量安全检测机构诚信评价管理工作的通知》</w:t>
            </w:r>
          </w:p>
        </w:tc>
      </w:tr>
    </w:tbl>
    <w:p w14:paraId="0380F5E5" w14:textId="77777777" w:rsidR="008B47C3" w:rsidRDefault="008B47C3" w:rsidP="008B47C3"/>
    <w:p w14:paraId="07DFD426" w14:textId="77777777" w:rsidR="00156D38" w:rsidRPr="008B47C3" w:rsidRDefault="00156D38"/>
    <w:sectPr w:rsidR="00156D38" w:rsidRPr="008B47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ECE3" w14:textId="77777777" w:rsidR="00D73ED5" w:rsidRDefault="00D73ED5" w:rsidP="008B47C3">
      <w:r>
        <w:separator/>
      </w:r>
    </w:p>
  </w:endnote>
  <w:endnote w:type="continuationSeparator" w:id="0">
    <w:p w14:paraId="637454CC" w14:textId="77777777" w:rsidR="00D73ED5" w:rsidRDefault="00D73ED5" w:rsidP="008B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4A31" w14:textId="77777777" w:rsidR="00D73ED5" w:rsidRDefault="00D73ED5" w:rsidP="008B47C3">
      <w:r>
        <w:separator/>
      </w:r>
    </w:p>
  </w:footnote>
  <w:footnote w:type="continuationSeparator" w:id="0">
    <w:p w14:paraId="775F02AD" w14:textId="77777777" w:rsidR="00D73ED5" w:rsidRDefault="00D73ED5" w:rsidP="008B4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07"/>
    <w:rsid w:val="00156D38"/>
    <w:rsid w:val="008B47C3"/>
    <w:rsid w:val="00D73ED5"/>
    <w:rsid w:val="00DA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CEC9E5-198A-4625-8706-8176AB0F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B47C3"/>
    <w:pPr>
      <w:widowControl w:val="0"/>
      <w:jc w:val="both"/>
    </w:pPr>
    <w:rPr>
      <w:rFonts w:ascii="Calibri" w:eastAsia="宋体" w:hAnsi="Calibri" w:cs="Arial"/>
      <w:szCs w:val="24"/>
    </w:rPr>
  </w:style>
  <w:style w:type="paragraph" w:styleId="1">
    <w:name w:val="heading 1"/>
    <w:basedOn w:val="a"/>
    <w:next w:val="a"/>
    <w:link w:val="10"/>
    <w:uiPriority w:val="9"/>
    <w:qFormat/>
    <w:rsid w:val="008B47C3"/>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B47C3"/>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8B47C3"/>
    <w:rPr>
      <w:sz w:val="18"/>
      <w:szCs w:val="18"/>
    </w:rPr>
  </w:style>
  <w:style w:type="paragraph" w:styleId="a6">
    <w:name w:val="footer"/>
    <w:basedOn w:val="a"/>
    <w:link w:val="a7"/>
    <w:uiPriority w:val="99"/>
    <w:unhideWhenUsed/>
    <w:rsid w:val="008B47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8B47C3"/>
    <w:rPr>
      <w:sz w:val="18"/>
      <w:szCs w:val="18"/>
    </w:rPr>
  </w:style>
  <w:style w:type="paragraph" w:styleId="a8">
    <w:name w:val="Body Text"/>
    <w:basedOn w:val="a"/>
    <w:next w:val="a9"/>
    <w:link w:val="aa"/>
    <w:qFormat/>
    <w:rsid w:val="008B47C3"/>
    <w:pPr>
      <w:spacing w:after="120"/>
    </w:pPr>
    <w:rPr>
      <w:szCs w:val="21"/>
    </w:rPr>
  </w:style>
  <w:style w:type="character" w:customStyle="1" w:styleId="aa">
    <w:name w:val="正文文本 字符"/>
    <w:basedOn w:val="a1"/>
    <w:link w:val="a8"/>
    <w:rsid w:val="008B47C3"/>
    <w:rPr>
      <w:rFonts w:ascii="Calibri" w:eastAsia="宋体" w:hAnsi="Calibri" w:cs="Arial"/>
      <w:szCs w:val="21"/>
    </w:rPr>
  </w:style>
  <w:style w:type="paragraph" w:styleId="a9">
    <w:name w:val="Title"/>
    <w:basedOn w:val="1"/>
    <w:next w:val="a"/>
    <w:link w:val="ab"/>
    <w:qFormat/>
    <w:rsid w:val="008B47C3"/>
    <w:pPr>
      <w:keepNext w:val="0"/>
      <w:keepLines w:val="0"/>
      <w:spacing w:before="240" w:beforeAutospacing="1" w:after="60" w:afterAutospacing="1" w:line="240" w:lineRule="auto"/>
      <w:jc w:val="center"/>
      <w:textAlignment w:val="baseline"/>
    </w:pPr>
    <w:rPr>
      <w:rFonts w:ascii="Cambria" w:hAnsi="Cambria" w:cs="Times New Roman" w:hint="eastAsia"/>
      <w:sz w:val="32"/>
      <w:szCs w:val="32"/>
    </w:rPr>
  </w:style>
  <w:style w:type="character" w:customStyle="1" w:styleId="ab">
    <w:name w:val="标题 字符"/>
    <w:basedOn w:val="a1"/>
    <w:link w:val="a9"/>
    <w:rsid w:val="008B47C3"/>
    <w:rPr>
      <w:rFonts w:ascii="Cambria" w:eastAsia="宋体" w:hAnsi="Cambria" w:cs="Times New Roman"/>
      <w:b/>
      <w:bCs/>
      <w:kern w:val="44"/>
      <w:sz w:val="32"/>
      <w:szCs w:val="32"/>
    </w:rPr>
  </w:style>
  <w:style w:type="paragraph" w:styleId="a0">
    <w:name w:val="Normal Indent"/>
    <w:basedOn w:val="a"/>
    <w:uiPriority w:val="99"/>
    <w:semiHidden/>
    <w:unhideWhenUsed/>
    <w:rsid w:val="008B47C3"/>
    <w:pPr>
      <w:ind w:firstLineChars="200" w:firstLine="420"/>
    </w:pPr>
  </w:style>
  <w:style w:type="character" w:customStyle="1" w:styleId="10">
    <w:name w:val="标题 1 字符"/>
    <w:basedOn w:val="a1"/>
    <w:link w:val="1"/>
    <w:uiPriority w:val="9"/>
    <w:rsid w:val="008B47C3"/>
    <w:rPr>
      <w:rFonts w:ascii="Calibri" w:eastAsia="宋体" w:hAnsi="Calibri" w:cs="Arial"/>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2023-07-20T10:03:00Z</dcterms:created>
  <dcterms:modified xsi:type="dcterms:W3CDTF">2023-07-20T10:03:00Z</dcterms:modified>
</cp:coreProperties>
</file>