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0" w:beforeLines="50" w:after="120" w:afterLines="50" w:line="240" w:lineRule="auto"/>
        <w:ind w:left="0" w:leftChars="0" w:firstLine="0" w:firstLineChars="0"/>
        <w:rPr>
          <w:rFonts w:hint="eastAsia" w:ascii="宋体" w:hAnsi="宋体" w:eastAsia="宋体"/>
          <w:lang w:val="en-US" w:eastAsia="zh-CN"/>
        </w:rPr>
      </w:pPr>
      <w:bookmarkStart w:id="0" w:name="_Toc5587"/>
      <w:bookmarkStart w:id="1" w:name="_Toc139016034"/>
      <w:bookmarkStart w:id="2" w:name="_Toc276645575"/>
      <w:bookmarkStart w:id="3" w:name="_Toc15089"/>
      <w:r>
        <w:rPr>
          <w:rFonts w:hint="eastAsia" w:ascii="宋体" w:hAnsi="宋体" w:eastAsia="宋体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横琴粤澳深度合作区城市规划和建设局2023年工作人员综合素养能力提升系列专题培训服务项目</w:t>
      </w:r>
      <w:r>
        <w:rPr>
          <w:rFonts w:hint="eastAsia" w:ascii="黑体" w:hAnsi="黑体" w:eastAsia="黑体" w:cs="黑体"/>
          <w:sz w:val="32"/>
          <w:szCs w:val="32"/>
        </w:rPr>
        <w:t>需求书</w:t>
      </w:r>
      <w:bookmarkEnd w:id="0"/>
      <w:bookmarkEnd w:id="1"/>
      <w:bookmarkEnd w:id="2"/>
      <w:bookmarkEnd w:id="3"/>
      <w:bookmarkStart w:id="4" w:name="_Hlt25128125"/>
      <w:bookmarkEnd w:id="4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67"/>
        <w:gridCol w:w="5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5" w:name="_Toc488684713"/>
            <w:bookmarkEnd w:id="5"/>
            <w:bookmarkStart w:id="6" w:name="_Toc488684681"/>
            <w:bookmarkEnd w:id="6"/>
            <w:bookmarkStart w:id="7" w:name="_Toc509911115"/>
            <w:bookmarkEnd w:id="7"/>
            <w:bookmarkStart w:id="8" w:name="_Toc488684778"/>
            <w:bookmarkEnd w:id="8"/>
            <w:bookmarkStart w:id="9" w:name="_Toc488684716"/>
            <w:bookmarkEnd w:id="9"/>
            <w:bookmarkStart w:id="10" w:name="_Toc488684776"/>
            <w:bookmarkEnd w:id="10"/>
            <w:bookmarkStart w:id="11" w:name="_Toc488684677"/>
            <w:bookmarkEnd w:id="11"/>
            <w:bookmarkStart w:id="12" w:name="_Toc488353168"/>
            <w:bookmarkEnd w:id="12"/>
            <w:bookmarkStart w:id="13" w:name="_Toc488684745"/>
            <w:bookmarkEnd w:id="13"/>
            <w:bookmarkStart w:id="14" w:name="_Toc514741380"/>
            <w:bookmarkEnd w:id="14"/>
            <w:bookmarkStart w:id="15" w:name="_Toc513718199"/>
            <w:bookmarkEnd w:id="15"/>
            <w:bookmarkStart w:id="16" w:name="_Toc509949161"/>
            <w:bookmarkEnd w:id="16"/>
            <w:bookmarkStart w:id="17" w:name="_Toc488684746"/>
            <w:bookmarkEnd w:id="17"/>
            <w:bookmarkStart w:id="18" w:name="_Toc509949158"/>
            <w:bookmarkEnd w:id="18"/>
            <w:bookmarkStart w:id="19" w:name="_Toc514741350"/>
            <w:bookmarkEnd w:id="19"/>
            <w:bookmarkStart w:id="20" w:name="_Toc514741381"/>
            <w:bookmarkEnd w:id="20"/>
            <w:bookmarkStart w:id="21" w:name="_Toc509949159"/>
            <w:bookmarkEnd w:id="21"/>
            <w:bookmarkStart w:id="22" w:name="_Toc488353166"/>
            <w:bookmarkEnd w:id="22"/>
            <w:bookmarkStart w:id="23" w:name="_Toc509911114"/>
            <w:bookmarkEnd w:id="23"/>
            <w:bookmarkStart w:id="24" w:name="_Toc514741352"/>
            <w:bookmarkEnd w:id="24"/>
            <w:bookmarkStart w:id="25" w:name="_Toc488353170"/>
            <w:bookmarkEnd w:id="25"/>
            <w:bookmarkStart w:id="26" w:name="_Toc514939614"/>
            <w:bookmarkEnd w:id="26"/>
            <w:bookmarkStart w:id="27" w:name="_Toc514939615"/>
            <w:bookmarkEnd w:id="27"/>
            <w:bookmarkStart w:id="28" w:name="_Toc488353169"/>
            <w:bookmarkEnd w:id="28"/>
            <w:bookmarkStart w:id="29" w:name="_Toc488684714"/>
            <w:bookmarkEnd w:id="29"/>
            <w:bookmarkStart w:id="30" w:name="_Toc488684779"/>
            <w:bookmarkEnd w:id="30"/>
            <w:bookmarkStart w:id="31" w:name="_Toc513718198"/>
            <w:bookmarkEnd w:id="31"/>
            <w:bookmarkStart w:id="32" w:name="_Toc514939613"/>
            <w:bookmarkEnd w:id="32"/>
            <w:bookmarkStart w:id="33" w:name="_Toc488684748"/>
            <w:bookmarkEnd w:id="33"/>
            <w:bookmarkStart w:id="34" w:name="_Toc514741382"/>
            <w:bookmarkEnd w:id="34"/>
            <w:bookmarkStart w:id="35" w:name="_Toc514741349"/>
            <w:bookmarkEnd w:id="35"/>
            <w:bookmarkStart w:id="36" w:name="_Toc488684715"/>
            <w:bookmarkEnd w:id="36"/>
            <w:bookmarkStart w:id="37" w:name="_Toc514741351"/>
            <w:bookmarkEnd w:id="37"/>
            <w:bookmarkStart w:id="38" w:name="_Toc488684678"/>
            <w:bookmarkEnd w:id="38"/>
            <w:bookmarkStart w:id="39" w:name="_Toc509911116"/>
            <w:bookmarkEnd w:id="39"/>
            <w:bookmarkStart w:id="40" w:name="_Toc509949160"/>
            <w:bookmarkEnd w:id="40"/>
            <w:bookmarkStart w:id="41" w:name="_Toc488353167"/>
            <w:bookmarkEnd w:id="41"/>
            <w:bookmarkStart w:id="42" w:name="_Toc513718197"/>
            <w:bookmarkEnd w:id="42"/>
            <w:bookmarkStart w:id="43" w:name="_Toc514939612"/>
            <w:bookmarkEnd w:id="43"/>
            <w:bookmarkStart w:id="44" w:name="_Toc513718200"/>
            <w:bookmarkEnd w:id="44"/>
            <w:bookmarkStart w:id="45" w:name="_Toc488684777"/>
            <w:bookmarkEnd w:id="45"/>
            <w:bookmarkStart w:id="46" w:name="_Toc514741353"/>
            <w:bookmarkEnd w:id="46"/>
            <w:bookmarkStart w:id="47" w:name="_Toc513718196"/>
            <w:bookmarkEnd w:id="47"/>
            <w:bookmarkStart w:id="48" w:name="_Toc509911117"/>
            <w:bookmarkEnd w:id="48"/>
            <w:bookmarkStart w:id="49" w:name="_Toc488684679"/>
            <w:bookmarkEnd w:id="49"/>
            <w:bookmarkStart w:id="50" w:name="_Toc514939616"/>
            <w:bookmarkEnd w:id="50"/>
            <w:bookmarkStart w:id="51" w:name="_Toc488684747"/>
            <w:bookmarkEnd w:id="51"/>
            <w:bookmarkStart w:id="52" w:name="_Toc514741379"/>
            <w:bookmarkEnd w:id="52"/>
            <w:bookmarkStart w:id="53" w:name="_Toc488684680"/>
            <w:bookmarkEnd w:id="53"/>
            <w:bookmarkStart w:id="54" w:name="_Toc509911118"/>
            <w:bookmarkEnd w:id="54"/>
            <w:bookmarkStart w:id="55" w:name="_Toc488684744"/>
            <w:bookmarkEnd w:id="55"/>
            <w:bookmarkStart w:id="56" w:name="_Toc514741383"/>
            <w:bookmarkEnd w:id="56"/>
            <w:bookmarkStart w:id="57" w:name="_Toc488684712"/>
            <w:bookmarkEnd w:id="57"/>
            <w:bookmarkStart w:id="58" w:name="_Toc509949162"/>
            <w:bookmarkEnd w:id="58"/>
            <w:bookmarkStart w:id="59" w:name="_Toc488684775"/>
            <w:bookmarkEnd w:id="59"/>
            <w:bookmarkStart w:id="60" w:name="_Toc28855"/>
            <w:bookmarkStart w:id="61" w:name="_Toc139016035"/>
            <w:bookmarkStart w:id="62" w:name="_Toc22843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采购项目名称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横琴粤澳深度合作区城市规划和建设局2023年工作人员综合素养能力提升系列专题培训服务项目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横琴粤澳深度合作区城市规划和建设局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资格（资质）要求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提供《资格条件承诺函》按提供的承诺函格式响应）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具有独立承担民事责任的能力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投标报名时提交有效的营业执照（或事业法人登记证等相关证明）副本复印件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有依法缴纳税收和社会保障资金的良好记录；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具有良好的商业信誉和健全的财务会计制度；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具有履行合同所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需的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媒体平台、工作团队、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设备和专业技术能力；</w:t>
            </w:r>
          </w:p>
          <w:p>
            <w:pPr>
              <w:widowControl/>
              <w:numPr>
                <w:ilvl w:val="-1"/>
                <w:numId w:val="0"/>
              </w:numPr>
              <w:spacing w:line="360" w:lineRule="auto"/>
              <w:ind w:firstLine="0" w:firstLineChars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5.参加采购活动前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三年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内，在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经营活动中没有违法违规记录。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3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项目背景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横琴粤澳深度合作区城市规划和建设局的业务管辖范围及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能包括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合作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区的城市规划、自然资源、住房保障、工程建设、生态环境、交通运输、市政管理等方面工作。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eastAsia="zh-CN"/>
              </w:rPr>
              <w:t>为推动横琴粤澳深度合作区高质量发展，实现业务精进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eastAsia="zh-CN"/>
              </w:rPr>
              <w:t>队伍优化，进一步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加强全局工作人员的队伍建设和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</w:rPr>
              <w:t>培养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</w:rPr>
              <w:t>，提高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lang w:val="en-US" w:eastAsia="zh-CN"/>
              </w:rPr>
              <w:t>队伍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</w:rPr>
              <w:t>专业素养，增强综合素质，打造一支专业知识优、管理能力强、工作业绩佳的人才团队，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特委托人力资源服务有限公司组织开展2023年工作人员综合素养能力提升系列专题培训服务工作，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培训课程方案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1.培训课程6-8天，培训内容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包括但不限于：政府部门招标和采购管理、公文写作、新闻稿撰写、新闻摄影技巧、工作沟通与工作协调技巧、政务礼仪、职业素养、情绪与压力管理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2.团队协作拓展训练。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培训时间2-3天，地点暂定为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珠海市内。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3.作风提升专题调研外出研学。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时间2天1晚，地点暂定为广东省内。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4. 工作人员兴趣类培训。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培训内容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包括但不限于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：篮球、羽毛球、网球、乒乓球、啦啦队、瑜伽、赛艇等培训班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合同履行地点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横琴粤澳深度合作区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预算金额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服务时间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自合同签订之日起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至2024年2月29</w:t>
            </w:r>
            <w:bookmarkStart w:id="63" w:name="_GoBack"/>
            <w:bookmarkEnd w:id="63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9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评标方法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10</w:t>
            </w: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结算方式</w:t>
            </w:r>
          </w:p>
        </w:tc>
        <w:tc>
          <w:tcPr>
            <w:tcW w:w="5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签订合同后支付合同金额的 60%，合作按规定履行完成并验收合格后支付剩余合同金额的 40%。具体以合同约定为准。</w:t>
            </w:r>
          </w:p>
        </w:tc>
      </w:tr>
    </w:tbl>
    <w:p>
      <w:pPr>
        <w:pStyle w:val="4"/>
        <w:spacing w:line="240" w:lineRule="auto"/>
        <w:rPr>
          <w:rFonts w:hint="eastAsia" w:ascii="宋体" w:hAnsi="宋体" w:eastAsia="宋体" w:cs="宋体"/>
          <w:color w:val="auto"/>
        </w:rPr>
      </w:pPr>
    </w:p>
    <w:bookmarkEnd w:id="60"/>
    <w:bookmarkEnd w:id="61"/>
    <w:bookmarkEnd w:id="62"/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注：本次培训预计为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150</w:t>
      </w:r>
      <w:r>
        <w:rPr>
          <w:rFonts w:hint="eastAsia" w:ascii="仿宋" w:hAnsi="仿宋" w:eastAsia="仿宋" w:cs="仿宋"/>
          <w:color w:val="auto"/>
          <w:sz w:val="24"/>
        </w:rPr>
        <w:t>人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左右</w:t>
      </w:r>
      <w:r>
        <w:rPr>
          <w:rFonts w:hint="eastAsia" w:ascii="仿宋" w:hAnsi="仿宋" w:eastAsia="仿宋" w:cs="仿宋"/>
          <w:color w:val="auto"/>
          <w:sz w:val="24"/>
        </w:rPr>
        <w:t>，最终结算以成交人提供给采购人的人员培训清单作为最终结算依据，采购人以实际参与培训课程的人</w:t>
      </w:r>
      <w:r>
        <w:rPr>
          <w:rFonts w:hint="eastAsia" w:ascii="仿宋" w:hAnsi="仿宋" w:eastAsia="仿宋" w:cs="仿宋"/>
          <w:sz w:val="24"/>
        </w:rPr>
        <w:t>员数量结算。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ZmExMWMzMGEzZGY0MjZiZmRlMTFjNGM0NzM5NTEifQ=="/>
  </w:docVars>
  <w:rsids>
    <w:rsidRoot w:val="264C1A52"/>
    <w:rsid w:val="1E703BC8"/>
    <w:rsid w:val="264C1A52"/>
    <w:rsid w:val="296970B4"/>
    <w:rsid w:val="36834A3D"/>
    <w:rsid w:val="39AD3929"/>
    <w:rsid w:val="3EFD1994"/>
    <w:rsid w:val="58BB4C39"/>
    <w:rsid w:val="7052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paragraph" w:styleId="4">
    <w:name w:val="heading 2"/>
    <w:basedOn w:val="1"/>
    <w:next w:val="1"/>
    <w:unhideWhenUsed/>
    <w:qFormat/>
    <w:uiPriority w:val="0"/>
    <w:pPr>
      <w:ind w:firstLine="596" w:firstLineChars="200"/>
      <w:outlineLvl w:val="1"/>
    </w:pPr>
    <w:rPr>
      <w:rFonts w:ascii="楷体_GB2312" w:eastAsia="楷体_GB2312"/>
      <w:b/>
      <w:sz w:val="32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961</Words>
  <Characters>985</Characters>
  <Lines>0</Lines>
  <Paragraphs>0</Paragraphs>
  <TotalTime>5</TotalTime>
  <ScaleCrop>false</ScaleCrop>
  <LinksUpToDate>false</LinksUpToDate>
  <CharactersWithSpaces>989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2023-07-10T08:39:00Z</dcterms:created>
  <dc:creator>李英孺</dc:creator>
  <cp:lastModifiedBy>规建局发文账号</cp:lastModifiedBy>
  <dcterms:modified xsi:type="dcterms:W3CDTF">2023-07-31T09:03:17Z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291024A84AA14B4E98532E39766A6AC8</vt:lpwstr>
  </property>
</Properties>
</file>