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b/>
          <w:bCs/>
          <w:sz w:val="40"/>
          <w:szCs w:val="40"/>
        </w:rPr>
      </w:pPr>
      <w:r>
        <w:rPr>
          <w:rFonts w:hint="eastAsia"/>
          <w:b/>
          <w:bCs/>
          <w:sz w:val="40"/>
          <w:szCs w:val="40"/>
          <w:lang w:val="en-US" w:eastAsia="zh-CN"/>
        </w:rPr>
        <w:t>项目</w:t>
      </w:r>
      <w:r>
        <w:rPr>
          <w:rFonts w:hint="eastAsia"/>
          <w:b/>
          <w:bCs/>
          <w:sz w:val="40"/>
          <w:szCs w:val="40"/>
        </w:rPr>
        <w:t>需求书</w:t>
      </w:r>
    </w:p>
    <w:p>
      <w:pPr>
        <w:numPr>
          <w:ilvl w:val="0"/>
          <w:numId w:val="1"/>
        </w:numPr>
        <w:spacing w:line="312" w:lineRule="auto"/>
        <w:rPr>
          <w:rFonts w:ascii="宋体" w:hAnsi="宋体" w:cs="宋体"/>
          <w:b/>
          <w:bCs/>
          <w:sz w:val="28"/>
          <w:szCs w:val="28"/>
        </w:rPr>
      </w:pPr>
      <w:r>
        <w:rPr>
          <w:rFonts w:hint="eastAsia" w:ascii="宋体" w:hAnsi="宋体" w:cs="宋体"/>
          <w:b/>
          <w:bCs/>
          <w:sz w:val="28"/>
          <w:szCs w:val="28"/>
        </w:rPr>
        <w:t>项目背景</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为了更好的系统化全域推进海绵城市建设，保障横琴粤澳深度合作区内的水环境质量稳步提升，完善合作区流域水环境和海绵城市管控体系、技术体系的融合构建和创新，加强合作区内流域水环境和海绵城市建设项目的技术管理，普及推广海绵城市建设理念。合作区现需具有良好的技术水准与经验的第三方全过程技术咨询单位协助完成相应的海绵城市建设工作。</w:t>
      </w:r>
    </w:p>
    <w:p>
      <w:pPr>
        <w:numPr>
          <w:ilvl w:val="0"/>
          <w:numId w:val="1"/>
        </w:numPr>
        <w:spacing w:line="360" w:lineRule="auto"/>
        <w:jc w:val="left"/>
        <w:rPr>
          <w:rFonts w:ascii="宋体" w:hAnsi="宋体" w:cs="宋体"/>
          <w:b/>
          <w:bCs/>
          <w:sz w:val="28"/>
          <w:szCs w:val="28"/>
        </w:rPr>
      </w:pPr>
      <w:r>
        <w:rPr>
          <w:rFonts w:hint="eastAsia" w:ascii="宋体" w:hAnsi="宋体" w:cs="宋体"/>
          <w:b/>
          <w:bCs/>
          <w:sz w:val="28"/>
          <w:szCs w:val="28"/>
        </w:rPr>
        <w:t>服务期限及范围</w:t>
      </w:r>
    </w:p>
    <w:p>
      <w:pPr>
        <w:pStyle w:val="5"/>
        <w:spacing w:line="360" w:lineRule="auto"/>
        <w:ind w:left="0" w:firstLine="480" w:firstLineChars="200"/>
        <w:jc w:val="left"/>
        <w:rPr>
          <w:rFonts w:ascii="宋体" w:hAnsi="宋体" w:cs="宋体"/>
          <w:bCs/>
          <w:sz w:val="24"/>
        </w:rPr>
      </w:pPr>
      <w:r>
        <w:rPr>
          <w:rFonts w:hint="eastAsia" w:ascii="宋体" w:hAnsi="宋体" w:cs="宋体"/>
          <w:sz w:val="24"/>
        </w:rPr>
        <w:t>服务期：自合同签订之日起一年。(备注：采购人可根据政策变化终止合同，合同终止需提前通过书面形式正式通知中标人，按实际履行合同工作量进行结算)</w:t>
      </w:r>
      <w:r>
        <w:rPr>
          <w:rFonts w:hint="eastAsia" w:ascii="宋体" w:hAnsi="宋体" w:cs="宋体"/>
          <w:bCs/>
          <w:sz w:val="24"/>
        </w:rPr>
        <w:t>。</w:t>
      </w:r>
    </w:p>
    <w:p>
      <w:pPr>
        <w:numPr>
          <w:ilvl w:val="0"/>
          <w:numId w:val="1"/>
        </w:numPr>
        <w:spacing w:line="360" w:lineRule="auto"/>
        <w:jc w:val="left"/>
        <w:rPr>
          <w:rFonts w:ascii="宋体" w:hAnsi="宋体" w:cs="宋体"/>
          <w:b/>
          <w:bCs/>
          <w:sz w:val="28"/>
          <w:szCs w:val="28"/>
        </w:rPr>
      </w:pPr>
      <w:r>
        <w:rPr>
          <w:rFonts w:hint="eastAsia" w:ascii="宋体" w:hAnsi="宋体" w:cs="宋体"/>
          <w:b/>
          <w:bCs/>
          <w:sz w:val="28"/>
          <w:szCs w:val="28"/>
        </w:rPr>
        <w:t>采购预算</w:t>
      </w:r>
    </w:p>
    <w:p>
      <w:pPr>
        <w:overflowPunct w:val="0"/>
        <w:spacing w:line="360" w:lineRule="auto"/>
        <w:ind w:firstLine="480" w:firstLineChars="200"/>
        <w:jc w:val="left"/>
        <w:rPr>
          <w:sz w:val="24"/>
        </w:rPr>
      </w:pPr>
      <w:r>
        <w:rPr>
          <w:rFonts w:hint="eastAsia" w:ascii="宋体" w:hAnsi="宋体" w:cs="宋体"/>
          <w:bCs/>
          <w:kern w:val="0"/>
          <w:sz w:val="24"/>
        </w:rPr>
        <w:t>项目预算总金额为：人民币玖拾捌万元整（¥980,000.00）。</w:t>
      </w:r>
      <w:r>
        <w:rPr>
          <w:rFonts w:hint="eastAsia" w:ascii="宋体" w:hAnsi="宋体" w:cs="宋体"/>
          <w:sz w:val="24"/>
        </w:rPr>
        <w:t>本项目</w:t>
      </w:r>
      <w:r>
        <w:rPr>
          <w:rFonts w:hint="eastAsia" w:ascii="宋体" w:hAnsi="宋体" w:cs="宋体"/>
          <w:bCs/>
          <w:kern w:val="0"/>
          <w:sz w:val="24"/>
        </w:rPr>
        <w:t>已包括项目编制的费用、项目组织费用（含成果文件专家评审费）、为实施并完成本项目的人力成本、人员劳务费、设备成本、管理费、差旅费、利润、税金、保险、招标代理费等其它费用，投标人漏报或不报，采购人视为该漏报或不报部分的费用已包括在已报的分项报价中，不予另行支付。</w:t>
      </w:r>
    </w:p>
    <w:p>
      <w:pPr>
        <w:numPr>
          <w:ilvl w:val="0"/>
          <w:numId w:val="1"/>
        </w:numPr>
        <w:spacing w:line="312" w:lineRule="auto"/>
        <w:rPr>
          <w:rFonts w:ascii="宋体" w:hAnsi="宋体" w:cs="宋体"/>
          <w:b/>
          <w:bCs/>
          <w:sz w:val="28"/>
          <w:szCs w:val="28"/>
        </w:rPr>
      </w:pPr>
      <w:r>
        <w:rPr>
          <w:rFonts w:hint="eastAsia" w:ascii="宋体" w:hAnsi="宋体" w:cs="宋体"/>
          <w:b/>
          <w:bCs/>
          <w:sz w:val="28"/>
          <w:szCs w:val="28"/>
        </w:rPr>
        <w:t>项目要求及工作内容</w:t>
      </w:r>
    </w:p>
    <w:p>
      <w:pPr>
        <w:keepNext/>
        <w:overflowPunct w:val="0"/>
        <w:spacing w:after="48" w:line="560" w:lineRule="exact"/>
        <w:outlineLvl w:val="1"/>
        <w:rPr>
          <w:rFonts w:ascii="宋体" w:hAnsi="宋体" w:cs="宋体"/>
          <w:b/>
          <w:bCs/>
          <w:color w:val="000000"/>
          <w:sz w:val="24"/>
        </w:rPr>
      </w:pPr>
      <w:bookmarkStart w:id="0" w:name="_Toc27501"/>
      <w:r>
        <w:rPr>
          <w:rFonts w:hint="eastAsia" w:ascii="宋体" w:hAnsi="宋体" w:cs="宋体"/>
          <w:b/>
          <w:bCs/>
          <w:color w:val="000000"/>
          <w:sz w:val="24"/>
        </w:rPr>
        <w:t>（一）海绵城市建设日常技术服务</w:t>
      </w:r>
      <w:bookmarkEnd w:id="0"/>
    </w:p>
    <w:p>
      <w:pPr>
        <w:spacing w:line="360" w:lineRule="auto"/>
        <w:ind w:firstLine="480" w:firstLineChars="200"/>
        <w:jc w:val="left"/>
        <w:rPr>
          <w:rFonts w:ascii="宋体" w:hAnsi="宋体" w:cs="宋体"/>
          <w:kern w:val="0"/>
          <w:sz w:val="24"/>
        </w:rPr>
      </w:pPr>
      <w:r>
        <w:rPr>
          <w:rFonts w:hint="default" w:ascii="宋体" w:hAnsi="宋体" w:cs="宋体"/>
          <w:kern w:val="0"/>
          <w:sz w:val="24"/>
          <w:lang w:val="en-US"/>
        </w:rPr>
        <w:t>1</w:t>
      </w:r>
      <w:r>
        <w:rPr>
          <w:rFonts w:hint="eastAsia" w:ascii="宋体" w:hAnsi="宋体" w:cs="宋体"/>
          <w:kern w:val="0"/>
          <w:sz w:val="24"/>
          <w:lang w:val="en-US" w:eastAsia="zh-CN"/>
        </w:rPr>
        <w:t>、</w:t>
      </w:r>
      <w:r>
        <w:rPr>
          <w:rFonts w:hint="eastAsia" w:ascii="宋体" w:hAnsi="宋体" w:cs="宋体"/>
          <w:kern w:val="0"/>
          <w:sz w:val="24"/>
        </w:rPr>
        <w:t>海绵城市建设项目滚动编报：对横琴粤澳深度合作区海绵城市各类项目建设进展定时追踪，对海绵城市建设项目进行更新，并及时更新编报提交。</w:t>
      </w:r>
    </w:p>
    <w:p>
      <w:p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配合采购人完成各类海绵城市相关报表、报告的准备工作，参与采购人组织的海绵城市建设相关会议（如政府调度会议、技术论证会议等），会议中对工程建设过程中存在的海绵城市建设相关技术问题进行探讨，协助制定解决方案。</w:t>
      </w:r>
    </w:p>
    <w:p>
      <w:p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完成采购人交办的海绵城市建设相关技术工作的汇报任务。</w:t>
      </w:r>
    </w:p>
    <w:p>
      <w:pPr>
        <w:overflowPunct/>
        <w:spacing w:line="360" w:lineRule="auto"/>
        <w:ind w:firstLine="482" w:firstLineChars="200"/>
        <w:jc w:val="left"/>
        <w:rPr>
          <w:rFonts w:ascii="宋体" w:hAnsi="宋体" w:cs="宋体"/>
          <w:kern w:val="0"/>
          <w:sz w:val="24"/>
        </w:rPr>
      </w:pPr>
      <w:r>
        <w:rPr>
          <w:rFonts w:hint="eastAsia" w:ascii="宋体" w:hAnsi="宋体" w:cs="宋体"/>
          <w:b/>
          <w:bCs/>
          <w:kern w:val="0"/>
          <w:sz w:val="24"/>
        </w:rPr>
        <w:t>成果形式：</w:t>
      </w:r>
      <w:r>
        <w:rPr>
          <w:rFonts w:hint="eastAsia" w:ascii="宋体" w:hAnsi="宋体" w:cs="宋体"/>
          <w:kern w:val="0"/>
          <w:sz w:val="24"/>
        </w:rPr>
        <w:t>形成横琴粤澳深度合作区海绵城市建设月度</w:t>
      </w:r>
      <w:r>
        <w:rPr>
          <w:rFonts w:hint="eastAsia" w:ascii="宋体" w:hAnsi="宋体" w:cs="宋体"/>
          <w:kern w:val="0"/>
          <w:sz w:val="24"/>
          <w:lang w:eastAsia="zh-CN"/>
        </w:rPr>
        <w:t>、</w:t>
      </w:r>
      <w:r>
        <w:rPr>
          <w:rFonts w:hint="eastAsia" w:ascii="宋体" w:hAnsi="宋体" w:cs="宋体"/>
          <w:kern w:val="0"/>
          <w:sz w:val="24"/>
          <w:lang w:val="en-US" w:eastAsia="zh-CN"/>
        </w:rPr>
        <w:t>季度、年度</w:t>
      </w:r>
      <w:r>
        <w:rPr>
          <w:rFonts w:hint="eastAsia" w:ascii="宋体" w:hAnsi="宋体" w:cs="宋体"/>
          <w:kern w:val="0"/>
          <w:sz w:val="24"/>
        </w:rPr>
        <w:t>报告</w:t>
      </w:r>
      <w:r>
        <w:rPr>
          <w:rFonts w:hint="eastAsia" w:ascii="宋体" w:hAnsi="宋体" w:cs="宋体"/>
          <w:kern w:val="0"/>
          <w:sz w:val="24"/>
          <w:lang w:eastAsia="zh-CN"/>
        </w:rPr>
        <w:t>。</w:t>
      </w:r>
    </w:p>
    <w:p>
      <w:pPr>
        <w:keepNext/>
        <w:overflowPunct w:val="0"/>
        <w:spacing w:after="48" w:line="560" w:lineRule="exact"/>
        <w:outlineLvl w:val="1"/>
        <w:rPr>
          <w:rFonts w:ascii="宋体" w:hAnsi="宋体" w:cs="宋体"/>
          <w:b/>
          <w:bCs/>
          <w:color w:val="000000"/>
          <w:sz w:val="24"/>
        </w:rPr>
      </w:pPr>
      <w:bookmarkStart w:id="1" w:name="_Toc11204"/>
      <w:r>
        <w:rPr>
          <w:rFonts w:hint="eastAsia" w:ascii="宋体" w:hAnsi="宋体" w:cs="宋体"/>
          <w:b/>
          <w:bCs/>
          <w:color w:val="000000"/>
          <w:sz w:val="24"/>
        </w:rPr>
        <w:t>（二）建设项目海绵城市专项方案技术审查</w:t>
      </w:r>
      <w:bookmarkEnd w:id="1"/>
      <w:r>
        <w:rPr>
          <w:rFonts w:hint="eastAsia" w:ascii="宋体" w:hAnsi="宋体" w:cs="宋体"/>
          <w:b/>
          <w:bCs/>
          <w:color w:val="000000"/>
          <w:sz w:val="24"/>
        </w:rPr>
        <w:t>服务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协助采购人开展海绵城市专项方案技术审查工作，核查是否符合海绵城市建设目标和技术指标要求，是否落实相关技术标准规范要求开展设计，通过技术审查提前发现问题，出具纸质版审查意见，指导建设和设计单位进行整改和优化，未通过审查的需修改后再次审查，直至审查通过。重点对海绵城市设计技术思路和目标的合理性，设计的雨水组织流向、排水分区划分、设施布局、竖向设计、目标可达性等进行审查。</w:t>
      </w:r>
    </w:p>
    <w:p>
      <w:pPr>
        <w:spacing w:line="360" w:lineRule="auto"/>
        <w:ind w:firstLine="482" w:firstLineChars="200"/>
        <w:jc w:val="left"/>
        <w:rPr>
          <w:rFonts w:ascii="宋体" w:hAnsi="宋体" w:cs="宋体"/>
          <w:bCs/>
          <w:kern w:val="0"/>
          <w:sz w:val="24"/>
        </w:rPr>
      </w:pPr>
      <w:r>
        <w:rPr>
          <w:rFonts w:hint="eastAsia" w:ascii="宋体" w:hAnsi="宋体" w:cs="宋体"/>
          <w:b/>
          <w:bCs/>
          <w:kern w:val="0"/>
          <w:sz w:val="24"/>
        </w:rPr>
        <w:t>成果形式：</w:t>
      </w:r>
      <w:r>
        <w:rPr>
          <w:rFonts w:hint="eastAsia" w:ascii="宋体" w:hAnsi="宋体" w:cs="宋体"/>
          <w:bCs/>
          <w:kern w:val="0"/>
          <w:sz w:val="24"/>
        </w:rPr>
        <w:t>接到采购人审查要求后7个工作日内完成技术审查报告。</w:t>
      </w:r>
    </w:p>
    <w:p>
      <w:pPr>
        <w:keepNext/>
        <w:overflowPunct w:val="0"/>
        <w:spacing w:after="48" w:line="560" w:lineRule="exact"/>
        <w:outlineLvl w:val="1"/>
        <w:rPr>
          <w:rFonts w:ascii="宋体" w:hAnsi="宋体" w:cs="宋体"/>
          <w:b/>
          <w:bCs/>
          <w:color w:val="000000"/>
          <w:sz w:val="24"/>
        </w:rPr>
      </w:pPr>
      <w:bookmarkStart w:id="2" w:name="_Toc5958"/>
      <w:r>
        <w:rPr>
          <w:rFonts w:hint="eastAsia" w:ascii="宋体" w:hAnsi="宋体" w:cs="宋体"/>
          <w:b/>
          <w:bCs/>
          <w:color w:val="000000"/>
          <w:sz w:val="24"/>
        </w:rPr>
        <w:t>（三）建设项目海绵城市专项施工现场巡查指导</w:t>
      </w:r>
      <w:bookmarkEnd w:id="2"/>
      <w:r>
        <w:rPr>
          <w:rFonts w:hint="eastAsia" w:ascii="宋体" w:hAnsi="宋体" w:cs="宋体"/>
          <w:b/>
          <w:bCs/>
          <w:color w:val="000000"/>
          <w:sz w:val="24"/>
        </w:rPr>
        <w:t>服务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协助采购人对海绵城市建设项目进行现场抽查巡查，并对抽查的海绵城市建设项目施工过程进行必要的技术指导及海绵城市相关施工的例会及现场巡查，协助采购人评估海绵城市建设项目实施进度和质量。根据实际情况，提出海绵城市建设过程中存在的主要问题，给出优化调整建议。</w:t>
      </w:r>
    </w:p>
    <w:p>
      <w:pPr>
        <w:spacing w:line="360" w:lineRule="auto"/>
        <w:ind w:firstLine="482" w:firstLineChars="200"/>
        <w:jc w:val="left"/>
        <w:rPr>
          <w:rFonts w:ascii="Times New Roman" w:hAnsi="Times New Roman"/>
          <w:kern w:val="0"/>
          <w:sz w:val="28"/>
          <w:szCs w:val="28"/>
        </w:rPr>
      </w:pPr>
      <w:r>
        <w:rPr>
          <w:rFonts w:hint="eastAsia" w:ascii="宋体" w:hAnsi="宋体" w:cs="宋体"/>
          <w:b/>
          <w:bCs/>
          <w:kern w:val="0"/>
          <w:sz w:val="24"/>
        </w:rPr>
        <w:t>成果形式：</w:t>
      </w:r>
      <w:r>
        <w:rPr>
          <w:rFonts w:hint="eastAsia" w:ascii="宋体" w:hAnsi="宋体" w:cs="宋体"/>
          <w:kern w:val="0"/>
          <w:sz w:val="24"/>
          <w:lang w:eastAsia="zh-CN"/>
        </w:rPr>
        <w:t>每</w:t>
      </w:r>
      <w:r>
        <w:rPr>
          <w:rFonts w:hint="eastAsia" w:ascii="宋体" w:hAnsi="宋体" w:cs="宋体"/>
          <w:kern w:val="0"/>
          <w:sz w:val="24"/>
          <w:lang w:val="en-US" w:eastAsia="zh-CN"/>
        </w:rPr>
        <w:t>月底</w:t>
      </w:r>
      <w:r>
        <w:rPr>
          <w:rFonts w:hint="eastAsia" w:ascii="宋体" w:hAnsi="宋体" w:cs="宋体"/>
          <w:kern w:val="0"/>
          <w:sz w:val="24"/>
        </w:rPr>
        <w:t>前</w:t>
      </w:r>
      <w:r>
        <w:rPr>
          <w:rFonts w:hint="eastAsia" w:ascii="宋体" w:hAnsi="宋体" w:cs="宋体"/>
          <w:kern w:val="0"/>
          <w:sz w:val="24"/>
          <w:lang w:eastAsia="zh-CN"/>
        </w:rPr>
        <w:t>报送</w:t>
      </w:r>
      <w:r>
        <w:rPr>
          <w:rFonts w:hint="eastAsia" w:ascii="宋体" w:hAnsi="宋体" w:cs="宋体"/>
          <w:kern w:val="0"/>
          <w:sz w:val="24"/>
          <w:highlight w:val="none"/>
          <w:lang w:eastAsia="zh-CN"/>
        </w:rPr>
        <w:t>本</w:t>
      </w:r>
      <w:r>
        <w:rPr>
          <w:rFonts w:hint="eastAsia" w:ascii="宋体" w:hAnsi="宋体" w:cs="宋体"/>
          <w:kern w:val="0"/>
          <w:sz w:val="24"/>
        </w:rPr>
        <w:t>月</w:t>
      </w:r>
      <w:r>
        <w:rPr>
          <w:rFonts w:hint="eastAsia" w:ascii="宋体" w:hAnsi="宋体" w:cs="宋体"/>
          <w:kern w:val="0"/>
          <w:sz w:val="24"/>
          <w:lang w:eastAsia="zh-CN"/>
        </w:rPr>
        <w:t>巡查</w:t>
      </w:r>
      <w:r>
        <w:rPr>
          <w:rFonts w:hint="eastAsia" w:ascii="宋体" w:hAnsi="宋体" w:cs="宋体"/>
          <w:kern w:val="0"/>
          <w:sz w:val="24"/>
        </w:rPr>
        <w:t>报告</w:t>
      </w:r>
      <w:r>
        <w:rPr>
          <w:rFonts w:hint="eastAsia" w:ascii="宋体" w:hAnsi="宋体" w:cs="宋体"/>
          <w:b w:val="0"/>
          <w:bCs/>
          <w:kern w:val="0"/>
          <w:sz w:val="24"/>
        </w:rPr>
        <w:t>。</w:t>
      </w:r>
    </w:p>
    <w:p>
      <w:pPr>
        <w:keepNext/>
        <w:overflowPunct w:val="0"/>
        <w:spacing w:after="48" w:line="560" w:lineRule="exact"/>
        <w:outlineLvl w:val="1"/>
        <w:rPr>
          <w:rFonts w:ascii="宋体" w:hAnsi="宋体" w:cs="宋体"/>
          <w:b/>
          <w:bCs/>
          <w:color w:val="000000"/>
          <w:sz w:val="24"/>
        </w:rPr>
      </w:pPr>
      <w:bookmarkStart w:id="3" w:name="_Toc18067"/>
      <w:r>
        <w:rPr>
          <w:rFonts w:hint="eastAsia" w:ascii="宋体" w:hAnsi="宋体" w:cs="宋体"/>
          <w:b/>
          <w:bCs/>
          <w:color w:val="000000"/>
          <w:sz w:val="24"/>
        </w:rPr>
        <w:t>（四）</w:t>
      </w:r>
      <w:bookmarkEnd w:id="3"/>
      <w:r>
        <w:rPr>
          <w:rFonts w:hint="eastAsia" w:ascii="宋体" w:hAnsi="宋体" w:cs="宋体"/>
          <w:b/>
          <w:bCs/>
          <w:color w:val="000000"/>
          <w:sz w:val="24"/>
        </w:rPr>
        <w:t>建设项目海绵城市专项验收服务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协助采购人审核施工单位提交设施验收前的技术资料，</w:t>
      </w:r>
      <w:r>
        <w:rPr>
          <w:rFonts w:hint="eastAsia" w:ascii="宋体" w:hAnsi="宋体" w:cs="宋体"/>
          <w:kern w:val="0"/>
          <w:sz w:val="24"/>
          <w:lang w:eastAsia="zh-CN"/>
        </w:rPr>
        <w:t>并</w:t>
      </w:r>
      <w:r>
        <w:rPr>
          <w:rFonts w:hint="eastAsia" w:ascii="宋体" w:hAnsi="宋体" w:cs="宋体"/>
          <w:kern w:val="0"/>
          <w:sz w:val="24"/>
          <w:lang w:val="en-US" w:eastAsia="zh-CN"/>
        </w:rPr>
        <w:t>参加</w:t>
      </w:r>
      <w:r>
        <w:rPr>
          <w:rFonts w:hint="eastAsia" w:ascii="宋体" w:hAnsi="宋体" w:cs="宋体"/>
          <w:kern w:val="0"/>
          <w:sz w:val="24"/>
        </w:rPr>
        <w:t>海绵城市</w:t>
      </w:r>
      <w:r>
        <w:rPr>
          <w:rFonts w:hint="eastAsia" w:ascii="宋体" w:hAnsi="宋体" w:cs="宋体"/>
          <w:kern w:val="0"/>
          <w:sz w:val="24"/>
          <w:lang w:val="en-US" w:eastAsia="zh-CN"/>
        </w:rPr>
        <w:t>项目现场验收，</w:t>
      </w:r>
      <w:r>
        <w:rPr>
          <w:rFonts w:hint="eastAsia" w:ascii="宋体" w:hAnsi="宋体" w:cs="宋体"/>
          <w:kern w:val="0"/>
          <w:sz w:val="24"/>
        </w:rPr>
        <w:t>根据</w:t>
      </w:r>
      <w:r>
        <w:rPr>
          <w:rFonts w:hint="eastAsia" w:ascii="宋体" w:hAnsi="宋体" w:cs="宋体"/>
          <w:kern w:val="0"/>
          <w:sz w:val="24"/>
          <w:lang w:val="en-US" w:eastAsia="zh-CN"/>
        </w:rPr>
        <w:t>现场施工、</w:t>
      </w:r>
      <w:r>
        <w:rPr>
          <w:rFonts w:hint="eastAsia" w:ascii="宋体" w:hAnsi="宋体" w:cs="宋体"/>
          <w:kern w:val="0"/>
          <w:sz w:val="24"/>
        </w:rPr>
        <w:t>竣工验收情况对项目完成情况进行评估，</w:t>
      </w:r>
      <w:r>
        <w:rPr>
          <w:rFonts w:hint="eastAsia" w:ascii="宋体" w:hAnsi="宋体" w:cs="宋体"/>
          <w:kern w:val="0"/>
          <w:sz w:val="24"/>
          <w:lang w:val="en-US" w:eastAsia="zh-CN"/>
        </w:rPr>
        <w:t>并</w:t>
      </w:r>
      <w:r>
        <w:rPr>
          <w:rFonts w:hint="eastAsia" w:ascii="宋体" w:hAnsi="宋体" w:cs="宋体"/>
          <w:kern w:val="0"/>
          <w:sz w:val="24"/>
        </w:rPr>
        <w:t>出具意见。</w:t>
      </w:r>
    </w:p>
    <w:p>
      <w:pPr>
        <w:spacing w:line="360" w:lineRule="auto"/>
        <w:ind w:firstLine="482" w:firstLineChars="200"/>
        <w:jc w:val="left"/>
        <w:rPr>
          <w:rFonts w:ascii="宋体" w:hAnsi="宋体" w:cs="宋体"/>
          <w:kern w:val="0"/>
          <w:sz w:val="24"/>
        </w:rPr>
      </w:pPr>
      <w:r>
        <w:rPr>
          <w:rFonts w:hint="eastAsia" w:ascii="宋体" w:hAnsi="宋体" w:cs="宋体"/>
          <w:b/>
          <w:bCs/>
          <w:kern w:val="0"/>
          <w:sz w:val="24"/>
        </w:rPr>
        <w:t>成果形式：</w:t>
      </w:r>
      <w:r>
        <w:rPr>
          <w:rFonts w:hint="eastAsia" w:ascii="宋体" w:hAnsi="宋体" w:cs="宋体"/>
          <w:kern w:val="0"/>
          <w:sz w:val="24"/>
        </w:rPr>
        <w:t>项目</w:t>
      </w:r>
      <w:r>
        <w:rPr>
          <w:rFonts w:hint="eastAsia" w:ascii="宋体" w:hAnsi="宋体" w:cs="宋体"/>
          <w:bCs/>
          <w:kern w:val="0"/>
          <w:sz w:val="24"/>
        </w:rPr>
        <w:t>现场</w:t>
      </w:r>
      <w:r>
        <w:rPr>
          <w:rFonts w:hint="eastAsia" w:ascii="宋体" w:hAnsi="宋体" w:cs="宋体"/>
          <w:bCs/>
          <w:kern w:val="0"/>
          <w:sz w:val="24"/>
          <w:highlight w:val="none"/>
        </w:rPr>
        <w:t>验收后</w:t>
      </w:r>
      <w:r>
        <w:rPr>
          <w:rFonts w:hint="eastAsia" w:ascii="宋体" w:hAnsi="宋体" w:cs="宋体"/>
          <w:bCs/>
          <w:kern w:val="0"/>
          <w:sz w:val="24"/>
          <w:highlight w:val="none"/>
          <w:lang w:eastAsia="zh-CN"/>
        </w:rPr>
        <w:t>2</w:t>
      </w:r>
      <w:r>
        <w:rPr>
          <w:rFonts w:hint="eastAsia" w:ascii="宋体" w:hAnsi="宋体" w:cs="宋体"/>
          <w:bCs/>
          <w:kern w:val="0"/>
          <w:sz w:val="24"/>
          <w:highlight w:val="none"/>
        </w:rPr>
        <w:t>个工作日内完</w:t>
      </w:r>
      <w:r>
        <w:rPr>
          <w:rFonts w:hint="eastAsia" w:ascii="宋体" w:hAnsi="宋体" w:cs="宋体"/>
          <w:bCs/>
          <w:kern w:val="0"/>
          <w:sz w:val="24"/>
        </w:rPr>
        <w:t>成</w:t>
      </w:r>
      <w:r>
        <w:rPr>
          <w:rFonts w:hint="eastAsia" w:ascii="宋体" w:hAnsi="宋体" w:cs="宋体"/>
          <w:kern w:val="0"/>
          <w:sz w:val="24"/>
          <w:lang w:val="en-US" w:eastAsia="zh-CN"/>
        </w:rPr>
        <w:t>意见</w:t>
      </w:r>
      <w:r>
        <w:rPr>
          <w:rFonts w:hint="eastAsia" w:ascii="宋体" w:hAnsi="宋体" w:cs="宋体"/>
          <w:bCs/>
          <w:kern w:val="0"/>
          <w:sz w:val="24"/>
        </w:rPr>
        <w:t>。</w:t>
      </w:r>
    </w:p>
    <w:p>
      <w:pPr>
        <w:keepNext/>
        <w:overflowPunct w:val="0"/>
        <w:spacing w:after="48" w:line="560" w:lineRule="exact"/>
        <w:outlineLvl w:val="1"/>
        <w:rPr>
          <w:rFonts w:ascii="宋体" w:hAnsi="宋体" w:cs="宋体"/>
          <w:b/>
          <w:bCs/>
          <w:color w:val="000000"/>
          <w:sz w:val="24"/>
        </w:rPr>
      </w:pPr>
      <w:bookmarkStart w:id="4" w:name="_Toc32138"/>
      <w:r>
        <w:rPr>
          <w:rFonts w:hint="eastAsia" w:ascii="宋体" w:hAnsi="宋体" w:cs="宋体"/>
          <w:b/>
          <w:bCs/>
          <w:color w:val="000000"/>
          <w:sz w:val="24"/>
        </w:rPr>
        <w:t>（五）海绵城市建设技术培训和宣传</w:t>
      </w:r>
      <w:bookmarkEnd w:id="4"/>
      <w:r>
        <w:rPr>
          <w:rFonts w:hint="eastAsia" w:ascii="宋体" w:hAnsi="宋体" w:cs="宋体"/>
          <w:b/>
          <w:bCs/>
          <w:color w:val="000000"/>
          <w:sz w:val="24"/>
        </w:rPr>
        <w:t>服务</w:t>
      </w:r>
    </w:p>
    <w:p>
      <w:pPr>
        <w:keepNext w:val="0"/>
        <w:overflowPunct/>
        <w:spacing w:after="0" w:line="360" w:lineRule="auto"/>
        <w:ind w:firstLine="480" w:firstLineChars="200"/>
        <w:jc w:val="left"/>
        <w:outlineLvl w:val="9"/>
        <w:rPr>
          <w:rFonts w:hint="eastAsia" w:ascii="宋体" w:hAnsi="宋体" w:cs="宋体"/>
          <w:kern w:val="0"/>
          <w:sz w:val="24"/>
        </w:rPr>
      </w:pPr>
      <w:r>
        <w:rPr>
          <w:rFonts w:hint="eastAsia" w:ascii="宋体" w:hAnsi="宋体" w:cs="宋体"/>
          <w:kern w:val="0"/>
          <w:sz w:val="24"/>
        </w:rPr>
        <w:t>协助组织相关海绵城市建设专业人员或专家进行专业技术培训，每年不少于2次。协助对海绵城市从多方面开展宣传工作，向民众普及海绵城市理念，提高社会参与度，每年参与宣传不少于2次。</w:t>
      </w:r>
    </w:p>
    <w:p>
      <w:pPr>
        <w:keepNext/>
        <w:overflowPunct w:val="0"/>
        <w:spacing w:after="48" w:line="560" w:lineRule="exact"/>
        <w:ind w:firstLine="0" w:firstLineChars="0"/>
        <w:jc w:val="left"/>
        <w:outlineLvl w:val="1"/>
        <w:rPr>
          <w:rFonts w:hint="eastAsia" w:ascii="宋体" w:hAnsi="宋体" w:cs="宋体"/>
          <w:b/>
          <w:bCs/>
          <w:color w:val="000000"/>
          <w:sz w:val="24"/>
        </w:rPr>
      </w:pPr>
      <w:r>
        <w:rPr>
          <w:rFonts w:hint="eastAsia" w:ascii="宋体" w:hAnsi="宋体" w:cs="宋体"/>
          <w:b/>
          <w:bCs/>
          <w:color w:val="000000"/>
          <w:sz w:val="24"/>
        </w:rPr>
        <w:t>（六）海绵城市年度自评估及工作计划</w:t>
      </w:r>
    </w:p>
    <w:p>
      <w:p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根据2023年国家部委、广东省海绵城市建设自评估工作相关要求，针对横琴粤澳深度合作区2023年海绵城市相关关专项规划及地方标准实施情况、立法和长效机制建立情况、各排水分区或排水单元的划定及各排水分区内居住社区、道路广场、公园绿地、水系等落实海绵城市建设理念项目完成情况，海绵城市建设相关设施的运行维护等进展情况等，以及其他如模式创新及推广创新等方面海绵城市建设相关的工作情况等，开展已达标排水分区和正在实施海绵城市建设排水分区的效果评估。依据评估结果，提出存在的问题及改进措施，并提出下一步工作思路和安排</w:t>
      </w:r>
      <w:r>
        <w:rPr>
          <w:rFonts w:hint="eastAsia" w:ascii="宋体" w:hAnsi="宋体" w:cs="宋体"/>
          <w:kern w:val="0"/>
          <w:sz w:val="24"/>
          <w:lang w:eastAsia="zh-CN"/>
        </w:rPr>
        <w:t>，</w:t>
      </w:r>
      <w:r>
        <w:rPr>
          <w:rFonts w:hint="eastAsia" w:ascii="宋体" w:hAnsi="宋体" w:cs="宋体"/>
          <w:kern w:val="0"/>
          <w:sz w:val="24"/>
        </w:rPr>
        <w:t>编制自评估报告。</w:t>
      </w:r>
    </w:p>
    <w:p>
      <w:p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eastAsia="宋体" w:cs="宋体"/>
          <w:kern w:val="0"/>
          <w:sz w:val="24"/>
          <w:szCs w:val="24"/>
        </w:rPr>
        <w:t>协助制定横琴粤澳深度合作区</w:t>
      </w:r>
      <w:r>
        <w:rPr>
          <w:rFonts w:ascii="宋体" w:hAnsi="宋体" w:eastAsia="宋体" w:cs="宋体"/>
          <w:kern w:val="0"/>
          <w:sz w:val="24"/>
          <w:szCs w:val="24"/>
        </w:rPr>
        <w:t>202</w:t>
      </w:r>
      <w:r>
        <w:rPr>
          <w:rFonts w:hint="eastAsia" w:ascii="宋体" w:hAnsi="宋体" w:cs="宋体"/>
          <w:kern w:val="0"/>
          <w:sz w:val="24"/>
        </w:rPr>
        <w:t>4</w:t>
      </w:r>
      <w:r>
        <w:rPr>
          <w:rFonts w:hint="eastAsia" w:ascii="宋体" w:hAnsi="宋体" w:eastAsia="宋体" w:cs="宋体"/>
          <w:kern w:val="0"/>
          <w:sz w:val="24"/>
          <w:szCs w:val="24"/>
        </w:rPr>
        <w:t>年度</w:t>
      </w:r>
      <w:r>
        <w:rPr>
          <w:rFonts w:hint="eastAsia" w:ascii="宋体" w:hAnsi="宋体" w:cs="宋体"/>
          <w:kern w:val="0"/>
          <w:sz w:val="24"/>
        </w:rPr>
        <w:t>海绵城市全域推进</w:t>
      </w:r>
      <w:r>
        <w:rPr>
          <w:rFonts w:hint="eastAsia" w:ascii="宋体" w:hAnsi="宋体" w:eastAsia="宋体" w:cs="宋体"/>
          <w:kern w:val="0"/>
          <w:sz w:val="24"/>
          <w:szCs w:val="24"/>
        </w:rPr>
        <w:t>总体计划、年度目标和年度任务安排等</w:t>
      </w:r>
      <w:r>
        <w:rPr>
          <w:rFonts w:hint="eastAsia" w:ascii="宋体" w:hAnsi="宋体" w:cs="宋体"/>
          <w:kern w:val="0"/>
          <w:sz w:val="24"/>
        </w:rPr>
        <w:t>。</w:t>
      </w:r>
    </w:p>
    <w:p>
      <w:pPr>
        <w:pStyle w:val="2"/>
        <w:ind w:left="0" w:firstLine="482" w:firstLineChars="200"/>
        <w:rPr>
          <w:rFonts w:hAnsi="宋体" w:cs="宋体"/>
          <w:b/>
          <w:bCs/>
        </w:rPr>
      </w:pPr>
      <w:r>
        <w:rPr>
          <w:rFonts w:hint="eastAsia" w:hAnsi="宋体" w:cs="宋体"/>
          <w:b/>
          <w:bCs/>
          <w:snapToGrid/>
          <w:szCs w:val="24"/>
        </w:rPr>
        <w:t>成果</w:t>
      </w:r>
      <w:r>
        <w:rPr>
          <w:rFonts w:hint="eastAsia" w:hAnsi="宋体" w:cs="宋体"/>
          <w:b/>
          <w:bCs/>
        </w:rPr>
        <w:t>形式</w:t>
      </w:r>
      <w:r>
        <w:rPr>
          <w:rFonts w:hint="eastAsia" w:hAnsi="宋体" w:cs="宋体"/>
          <w:b/>
          <w:bCs/>
          <w:snapToGrid/>
          <w:szCs w:val="24"/>
        </w:rPr>
        <w:t>：</w:t>
      </w:r>
    </w:p>
    <w:p>
      <w:pPr>
        <w:pStyle w:val="2"/>
        <w:ind w:left="0" w:firstLine="480" w:firstLineChars="200"/>
        <w:rPr>
          <w:rFonts w:hint="eastAsia" w:hAnsi="宋体" w:cs="宋体"/>
          <w:snapToGrid/>
          <w:szCs w:val="24"/>
        </w:rPr>
      </w:pPr>
      <w:r>
        <w:rPr>
          <w:rFonts w:hint="eastAsia" w:hAnsi="宋体" w:cs="宋体"/>
          <w:snapToGrid/>
          <w:szCs w:val="24"/>
          <w:lang w:val="en-US" w:eastAsia="zh-CN"/>
        </w:rPr>
        <w:t>1、</w:t>
      </w:r>
      <w:r>
        <w:rPr>
          <w:rFonts w:hint="eastAsia" w:hAnsi="宋体" w:cs="宋体"/>
          <w:snapToGrid/>
          <w:szCs w:val="24"/>
        </w:rPr>
        <w:t>《</w:t>
      </w:r>
      <w:r>
        <w:rPr>
          <w:rFonts w:hint="eastAsia" w:ascii="宋体" w:hAnsi="宋体" w:eastAsia="宋体" w:cs="宋体"/>
          <w:snapToGrid/>
          <w:szCs w:val="24"/>
        </w:rPr>
        <w:t>横琴粤澳深度合作区202</w:t>
      </w:r>
      <w:r>
        <w:rPr>
          <w:rFonts w:hint="eastAsia" w:hAnsi="宋体" w:cs="宋体"/>
          <w:snapToGrid/>
          <w:szCs w:val="24"/>
        </w:rPr>
        <w:t>3</w:t>
      </w:r>
      <w:r>
        <w:rPr>
          <w:rFonts w:hint="eastAsia" w:ascii="宋体" w:hAnsi="宋体" w:eastAsia="宋体" w:cs="宋体"/>
          <w:snapToGrid/>
          <w:szCs w:val="24"/>
        </w:rPr>
        <w:t>年海绵城市</w:t>
      </w:r>
      <w:r>
        <w:rPr>
          <w:rFonts w:hint="eastAsia" w:hAnsi="宋体" w:cs="宋体"/>
          <w:snapToGrid/>
          <w:szCs w:val="24"/>
        </w:rPr>
        <w:t>建设</w:t>
      </w:r>
      <w:r>
        <w:rPr>
          <w:rFonts w:hint="eastAsia" w:ascii="宋体" w:hAnsi="宋体" w:eastAsia="宋体" w:cs="宋体"/>
          <w:snapToGrid/>
          <w:szCs w:val="24"/>
        </w:rPr>
        <w:t>自评估报告</w:t>
      </w:r>
      <w:r>
        <w:rPr>
          <w:rFonts w:hint="eastAsia" w:hAnsi="宋体" w:cs="宋体"/>
          <w:snapToGrid/>
          <w:szCs w:val="24"/>
        </w:rPr>
        <w:t>》</w:t>
      </w:r>
      <w:r>
        <w:rPr>
          <w:rFonts w:hint="eastAsia" w:ascii="宋体" w:hAnsi="宋体" w:eastAsia="宋体" w:cs="宋体"/>
          <w:snapToGrid/>
          <w:szCs w:val="24"/>
        </w:rPr>
        <w:t>及佐证材料</w:t>
      </w:r>
      <w:r>
        <w:rPr>
          <w:rFonts w:hint="eastAsia" w:hAnsi="宋体" w:cs="宋体"/>
          <w:snapToGrid/>
          <w:szCs w:val="24"/>
        </w:rPr>
        <w:t>，根据国家或省级通知要求开展，如无明确要求则不晚于2024年1月31日</w:t>
      </w:r>
      <w:r>
        <w:rPr>
          <w:rFonts w:hint="eastAsia" w:hAnsi="宋体" w:cs="宋体"/>
          <w:bCs w:val="0"/>
          <w:snapToGrid/>
          <w:szCs w:val="24"/>
        </w:rPr>
        <w:t>；</w:t>
      </w:r>
    </w:p>
    <w:p>
      <w:pPr>
        <w:pStyle w:val="2"/>
        <w:ind w:left="0" w:firstLine="480" w:firstLineChars="200"/>
        <w:rPr>
          <w:rFonts w:hAnsi="宋体" w:cs="宋体"/>
        </w:rPr>
      </w:pPr>
      <w:r>
        <w:rPr>
          <w:rFonts w:hint="eastAsia" w:hAnsi="宋体" w:cs="宋体"/>
          <w:snapToGrid/>
          <w:szCs w:val="24"/>
          <w:lang w:val="en-US" w:eastAsia="zh-CN"/>
        </w:rPr>
        <w:t>2、</w:t>
      </w:r>
      <w:r>
        <w:rPr>
          <w:rFonts w:hint="eastAsia" w:hAnsi="宋体" w:cs="宋体"/>
          <w:snapToGrid/>
          <w:szCs w:val="24"/>
        </w:rPr>
        <w:t>《</w:t>
      </w:r>
      <w:r>
        <w:rPr>
          <w:rFonts w:hint="eastAsia" w:ascii="宋体" w:hAnsi="宋体" w:eastAsia="宋体" w:cs="宋体"/>
          <w:snapToGrid/>
          <w:szCs w:val="24"/>
        </w:rPr>
        <w:t>横琴粤澳深度合作区202</w:t>
      </w:r>
      <w:r>
        <w:rPr>
          <w:rFonts w:hint="eastAsia" w:hAnsi="宋体" w:cs="宋体"/>
          <w:snapToGrid/>
          <w:szCs w:val="24"/>
        </w:rPr>
        <w:t>4</w:t>
      </w:r>
      <w:r>
        <w:rPr>
          <w:rFonts w:hint="eastAsia" w:ascii="宋体" w:hAnsi="宋体" w:eastAsia="宋体" w:cs="宋体"/>
          <w:snapToGrid/>
          <w:szCs w:val="24"/>
        </w:rPr>
        <w:t>年海绵城市</w:t>
      </w:r>
      <w:r>
        <w:rPr>
          <w:rFonts w:hint="eastAsia" w:hAnsi="宋体" w:cs="宋体"/>
          <w:snapToGrid/>
          <w:szCs w:val="24"/>
        </w:rPr>
        <w:t>建设</w:t>
      </w:r>
      <w:r>
        <w:rPr>
          <w:rFonts w:hint="eastAsia" w:ascii="宋体" w:hAnsi="宋体" w:eastAsia="宋体" w:cs="宋体"/>
          <w:snapToGrid/>
          <w:szCs w:val="24"/>
        </w:rPr>
        <w:t>工作计划</w:t>
      </w:r>
      <w:r>
        <w:rPr>
          <w:rFonts w:hint="eastAsia" w:hAnsi="宋体" w:cs="宋体"/>
          <w:snapToGrid/>
          <w:szCs w:val="24"/>
        </w:rPr>
        <w:t>》，不晚于2024年1月31日。</w:t>
      </w:r>
    </w:p>
    <w:p>
      <w:pPr>
        <w:keepNext/>
        <w:overflowPunct w:val="0"/>
        <w:spacing w:after="48" w:line="560" w:lineRule="exact"/>
        <w:outlineLvl w:val="1"/>
        <w:rPr>
          <w:rFonts w:ascii="宋体" w:hAnsi="宋体" w:cs="宋体"/>
          <w:b/>
          <w:bCs/>
          <w:color w:val="000000"/>
          <w:sz w:val="24"/>
        </w:rPr>
      </w:pPr>
      <w:r>
        <w:rPr>
          <w:rFonts w:hint="eastAsia" w:ascii="宋体" w:hAnsi="宋体" w:cs="宋体"/>
          <w:b/>
          <w:bCs/>
          <w:color w:val="000000"/>
          <w:sz w:val="24"/>
        </w:rPr>
        <w:t>（七）海绵城市建设成效总结</w:t>
      </w:r>
    </w:p>
    <w:p>
      <w:pPr>
        <w:spacing w:line="360" w:lineRule="auto"/>
        <w:ind w:firstLine="480" w:firstLineChars="200"/>
        <w:rPr>
          <w:rFonts w:ascii="宋体" w:hAnsi="宋体" w:cs="宋体"/>
          <w:kern w:val="0"/>
          <w:sz w:val="24"/>
        </w:rPr>
      </w:pPr>
      <w:r>
        <w:rPr>
          <w:rFonts w:hint="eastAsia" w:ascii="宋体" w:hAnsi="宋体" w:cs="宋体"/>
          <w:kern w:val="0"/>
          <w:sz w:val="24"/>
        </w:rPr>
        <w:t>聚焦横琴粤澳深度合作区</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eastAsia="zh-CN"/>
        </w:rPr>
        <w:t>多</w:t>
      </w:r>
      <w:r>
        <w:rPr>
          <w:rFonts w:hint="eastAsia" w:ascii="宋体" w:hAnsi="宋体" w:cs="宋体"/>
          <w:kern w:val="0"/>
          <w:sz w:val="24"/>
        </w:rPr>
        <w:t>海绵城市建设情况，梳理建设成效及亮点，形成</w:t>
      </w:r>
      <w:r>
        <w:rPr>
          <w:rFonts w:hint="eastAsia" w:ascii="宋体" w:hAnsi="宋体" w:cs="宋体"/>
          <w:kern w:val="0"/>
          <w:sz w:val="24"/>
          <w:lang w:val="en-US" w:eastAsia="zh-CN"/>
        </w:rPr>
        <w:t>成效总结</w:t>
      </w:r>
      <w:r>
        <w:rPr>
          <w:rFonts w:hint="eastAsia" w:ascii="宋体" w:hAnsi="宋体" w:cs="宋体"/>
          <w:kern w:val="0"/>
          <w:sz w:val="24"/>
        </w:rPr>
        <w:t>。</w:t>
      </w:r>
    </w:p>
    <w:p>
      <w:pPr>
        <w:pStyle w:val="2"/>
        <w:ind w:left="0" w:firstLine="482" w:firstLineChars="200"/>
        <w:rPr>
          <w:rFonts w:ascii="宋体" w:hAnsi="宋体" w:cs="宋体"/>
          <w:b/>
          <w:bCs/>
          <w:color w:val="000000"/>
          <w:sz w:val="24"/>
        </w:rPr>
      </w:pPr>
      <w:r>
        <w:rPr>
          <w:rFonts w:hint="eastAsia" w:hAnsi="宋体" w:cs="宋体"/>
          <w:b/>
          <w:bCs/>
          <w:snapToGrid/>
          <w:szCs w:val="24"/>
        </w:rPr>
        <w:t>成果</w:t>
      </w:r>
      <w:r>
        <w:rPr>
          <w:rFonts w:hint="eastAsia" w:hAnsi="宋体" w:cs="宋体"/>
          <w:b/>
          <w:bCs/>
        </w:rPr>
        <w:t>形式</w:t>
      </w:r>
      <w:r>
        <w:rPr>
          <w:rFonts w:hint="eastAsia" w:hAnsi="宋体" w:cs="宋体"/>
          <w:b/>
          <w:bCs/>
          <w:snapToGrid/>
          <w:szCs w:val="24"/>
        </w:rPr>
        <w:t>：</w:t>
      </w:r>
      <w:r>
        <w:rPr>
          <w:rFonts w:hint="eastAsia" w:hAnsi="宋体" w:cs="宋体"/>
          <w:snapToGrid/>
          <w:szCs w:val="24"/>
        </w:rPr>
        <w:t>横琴粤澳深度合作区海绵城市建设</w:t>
      </w:r>
      <w:r>
        <w:rPr>
          <w:rFonts w:hint="eastAsia" w:hAnsi="宋体" w:cs="宋体"/>
          <w:snapToGrid/>
          <w:szCs w:val="24"/>
          <w:lang w:val="en-US" w:eastAsia="zh-CN"/>
        </w:rPr>
        <w:t>成效总结</w:t>
      </w:r>
      <w:r>
        <w:rPr>
          <w:rFonts w:hint="eastAsia" w:hAnsi="宋体" w:cs="宋体"/>
          <w:snapToGrid/>
          <w:szCs w:val="24"/>
        </w:rPr>
        <w:t>，合同结束前10日提供。</w:t>
      </w:r>
    </w:p>
    <w:p>
      <w:pPr>
        <w:numPr>
          <w:ilvl w:val="0"/>
          <w:numId w:val="1"/>
        </w:numPr>
        <w:spacing w:line="360" w:lineRule="auto"/>
        <w:jc w:val="left"/>
        <w:rPr>
          <w:rFonts w:ascii="宋体" w:hAnsi="宋体" w:cs="宋体"/>
          <w:b/>
          <w:bCs/>
          <w:sz w:val="28"/>
          <w:szCs w:val="28"/>
        </w:rPr>
      </w:pPr>
      <w:r>
        <w:rPr>
          <w:rFonts w:hint="eastAsia" w:ascii="宋体" w:hAnsi="宋体" w:cs="宋体"/>
          <w:b/>
          <w:bCs/>
          <w:sz w:val="28"/>
          <w:szCs w:val="28"/>
        </w:rPr>
        <w:t>验收及考核要求</w:t>
      </w:r>
    </w:p>
    <w:p>
      <w:pPr>
        <w:pStyle w:val="2"/>
        <w:numPr>
          <w:ilvl w:val="-1"/>
          <w:numId w:val="0"/>
        </w:numPr>
        <w:spacing w:line="360" w:lineRule="auto"/>
        <w:ind w:left="0" w:firstLine="480"/>
        <w:jc w:val="left"/>
        <w:rPr>
          <w:rFonts w:hint="eastAsia" w:hAnsi="宋体" w:cs="宋体"/>
          <w:snapToGrid/>
          <w:szCs w:val="24"/>
        </w:rPr>
      </w:pPr>
      <w:r>
        <w:rPr>
          <w:rFonts w:hint="eastAsia" w:hAnsi="宋体" w:cs="宋体"/>
          <w:snapToGrid/>
          <w:szCs w:val="24"/>
          <w:lang w:eastAsia="zh-CN"/>
        </w:rPr>
        <w:t>（一）</w:t>
      </w:r>
      <w:r>
        <w:rPr>
          <w:rFonts w:hint="eastAsia" w:hAnsi="宋体" w:cs="宋体"/>
          <w:snapToGrid/>
          <w:szCs w:val="24"/>
        </w:rPr>
        <w:t>验收要求：每期服务完成后，采购人根据国家级地方相关标准及用户需求书（附件1服务类履约评分细则）要求进行验收。</w:t>
      </w:r>
    </w:p>
    <w:p>
      <w:pPr>
        <w:pStyle w:val="2"/>
        <w:spacing w:line="360" w:lineRule="auto"/>
        <w:ind w:left="0" w:firstLine="480" w:firstLineChars="200"/>
        <w:jc w:val="left"/>
        <w:rPr>
          <w:rFonts w:hint="eastAsia" w:ascii="宋体" w:hAnsi="宋体" w:cs="宋体"/>
          <w:snapToGrid/>
          <w:kern w:val="2"/>
          <w:sz w:val="24"/>
          <w:szCs w:val="24"/>
        </w:rPr>
      </w:pPr>
      <w:r>
        <w:rPr>
          <w:rFonts w:hint="eastAsia" w:hAnsi="宋体" w:cs="宋体"/>
          <w:snapToGrid/>
          <w:kern w:val="2"/>
          <w:sz w:val="24"/>
          <w:szCs w:val="24"/>
          <w:lang w:eastAsia="zh-CN"/>
        </w:rPr>
        <w:t>（二）</w:t>
      </w:r>
      <w:r>
        <w:rPr>
          <w:rFonts w:hint="eastAsia" w:ascii="宋体" w:hAnsi="宋体" w:cs="宋体"/>
          <w:snapToGrid/>
          <w:kern w:val="2"/>
          <w:sz w:val="24"/>
          <w:szCs w:val="24"/>
        </w:rPr>
        <w:t>考核要求</w:t>
      </w:r>
    </w:p>
    <w:p>
      <w:pPr>
        <w:numPr>
          <w:ilvl w:val="0"/>
          <w:numId w:val="2"/>
        </w:numPr>
        <w:spacing w:line="360" w:lineRule="auto"/>
        <w:ind w:firstLine="480" w:firstLineChars="200"/>
        <w:jc w:val="left"/>
        <w:rPr>
          <w:rFonts w:ascii="宋体" w:hAnsi="Times New Roman"/>
          <w:snapToGrid w:val="0"/>
          <w:kern w:val="0"/>
          <w:sz w:val="24"/>
          <w:szCs w:val="18"/>
        </w:rPr>
      </w:pPr>
      <w:r>
        <w:rPr>
          <w:rFonts w:hint="eastAsia" w:ascii="宋体" w:hAnsi="Times New Roman"/>
          <w:snapToGrid w:val="0"/>
          <w:kern w:val="0"/>
          <w:sz w:val="24"/>
          <w:szCs w:val="18"/>
        </w:rPr>
        <w:t>考核内容：</w:t>
      </w:r>
    </w:p>
    <w:p>
      <w:pPr>
        <w:pStyle w:val="2"/>
        <w:spacing w:line="360" w:lineRule="auto"/>
        <w:ind w:leftChars="200"/>
        <w:jc w:val="left"/>
      </w:pPr>
      <w:r>
        <w:rPr>
          <w:rFonts w:hint="eastAsia"/>
        </w:rPr>
        <w:t>（1）考核范围：以6个月为一期，对两期服务内容分期考核，每期只对当期服务内容全方面考核。</w:t>
      </w:r>
    </w:p>
    <w:p>
      <w:pPr>
        <w:pStyle w:val="2"/>
        <w:spacing w:line="360" w:lineRule="auto"/>
        <w:ind w:leftChars="200"/>
        <w:jc w:val="left"/>
      </w:pPr>
      <w:r>
        <w:rPr>
          <w:rFonts w:hint="eastAsia"/>
        </w:rPr>
        <w:t>（2）考核标准：详见附件1《服务类履约评分细则》。</w:t>
      </w:r>
    </w:p>
    <w:p>
      <w:pPr>
        <w:pStyle w:val="2"/>
        <w:spacing w:line="360" w:lineRule="auto"/>
        <w:ind w:leftChars="200"/>
        <w:jc w:val="left"/>
      </w:pPr>
      <w:r>
        <w:rPr>
          <w:rFonts w:hint="eastAsia"/>
        </w:rPr>
        <w:t>（3）考核结果：按照考核评分细则，最终出具考核评分结果。</w:t>
      </w:r>
    </w:p>
    <w:p>
      <w:pPr>
        <w:numPr>
          <w:ilvl w:val="0"/>
          <w:numId w:val="2"/>
        </w:numPr>
        <w:spacing w:line="360" w:lineRule="auto"/>
        <w:ind w:firstLine="480" w:firstLineChars="200"/>
        <w:jc w:val="left"/>
        <w:rPr>
          <w:rFonts w:ascii="宋体" w:hAnsi="Times New Roman"/>
          <w:snapToGrid w:val="0"/>
          <w:kern w:val="0"/>
          <w:sz w:val="24"/>
          <w:szCs w:val="18"/>
        </w:rPr>
      </w:pPr>
      <w:r>
        <w:rPr>
          <w:rFonts w:hint="eastAsia" w:ascii="宋体" w:hAnsi="Times New Roman"/>
          <w:snapToGrid w:val="0"/>
          <w:kern w:val="0"/>
          <w:sz w:val="24"/>
          <w:szCs w:val="18"/>
        </w:rPr>
        <w:t>考核定级和考核结果运用</w:t>
      </w:r>
    </w:p>
    <w:p>
      <w:pPr>
        <w:pStyle w:val="2"/>
        <w:spacing w:line="360" w:lineRule="auto"/>
        <w:ind w:left="0" w:firstLine="480" w:firstLineChars="200"/>
        <w:jc w:val="left"/>
      </w:pPr>
      <w:r>
        <w:t>考核分为优秀、良好、</w:t>
      </w:r>
      <w:r>
        <w:rPr>
          <w:rFonts w:hint="eastAsia"/>
        </w:rPr>
        <w:t>合格</w:t>
      </w:r>
      <w:r>
        <w:t>、不</w:t>
      </w:r>
      <w:r>
        <w:rPr>
          <w:rFonts w:hint="eastAsia"/>
        </w:rPr>
        <w:t>合格</w:t>
      </w:r>
      <w:r>
        <w:t>四个等级。考核结果90分以上（含90分）为优秀，80-90 （含80分）为良好，70-80分（含 70分）为</w:t>
      </w:r>
      <w:r>
        <w:rPr>
          <w:rFonts w:hint="eastAsia"/>
        </w:rPr>
        <w:t>合格</w:t>
      </w:r>
      <w:r>
        <w:t>，70分以下为不</w:t>
      </w:r>
      <w:r>
        <w:rPr>
          <w:rFonts w:hint="eastAsia"/>
        </w:rPr>
        <w:t>合格</w:t>
      </w:r>
      <w:r>
        <w:t>。 考核评定为优秀的，支付当期全额费用；考核评定为良好的，每降低一分扣除当期</w:t>
      </w:r>
      <w:r>
        <w:rPr>
          <w:rFonts w:hint="eastAsia"/>
        </w:rPr>
        <w:t>结算</w:t>
      </w:r>
      <w:r>
        <w:t>费用总额的0.5%</w:t>
      </w:r>
      <w:r>
        <w:rPr>
          <w:rFonts w:hint="eastAsia"/>
          <w:lang w:eastAsia="zh-CN"/>
        </w:rPr>
        <w:t>，</w:t>
      </w:r>
      <w:r>
        <w:t>扣款比例计算方式：（90-考核分数）×0.5%×</w:t>
      </w:r>
      <w:r>
        <w:rPr>
          <w:rFonts w:hint="eastAsia"/>
          <w:lang w:eastAsia="zh-CN"/>
        </w:rPr>
        <w:t>当期合同结算金额</w:t>
      </w:r>
      <w:r>
        <w:t>；考核评定为达标的，每降低一分扣除当期</w:t>
      </w:r>
      <w:r>
        <w:rPr>
          <w:rFonts w:hint="eastAsia"/>
        </w:rPr>
        <w:t>结算</w:t>
      </w:r>
      <w:r>
        <w:t>费用总额的1%,扣款比例计算方式：（</w:t>
      </w:r>
      <w:r>
        <w:rPr>
          <w:rFonts w:hint="eastAsia"/>
          <w:lang w:val="en-US" w:eastAsia="zh-CN"/>
        </w:rPr>
        <w:t>9</w:t>
      </w:r>
      <w:r>
        <w:t>0-考核分数）×1%×</w:t>
      </w:r>
      <w:r>
        <w:rPr>
          <w:rFonts w:hint="eastAsia"/>
          <w:lang w:eastAsia="zh-CN"/>
        </w:rPr>
        <w:t>当期合同结算金额</w:t>
      </w:r>
      <w:r>
        <w:t>；考核评定为不达标的，扣除当期</w:t>
      </w:r>
      <w:r>
        <w:rPr>
          <w:rFonts w:hint="eastAsia"/>
        </w:rPr>
        <w:t>结算</w:t>
      </w:r>
      <w:r>
        <w:t>费用总额的</w:t>
      </w:r>
      <w:r>
        <w:rPr>
          <w:rFonts w:hint="eastAsia"/>
        </w:rPr>
        <w:t>30</w:t>
      </w:r>
      <w:r>
        <w:t>%。以上扣除的费用统称为考核扣除费用。</w:t>
      </w:r>
    </w:p>
    <w:p>
      <w:pPr>
        <w:pStyle w:val="2"/>
        <w:spacing w:line="360" w:lineRule="auto"/>
        <w:ind w:left="0" w:firstLine="480" w:firstLineChars="200"/>
        <w:jc w:val="left"/>
        <w:rPr>
          <w:color w:val="0000FF"/>
        </w:rPr>
      </w:pPr>
      <w:r>
        <w:rPr>
          <w:rFonts w:hint="eastAsia"/>
        </w:rPr>
        <w:t>中标人向采购人提供每期服务成果，采购</w:t>
      </w:r>
      <w:r>
        <w:rPr>
          <w:rFonts w:hint="eastAsia"/>
          <w:color w:val="000000" w:themeColor="text1"/>
          <w14:textFill>
            <w14:solidFill>
              <w14:schemeClr w14:val="tx1"/>
            </w14:solidFill>
          </w14:textFill>
        </w:rPr>
        <w:t>根据考核标准进行考核，最终出具考核评分结果。</w:t>
      </w:r>
    </w:p>
    <w:p>
      <w:pPr>
        <w:numPr>
          <w:ilvl w:val="0"/>
          <w:numId w:val="1"/>
        </w:numPr>
        <w:spacing w:line="360" w:lineRule="auto"/>
        <w:jc w:val="left"/>
        <w:rPr>
          <w:rFonts w:ascii="宋体" w:hAnsi="宋体" w:cs="宋体"/>
          <w:b/>
          <w:bCs/>
          <w:sz w:val="28"/>
          <w:szCs w:val="28"/>
        </w:rPr>
      </w:pPr>
      <w:r>
        <w:rPr>
          <w:rFonts w:hint="eastAsia" w:ascii="宋体" w:hAnsi="宋体" w:cs="宋体"/>
          <w:b/>
          <w:bCs/>
          <w:sz w:val="28"/>
          <w:szCs w:val="28"/>
        </w:rPr>
        <w:t>服务要求</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（一）投</w:t>
      </w:r>
      <w:r>
        <w:rPr>
          <w:rFonts w:hint="eastAsia" w:ascii="宋体" w:hAnsi="宋体" w:cs="宋体"/>
          <w:kern w:val="0"/>
          <w:sz w:val="24"/>
        </w:rPr>
        <w:t>标人应选派具有高级工程师（含）或以上职称（具有给排水、园林景观、环境工程或市政专业职称），承担过国家级海绵城市建设试点或示范城市技术服务工作的专家作为项目负责人，指导项目技术服务总体工作。</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（二）</w:t>
      </w:r>
      <w:r>
        <w:rPr>
          <w:rFonts w:hint="eastAsia" w:ascii="宋体" w:hAnsi="宋体" w:cs="宋体"/>
          <w:kern w:val="0"/>
          <w:sz w:val="24"/>
        </w:rPr>
        <w:t>安排一名具有工程师（含）或以上职称（给排水、园林景观、环境工程或市政专业），并承担过国家</w:t>
      </w:r>
      <w:r>
        <w:rPr>
          <w:rFonts w:hint="eastAsia" w:ascii="宋体" w:hAnsi="宋体" w:cs="宋体"/>
          <w:kern w:val="0"/>
          <w:sz w:val="24"/>
          <w:lang w:val="en-US" w:eastAsia="zh-CN"/>
        </w:rPr>
        <w:t>级</w:t>
      </w:r>
      <w:r>
        <w:rPr>
          <w:rFonts w:hint="eastAsia" w:ascii="宋体" w:hAnsi="宋体" w:cs="宋体"/>
          <w:kern w:val="0"/>
          <w:sz w:val="24"/>
        </w:rPr>
        <w:t>海绵城市建设试点或示范城市技术服务工作的专家作为现场技术负责人</w:t>
      </w:r>
      <w:r>
        <w:rPr>
          <w:rFonts w:hint="eastAsia" w:ascii="宋体" w:hAnsi="宋体" w:cs="宋体"/>
          <w:kern w:val="0"/>
          <w:sz w:val="24"/>
          <w:lang w:eastAsia="zh-CN"/>
        </w:rPr>
        <w:t>，</w:t>
      </w:r>
      <w:r>
        <w:rPr>
          <w:rFonts w:hint="eastAsia" w:ascii="宋体" w:hAnsi="宋体" w:cs="宋体"/>
          <w:kern w:val="0"/>
          <w:sz w:val="24"/>
          <w:lang w:val="en-US" w:eastAsia="zh-CN"/>
        </w:rPr>
        <w:t>配合采购人完成相关技术工作</w:t>
      </w:r>
      <w:r>
        <w:rPr>
          <w:rFonts w:hint="eastAsia" w:ascii="宋体" w:hAnsi="宋体" w:cs="宋体"/>
          <w:kern w:val="0"/>
          <w:sz w:val="24"/>
        </w:rPr>
        <w:t>。</w:t>
      </w:r>
      <w:r>
        <w:rPr>
          <w:rFonts w:hint="eastAsia" w:ascii="宋体" w:hAnsi="宋体" w:cs="宋体"/>
          <w:kern w:val="0"/>
          <w:sz w:val="24"/>
          <w:lang w:val="en-US" w:eastAsia="zh-CN"/>
        </w:rPr>
        <w:t>另安排</w:t>
      </w:r>
      <w:r>
        <w:rPr>
          <w:rFonts w:hint="eastAsia" w:ascii="宋体" w:hAnsi="宋体" w:cs="宋体"/>
          <w:kern w:val="0"/>
          <w:sz w:val="24"/>
        </w:rPr>
        <w:t>至少</w:t>
      </w:r>
      <w:r>
        <w:rPr>
          <w:rFonts w:hint="eastAsia" w:ascii="宋体" w:hAnsi="宋体" w:cs="宋体"/>
          <w:kern w:val="0"/>
          <w:sz w:val="24"/>
          <w:lang w:val="en-US" w:eastAsia="zh-CN"/>
        </w:rPr>
        <w:t>1</w:t>
      </w:r>
      <w:r>
        <w:rPr>
          <w:rFonts w:hint="eastAsia" w:ascii="宋体" w:hAnsi="宋体" w:cs="宋体"/>
          <w:kern w:val="0"/>
          <w:sz w:val="24"/>
        </w:rPr>
        <w:t>名项目成员（给排水、园林景观、环境工程或市政专业）驻</w:t>
      </w:r>
      <w:r>
        <w:rPr>
          <w:rFonts w:hint="eastAsia" w:ascii="宋体" w:hAnsi="宋体" w:cs="宋体"/>
          <w:kern w:val="0"/>
          <w:sz w:val="24"/>
          <w:lang w:val="en-US" w:eastAsia="zh-CN"/>
        </w:rPr>
        <w:t>场协助采购人</w:t>
      </w:r>
      <w:r>
        <w:rPr>
          <w:rFonts w:hint="eastAsia" w:ascii="宋体" w:hAnsi="宋体" w:cs="宋体"/>
          <w:kern w:val="0"/>
          <w:sz w:val="24"/>
        </w:rPr>
        <w:t>开展工作，驻</w:t>
      </w:r>
      <w:r>
        <w:rPr>
          <w:rFonts w:hint="eastAsia" w:ascii="宋体" w:hAnsi="宋体" w:cs="宋体"/>
          <w:kern w:val="0"/>
          <w:sz w:val="24"/>
          <w:lang w:val="en-US" w:eastAsia="zh-CN"/>
        </w:rPr>
        <w:t>场</w:t>
      </w:r>
      <w:r>
        <w:rPr>
          <w:rFonts w:hint="eastAsia" w:ascii="宋体" w:hAnsi="宋体" w:cs="宋体"/>
          <w:kern w:val="0"/>
          <w:sz w:val="24"/>
        </w:rPr>
        <w:t>人员每月</w:t>
      </w:r>
      <w:r>
        <w:rPr>
          <w:rFonts w:hint="eastAsia" w:ascii="宋体" w:hAnsi="宋体" w:cs="宋体"/>
          <w:kern w:val="0"/>
          <w:sz w:val="24"/>
          <w:lang w:val="en-US" w:eastAsia="zh-CN"/>
        </w:rPr>
        <w:t>总服务天数</w:t>
      </w:r>
      <w:r>
        <w:rPr>
          <w:rFonts w:hint="eastAsia" w:ascii="宋体" w:hAnsi="宋体" w:cs="宋体"/>
          <w:kern w:val="0"/>
          <w:sz w:val="24"/>
        </w:rPr>
        <w:t>不少于</w:t>
      </w:r>
      <w:r>
        <w:rPr>
          <w:rFonts w:hint="eastAsia" w:ascii="宋体" w:hAnsi="宋体" w:cs="宋体"/>
          <w:kern w:val="0"/>
          <w:sz w:val="24"/>
          <w:lang w:val="en-US" w:eastAsia="zh-CN"/>
        </w:rPr>
        <w:t>20</w:t>
      </w:r>
      <w:r>
        <w:rPr>
          <w:rFonts w:hint="eastAsia" w:ascii="宋体" w:hAnsi="宋体" w:cs="宋体"/>
          <w:kern w:val="0"/>
          <w:sz w:val="24"/>
        </w:rPr>
        <w:t>日（法定节假日除外）。</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bCs/>
          <w:kern w:val="0"/>
          <w:sz w:val="24"/>
          <w:highlight w:val="none"/>
        </w:rPr>
        <w:t>（三）</w:t>
      </w:r>
      <w:r>
        <w:rPr>
          <w:rFonts w:hint="eastAsia" w:ascii="宋体" w:hAnsi="宋体" w:cs="宋体"/>
          <w:kern w:val="0"/>
          <w:sz w:val="24"/>
          <w:highlight w:val="none"/>
        </w:rPr>
        <w:t>根据项目服务需要，投标人需配置车辆以便前往项目现场指导。</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bCs/>
          <w:kern w:val="0"/>
          <w:sz w:val="24"/>
          <w:highlight w:val="none"/>
        </w:rPr>
        <w:t>（四）</w:t>
      </w:r>
      <w:r>
        <w:rPr>
          <w:rFonts w:hint="eastAsia" w:ascii="宋体" w:hAnsi="宋体" w:cs="宋体"/>
          <w:kern w:val="0"/>
          <w:sz w:val="24"/>
          <w:highlight w:val="none"/>
        </w:rPr>
        <w:t>投标人每月</w:t>
      </w:r>
      <w:r>
        <w:rPr>
          <w:rFonts w:hint="eastAsia" w:ascii="宋体" w:hAnsi="宋体" w:cs="宋体"/>
          <w:kern w:val="0"/>
          <w:sz w:val="24"/>
          <w:highlight w:val="none"/>
          <w:lang w:val="en-US" w:eastAsia="zh-CN"/>
        </w:rPr>
        <w:t>月底</w:t>
      </w:r>
      <w:r>
        <w:rPr>
          <w:rFonts w:hint="eastAsia" w:ascii="宋体" w:hAnsi="宋体" w:cs="宋体"/>
          <w:kern w:val="0"/>
          <w:sz w:val="24"/>
          <w:highlight w:val="none"/>
        </w:rPr>
        <w:t>前须将本月的各项技术服务工作开展情况进行总结，提供电子成果，并于次月10日前书面上报采购人。</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bCs/>
          <w:kern w:val="0"/>
          <w:sz w:val="24"/>
          <w:highlight w:val="none"/>
        </w:rPr>
        <w:t>（五）</w:t>
      </w:r>
      <w:r>
        <w:rPr>
          <w:rFonts w:hint="eastAsia" w:ascii="宋体" w:hAnsi="宋体" w:cs="宋体"/>
          <w:kern w:val="0"/>
          <w:sz w:val="24"/>
          <w:highlight w:val="none"/>
        </w:rPr>
        <w:t>未经采购人同意，项目负责人及现场</w:t>
      </w:r>
      <w:r>
        <w:rPr>
          <w:rFonts w:hint="eastAsia" w:ascii="宋体" w:hAnsi="宋体" w:cs="宋体"/>
          <w:kern w:val="0"/>
          <w:sz w:val="24"/>
          <w:highlight w:val="none"/>
          <w:lang w:val="en-US" w:eastAsia="zh-CN"/>
        </w:rPr>
        <w:t>技术</w:t>
      </w:r>
      <w:r>
        <w:rPr>
          <w:rFonts w:hint="eastAsia" w:ascii="宋体" w:hAnsi="宋体" w:cs="宋体"/>
          <w:kern w:val="0"/>
          <w:sz w:val="24"/>
          <w:highlight w:val="none"/>
        </w:rPr>
        <w:t>负责人不得更换，经采购人事先书面同意更换的，投标人应替换同等或更好的人员。</w:t>
      </w:r>
    </w:p>
    <w:p>
      <w:pPr>
        <w:tabs>
          <w:tab w:val="left" w:pos="851"/>
        </w:tabs>
        <w:autoSpaceDE w:val="0"/>
        <w:autoSpaceDN w:val="0"/>
        <w:adjustRightInd w:val="0"/>
        <w:spacing w:line="360" w:lineRule="auto"/>
        <w:ind w:firstLine="480" w:firstLineChars="200"/>
        <w:jc w:val="left"/>
        <w:textAlignment w:val="baseline"/>
      </w:pPr>
      <w:r>
        <w:rPr>
          <w:rFonts w:hint="eastAsia" w:ascii="宋体" w:hAnsi="宋体" w:cs="宋体"/>
          <w:bCs/>
          <w:kern w:val="0"/>
          <w:sz w:val="24"/>
        </w:rPr>
        <w:t>（六）</w:t>
      </w:r>
      <w:r>
        <w:rPr>
          <w:rFonts w:hint="eastAsia" w:ascii="宋体" w:hAnsi="宋体" w:cs="宋体"/>
          <w:kern w:val="0"/>
          <w:sz w:val="24"/>
        </w:rPr>
        <w:t>投标人有权根据委托事务的实际需要在通过协调后，合理调整投标人的工作安排以及服务内容、要求，但应提前5个工作日通知投标人。</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（七）采购人的需求，中标人应第一时间响应。</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（八）投标人提交服务成果的方式：实施过程中形成（包括但不限于各类意见、建议、方案、措施等）的所有成果资料，需提供全部的技术本底资料和正式成果电子资料。</w:t>
      </w:r>
    </w:p>
    <w:p>
      <w:pPr>
        <w:spacing w:line="312" w:lineRule="auto"/>
        <w:rPr>
          <w:rFonts w:ascii="宋体" w:hAnsi="宋体" w:cs="宋体"/>
          <w:b/>
          <w:bCs/>
          <w:sz w:val="28"/>
          <w:szCs w:val="28"/>
        </w:rPr>
      </w:pPr>
      <w:r>
        <w:rPr>
          <w:rFonts w:hint="eastAsia" w:ascii="宋体" w:hAnsi="宋体" w:cs="宋体"/>
          <w:b/>
          <w:bCs/>
          <w:sz w:val="28"/>
          <w:szCs w:val="28"/>
        </w:rPr>
        <w:t>七、结算及付款</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（一）</w:t>
      </w:r>
      <w:r>
        <w:rPr>
          <w:rFonts w:hint="eastAsia" w:ascii="宋体" w:hAnsi="宋体" w:cs="宋体"/>
          <w:kern w:val="0"/>
          <w:sz w:val="24"/>
        </w:rPr>
        <w:t>双方合同签定后，投标人应于5个工作日内向采购人开具合法有效的发票，采购人在收到发票10个工作日内向投标人支付该项目预付款的30%；</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（二）</w:t>
      </w:r>
      <w:r>
        <w:rPr>
          <w:rFonts w:hint="eastAsia" w:ascii="宋体" w:hAnsi="宋体" w:cs="宋体"/>
          <w:kern w:val="0"/>
          <w:sz w:val="24"/>
        </w:rPr>
        <w:t>完成合同期限内前6个月的月报、季报、技术审查、巡查及专项验收等工作，提供本项目要求的成果文件并经采购人验收合格后15个工作日内，采购人向投标人支付合同金额的35%；（</w:t>
      </w:r>
      <w:r>
        <w:t>采购人对本期服务内容按照</w:t>
      </w:r>
      <w:r>
        <w:rPr>
          <w:rFonts w:hint="eastAsia"/>
        </w:rPr>
        <w:t>履约</w:t>
      </w:r>
      <w:r>
        <w:t>评分细则进行评分，并以考核评分</w:t>
      </w:r>
      <w:r>
        <w:rPr>
          <w:rFonts w:hint="eastAsia"/>
        </w:rPr>
        <w:t>结果测算本期扣除金额后支付剩余款项</w:t>
      </w:r>
      <w:r>
        <w:t>。</w:t>
      </w:r>
      <w:r>
        <w:rPr>
          <w:rFonts w:hint="eastAsia" w:ascii="宋体" w:hAnsi="宋体" w:cs="宋体"/>
          <w:kern w:val="0"/>
          <w:sz w:val="24"/>
        </w:rPr>
        <w:t>）</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（三）</w:t>
      </w:r>
      <w:r>
        <w:rPr>
          <w:rFonts w:hint="eastAsia" w:ascii="宋体" w:hAnsi="宋体" w:cs="宋体"/>
          <w:kern w:val="0"/>
          <w:sz w:val="24"/>
        </w:rPr>
        <w:t>委托期限届满且投标人完成全部委托事务并获得采购人认可后，采购人向投标人支付合同金额的35%作为尾款；（</w:t>
      </w:r>
      <w:r>
        <w:t>采购人对本期服务内容按照</w:t>
      </w:r>
      <w:r>
        <w:rPr>
          <w:rFonts w:hint="eastAsia"/>
        </w:rPr>
        <w:t>履约</w:t>
      </w:r>
      <w:r>
        <w:t>评分细则进行评分，并以考核评分</w:t>
      </w:r>
      <w:r>
        <w:rPr>
          <w:rFonts w:hint="eastAsia"/>
        </w:rPr>
        <w:t>结果测算本期扣除金额后支付剩余款项</w:t>
      </w:r>
      <w:r>
        <w:t>。</w:t>
      </w:r>
      <w:r>
        <w:rPr>
          <w:rFonts w:hint="eastAsia" w:ascii="宋体" w:hAnsi="宋体" w:cs="宋体"/>
          <w:kern w:val="0"/>
          <w:sz w:val="24"/>
        </w:rPr>
        <w:t>）</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（四）</w:t>
      </w:r>
      <w:r>
        <w:rPr>
          <w:rFonts w:hint="eastAsia" w:ascii="宋体" w:hAnsi="宋体" w:cs="宋体"/>
          <w:kern w:val="0"/>
          <w:sz w:val="24"/>
        </w:rPr>
        <w:t>每期付款前由投标人提出书面申请并提供该期相应金额的发票，经采购人确认后方可办理支付手续；收款方、出具发票方、合同投标人必须与投标人名称一致；</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（五）</w:t>
      </w:r>
      <w:r>
        <w:rPr>
          <w:rFonts w:hint="eastAsia" w:ascii="宋体" w:hAnsi="宋体" w:cs="宋体"/>
          <w:kern w:val="0"/>
          <w:sz w:val="24"/>
        </w:rPr>
        <w:t>投标人应理解政府部门付款的相关程序，因采购人使用的是财政资金，采购人在前款规定的付款时间为向政府财政支付部门提出办理财政支付申请手续的时间，不含政府财政支付部门审核的时间。因政府财政支付审批流程及办理手续而造成项目支付进度有所推延，而导致采购人逾期付款的，采购人不承担逾期付款违约责任。</w:t>
      </w:r>
    </w:p>
    <w:p>
      <w:pPr>
        <w:pStyle w:val="4"/>
        <w:jc w:val="both"/>
        <w:rPr>
          <w:rFonts w:ascii="宋体" w:hAnsi="宋体" w:eastAsia="宋体" w:cs="宋体"/>
          <w:szCs w:val="28"/>
        </w:rPr>
      </w:pPr>
      <w:r>
        <w:rPr>
          <w:rFonts w:hint="eastAsia" w:ascii="宋体" w:hAnsi="宋体" w:eastAsia="宋体" w:cs="宋体"/>
          <w:szCs w:val="28"/>
        </w:rPr>
        <w:t>八、双方的权利义务</w:t>
      </w:r>
    </w:p>
    <w:p/>
    <w:p>
      <w:pPr>
        <w:spacing w:line="360" w:lineRule="auto"/>
        <w:ind w:firstLine="482" w:firstLineChars="200"/>
        <w:rPr>
          <w:b/>
          <w:bCs/>
          <w:sz w:val="24"/>
        </w:rPr>
      </w:pPr>
      <w:r>
        <w:rPr>
          <w:rFonts w:hint="eastAsia"/>
          <w:b/>
          <w:bCs/>
          <w:sz w:val="24"/>
        </w:rPr>
        <w:t>采购人：</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（一）</w:t>
      </w:r>
      <w:r>
        <w:rPr>
          <w:rFonts w:hint="eastAsia" w:ascii="宋体" w:hAnsi="宋体" w:cs="宋体"/>
          <w:kern w:val="0"/>
          <w:sz w:val="24"/>
        </w:rPr>
        <w:t>采购人应按合同规定审核投标人服务成果。</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（二）</w:t>
      </w:r>
      <w:r>
        <w:rPr>
          <w:rFonts w:hint="eastAsia" w:ascii="宋体" w:hAnsi="宋体" w:cs="宋体"/>
          <w:kern w:val="0"/>
          <w:sz w:val="24"/>
        </w:rPr>
        <w:t>采购人在履行合同的过程中，有权监督、检查投标人的工作，并有权要求投标人调换不符合采购人要求的服务人员。</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（三）</w:t>
      </w:r>
      <w:r>
        <w:rPr>
          <w:rFonts w:hint="eastAsia" w:ascii="宋体" w:hAnsi="宋体" w:cs="宋体"/>
          <w:kern w:val="0"/>
          <w:sz w:val="24"/>
        </w:rPr>
        <w:t>采购人可组织有关部门、专家对投标人的服务成果进行评定、验收。</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（四）</w:t>
      </w:r>
      <w:r>
        <w:rPr>
          <w:rFonts w:hint="eastAsia" w:ascii="宋体" w:hAnsi="宋体" w:cs="宋体"/>
          <w:kern w:val="0"/>
          <w:sz w:val="24"/>
        </w:rPr>
        <w:t>若投标人存在违约行为，采购人有权决定暂停支付款项，或在应付款项中扣除违约金、赔偿金等，投标人对此决定无异议。</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（五）</w:t>
      </w:r>
      <w:r>
        <w:rPr>
          <w:rFonts w:hint="eastAsia" w:ascii="宋体" w:hAnsi="宋体" w:cs="宋体"/>
          <w:kern w:val="0"/>
          <w:sz w:val="24"/>
        </w:rPr>
        <w:t>采购人及采购人指定的单位，依据合同对投标人提交的各项服务成果的审核、批准、验收、采用并不减轻或免除投标人对其各项服务成果准确性、科学性、完整性等应承担的责任。</w:t>
      </w:r>
    </w:p>
    <w:p>
      <w:pPr>
        <w:spacing w:line="360" w:lineRule="auto"/>
        <w:ind w:firstLine="482" w:firstLineChars="200"/>
        <w:rPr>
          <w:b/>
          <w:bCs/>
          <w:sz w:val="24"/>
        </w:rPr>
      </w:pPr>
      <w:r>
        <w:rPr>
          <w:rFonts w:hint="eastAsia"/>
          <w:b/>
          <w:bCs/>
          <w:sz w:val="24"/>
        </w:rPr>
        <w:t>投标人：</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（一）</w:t>
      </w:r>
      <w:r>
        <w:rPr>
          <w:rFonts w:hint="eastAsia" w:ascii="宋体" w:hAnsi="宋体" w:cs="宋体"/>
          <w:kern w:val="0"/>
          <w:sz w:val="24"/>
        </w:rPr>
        <w:t>投标人完成合同项下的委托事务必须达到行业专业要求，并符合中国法律规定的标准及深度要求，并且具有可实施性。</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（二）</w:t>
      </w:r>
      <w:r>
        <w:rPr>
          <w:rFonts w:hint="eastAsia" w:ascii="宋体" w:hAnsi="宋体" w:cs="宋体"/>
          <w:kern w:val="0"/>
          <w:sz w:val="24"/>
        </w:rPr>
        <w:t>投标人应根据采购人的服务要求，按时提交符合质量要求的服务成果，并对其成果的科学性、准确性、经济性、完整性负责。</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（三）</w:t>
      </w:r>
      <w:r>
        <w:rPr>
          <w:rFonts w:hint="eastAsia" w:ascii="宋体" w:hAnsi="宋体" w:cs="宋体"/>
          <w:kern w:val="0"/>
          <w:sz w:val="24"/>
        </w:rPr>
        <w:t>投标人有义务配合采购人对其委托事务的进展情况进行检查，并按照采购人的需求及时就合同执行过程中的有关问题进行解释，并提供咨询。</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（四）</w:t>
      </w:r>
      <w:r>
        <w:rPr>
          <w:rFonts w:hint="eastAsia" w:ascii="宋体" w:hAnsi="宋体" w:cs="宋体"/>
          <w:kern w:val="0"/>
          <w:sz w:val="24"/>
        </w:rPr>
        <w:t>投标人对采购人提供的基础资料、信息或者在合同履行过程中产生或者获取的所有采购人的信息应严格保密，且仅限于投标人及投标人人员为合同目的而使用。未经采购人书面同意均不得直接或间接的以任何方式提供或披露给任何第三方，否则采购人有权提出索赔。</w:t>
      </w:r>
    </w:p>
    <w:p>
      <w:pPr>
        <w:pStyle w:val="4"/>
        <w:spacing w:line="360" w:lineRule="auto"/>
        <w:jc w:val="both"/>
        <w:rPr>
          <w:rFonts w:ascii="宋体" w:hAnsi="宋体" w:eastAsia="宋体" w:cs="宋体"/>
          <w:kern w:val="0"/>
          <w:szCs w:val="28"/>
        </w:rPr>
      </w:pPr>
      <w:r>
        <w:rPr>
          <w:rFonts w:hint="eastAsia" w:ascii="宋体" w:hAnsi="宋体" w:eastAsia="宋体" w:cs="宋体"/>
          <w:szCs w:val="28"/>
        </w:rPr>
        <w:t>九、</w:t>
      </w:r>
      <w:r>
        <w:rPr>
          <w:rFonts w:hint="eastAsia" w:ascii="宋体" w:hAnsi="宋体" w:eastAsia="宋体" w:cs="宋体"/>
          <w:kern w:val="0"/>
          <w:szCs w:val="28"/>
        </w:rPr>
        <w:t>违约责任</w:t>
      </w:r>
    </w:p>
    <w:p>
      <w:pPr>
        <w:tabs>
          <w:tab w:val="left" w:pos="851"/>
        </w:tabs>
        <w:autoSpaceDE w:val="0"/>
        <w:autoSpaceDN w:val="0"/>
        <w:adjustRightInd w:val="0"/>
        <w:spacing w:line="360" w:lineRule="auto"/>
        <w:ind w:firstLine="480" w:firstLineChars="200"/>
        <w:jc w:val="left"/>
        <w:textAlignment w:val="baseline"/>
      </w:pPr>
      <w:r>
        <w:rPr>
          <w:rFonts w:hint="eastAsia" w:ascii="宋体" w:hAnsi="宋体" w:cs="宋体"/>
          <w:bCs/>
          <w:kern w:val="0"/>
          <w:sz w:val="24"/>
        </w:rPr>
        <w:t>（一）</w:t>
      </w:r>
      <w:r>
        <w:rPr>
          <w:rFonts w:hint="eastAsia" w:ascii="宋体" w:hAnsi="宋体" w:cs="宋体"/>
          <w:kern w:val="0"/>
          <w:sz w:val="24"/>
        </w:rPr>
        <w:t>因采购人原因造成协议终止或解除，采购人应根据投标人已完成的实际工作量支付费用。同时，投标人应将已完成的阶段性成果移交给采购人。</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（二）如采购人需投标人按照合同约定时间提前交付成果时，经双方研究同意后，按照有关时间要求进行调整。投标人对成果出现的遗漏或错误负责补充或修改。</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三）投标人按照约定时间提交响应成果，未经采购人同意的前提下，如延迟15个工作日之后提交，则扣除合同总金额的5%；延迟30个工作日，则自动解除合同，由投标人赔偿违约金和合同总金额的10%，同时采购人依法委托有资质的第三方继续履行本合同义务的，由此造成的一切损失由投标人承担。</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（四）如因投标人行为侵害任何第三方的合法权益，投标人应负责处理并承担所有相关责任。因此给采购人造成损失的，投标人应承担赔偿责任；同时，采购人有权解除本合同。</w:t>
      </w:r>
    </w:p>
    <w:p>
      <w:pPr>
        <w:tabs>
          <w:tab w:val="left" w:pos="851"/>
        </w:tabs>
        <w:autoSpaceDE w:val="0"/>
        <w:autoSpaceDN w:val="0"/>
        <w:adjustRightInd w:val="0"/>
        <w:spacing w:line="360" w:lineRule="auto"/>
        <w:ind w:firstLine="480" w:firstLineChars="200"/>
        <w:jc w:val="left"/>
        <w:textAlignment w:val="baseline"/>
        <w:rPr>
          <w:rFonts w:ascii="宋体" w:hAnsi="宋体" w:cs="宋体"/>
          <w:bCs/>
          <w:kern w:val="0"/>
          <w:sz w:val="24"/>
        </w:rPr>
      </w:pPr>
      <w:r>
        <w:rPr>
          <w:rFonts w:hint="eastAsia" w:ascii="宋体" w:hAnsi="宋体" w:cs="宋体"/>
          <w:bCs/>
          <w:kern w:val="0"/>
          <w:sz w:val="24"/>
        </w:rPr>
        <w:t>（五）本合同所称的损失，包括实际损失和合同履行后可以获得的利益及合理的调查费、律师费等相关费用。</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（六）</w:t>
      </w:r>
      <w:r>
        <w:rPr>
          <w:rFonts w:hint="eastAsia" w:ascii="宋体" w:hAnsi="宋体" w:cs="宋体"/>
          <w:kern w:val="0"/>
          <w:sz w:val="24"/>
        </w:rPr>
        <w:t>投标人配置的车辆、人员未满足合同约定，须按采购人要求的期限进行整改，且投标人须按照合同总额的3%支付违约金。</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bCs/>
          <w:kern w:val="0"/>
          <w:sz w:val="24"/>
        </w:rPr>
        <w:t>（七）</w:t>
      </w:r>
      <w:r>
        <w:rPr>
          <w:rFonts w:hint="eastAsia" w:ascii="宋体" w:hAnsi="宋体" w:cs="宋体"/>
          <w:kern w:val="0"/>
          <w:sz w:val="24"/>
        </w:rPr>
        <w:t>投标人未经采购人同意将本合同义务分包给第三方或未将与分包单位签订的合同提交采购人备案的，视为擅自分包，投标人须按采购人的要求限期整改，并支付10万元违约金，</w:t>
      </w:r>
      <w:r>
        <w:rPr>
          <w:rFonts w:hint="eastAsia" w:ascii="宋体" w:hAnsi="宋体" w:cs="宋体"/>
          <w:sz w:val="24"/>
        </w:rPr>
        <w:t>未按要求整改的，</w:t>
      </w:r>
      <w:r>
        <w:rPr>
          <w:rFonts w:hint="eastAsia" w:ascii="宋体" w:hAnsi="宋体" w:cs="宋体"/>
          <w:kern w:val="0"/>
          <w:sz w:val="24"/>
        </w:rPr>
        <w:t>采购人</w:t>
      </w:r>
      <w:r>
        <w:rPr>
          <w:rFonts w:hint="eastAsia" w:ascii="宋体" w:hAnsi="宋体" w:cs="宋体"/>
          <w:sz w:val="24"/>
        </w:rPr>
        <w:t>有权单方解除合同。</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八）由于投标人导致合同不能继续执行或者投标人单方面终止合同，投标人将采购人已经支付给投标人的合同款返还给采购人（返还的合同款扣除已经履行义务部分的费用），并支付已经履行义务部分金额的20％的违约金。</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（九）其他事项双方签订合同时协商制定。</w:t>
      </w:r>
    </w:p>
    <w:p>
      <w:pPr>
        <w:pStyle w:val="4"/>
        <w:spacing w:line="360" w:lineRule="auto"/>
        <w:jc w:val="both"/>
        <w:rPr>
          <w:rFonts w:hint="eastAsia" w:ascii="宋体" w:hAnsi="宋体" w:eastAsia="宋体" w:cs="宋体"/>
          <w:b/>
          <w:color w:val="auto"/>
          <w:sz w:val="24"/>
        </w:rPr>
      </w:pPr>
      <w:r>
        <w:rPr>
          <w:rFonts w:hint="eastAsia" w:ascii="宋体" w:hAnsi="宋体" w:eastAsia="宋体" w:cs="宋体"/>
          <w:kern w:val="0"/>
          <w:szCs w:val="28"/>
        </w:rPr>
        <w:t>十、</w:t>
      </w:r>
      <w:r>
        <w:rPr>
          <w:rFonts w:hint="eastAsia" w:ascii="宋体" w:hAnsi="宋体" w:eastAsia="宋体" w:cs="宋体"/>
          <w:b/>
          <w:color w:val="auto"/>
          <w:sz w:val="28"/>
          <w:szCs w:val="28"/>
        </w:rPr>
        <w:t>知识产权</w:t>
      </w:r>
    </w:p>
    <w:p>
      <w:pPr>
        <w:tabs>
          <w:tab w:val="left" w:pos="851"/>
        </w:tabs>
        <w:autoSpaceDE w:val="0"/>
        <w:autoSpaceDN w:val="0"/>
        <w:adjustRightInd w:val="0"/>
        <w:snapToGrid/>
        <w:spacing w:line="360" w:lineRule="auto"/>
        <w:ind w:firstLine="480" w:firstLineChars="200"/>
        <w:jc w:val="left"/>
        <w:textAlignment w:val="baseline"/>
        <w:rPr>
          <w:rFonts w:hint="eastAsia" w:ascii="宋体" w:hAnsi="宋体" w:eastAsia="宋体" w:cs="宋体"/>
          <w:bCs/>
          <w:color w:val="auto"/>
          <w:kern w:val="0"/>
          <w:sz w:val="24"/>
        </w:rPr>
      </w:pPr>
      <w:r>
        <w:rPr>
          <w:rFonts w:hint="eastAsia" w:ascii="宋体" w:hAnsi="宋体" w:cs="宋体"/>
          <w:bCs/>
          <w:color w:val="auto"/>
          <w:kern w:val="0"/>
          <w:sz w:val="24"/>
          <w:lang w:eastAsia="zh-CN"/>
        </w:rPr>
        <w:t>（一）</w:t>
      </w:r>
      <w:r>
        <w:rPr>
          <w:rFonts w:hint="eastAsia" w:ascii="宋体" w:hAnsi="宋体" w:eastAsia="宋体" w:cs="宋体"/>
          <w:bCs/>
          <w:color w:val="auto"/>
          <w:kern w:val="0"/>
          <w:sz w:val="24"/>
        </w:rPr>
        <w:t>经</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认可的本合同工作成果，其知识产权归</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所有。未经</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同意，</w:t>
      </w:r>
      <w:r>
        <w:rPr>
          <w:rFonts w:hint="eastAsia" w:ascii="宋体" w:hAnsi="宋体" w:cs="宋体"/>
          <w:bCs/>
          <w:color w:val="auto"/>
          <w:kern w:val="0"/>
          <w:sz w:val="24"/>
          <w:lang w:eastAsia="zh-CN"/>
        </w:rPr>
        <w:t>中标人</w:t>
      </w:r>
      <w:r>
        <w:rPr>
          <w:rFonts w:hint="eastAsia" w:ascii="宋体" w:hAnsi="宋体" w:eastAsia="宋体" w:cs="宋体"/>
          <w:bCs/>
          <w:color w:val="auto"/>
          <w:kern w:val="0"/>
          <w:sz w:val="24"/>
        </w:rPr>
        <w:t>无权将所涉及的工作成果使用于本合同之外的任何其它目的、不得撤回所提交的任何工作成果，否则须承担由此引发的一切后果并承担赔偿责任。本约定不受本合同期限届满或终止约束。</w:t>
      </w:r>
    </w:p>
    <w:p>
      <w:pPr>
        <w:tabs>
          <w:tab w:val="left" w:pos="851"/>
        </w:tabs>
        <w:autoSpaceDE w:val="0"/>
        <w:autoSpaceDN w:val="0"/>
        <w:adjustRightInd w:val="0"/>
        <w:snapToGrid/>
        <w:spacing w:line="360" w:lineRule="auto"/>
        <w:ind w:firstLine="480" w:firstLineChars="200"/>
        <w:jc w:val="left"/>
        <w:textAlignment w:val="baseline"/>
        <w:rPr>
          <w:rFonts w:hint="eastAsia" w:ascii="宋体" w:hAnsi="宋体" w:eastAsia="宋体" w:cs="宋体"/>
          <w:bCs/>
          <w:color w:val="auto"/>
          <w:kern w:val="0"/>
          <w:sz w:val="24"/>
        </w:rPr>
      </w:pPr>
      <w:r>
        <w:rPr>
          <w:rFonts w:hint="eastAsia" w:ascii="宋体" w:hAnsi="宋体" w:cs="宋体"/>
          <w:bCs/>
          <w:color w:val="auto"/>
          <w:kern w:val="0"/>
          <w:sz w:val="24"/>
          <w:lang w:eastAsia="zh-CN"/>
        </w:rPr>
        <w:t>（二）中标人</w:t>
      </w:r>
      <w:r>
        <w:rPr>
          <w:rFonts w:hint="eastAsia" w:ascii="宋体" w:hAnsi="宋体" w:eastAsia="宋体" w:cs="宋体"/>
          <w:bCs/>
          <w:color w:val="auto"/>
          <w:kern w:val="0"/>
          <w:sz w:val="24"/>
        </w:rPr>
        <w:t>以本研究的名义购买及取得的专用资料、设备等，由</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拥有，并由</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保管。</w:t>
      </w:r>
      <w:r>
        <w:rPr>
          <w:rFonts w:hint="eastAsia" w:ascii="宋体" w:hAnsi="宋体" w:cs="宋体"/>
          <w:bCs/>
          <w:color w:val="auto"/>
          <w:kern w:val="0"/>
          <w:sz w:val="24"/>
          <w:lang w:eastAsia="zh-CN"/>
        </w:rPr>
        <w:t>中标人</w:t>
      </w:r>
      <w:r>
        <w:rPr>
          <w:rFonts w:hint="eastAsia" w:ascii="宋体" w:hAnsi="宋体" w:eastAsia="宋体" w:cs="宋体"/>
          <w:bCs/>
          <w:color w:val="auto"/>
          <w:kern w:val="0"/>
          <w:sz w:val="24"/>
        </w:rPr>
        <w:t>不得使用本项目专有资料、设备等用于与本研究无关的项目，并须于研究完成时，将专有资料、设备等交回</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w:t>
      </w:r>
    </w:p>
    <w:p>
      <w:pPr>
        <w:tabs>
          <w:tab w:val="left" w:pos="851"/>
        </w:tabs>
        <w:autoSpaceDE w:val="0"/>
        <w:autoSpaceDN w:val="0"/>
        <w:adjustRightInd w:val="0"/>
        <w:spacing w:line="360" w:lineRule="auto"/>
        <w:ind w:firstLine="480" w:firstLineChars="200"/>
        <w:jc w:val="left"/>
        <w:textAlignment w:val="baseline"/>
        <w:rPr>
          <w:rFonts w:hint="eastAsia" w:ascii="宋体" w:hAnsi="宋体" w:cs="宋体"/>
          <w:bCs/>
          <w:color w:val="auto"/>
          <w:kern w:val="0"/>
          <w:sz w:val="24"/>
        </w:rPr>
      </w:pPr>
      <w:r>
        <w:rPr>
          <w:rFonts w:hint="eastAsia" w:ascii="宋体" w:hAnsi="宋体" w:cs="宋体"/>
          <w:bCs/>
          <w:color w:val="auto"/>
          <w:kern w:val="0"/>
          <w:sz w:val="24"/>
          <w:lang w:eastAsia="zh-CN"/>
        </w:rPr>
        <w:t>（三）</w:t>
      </w:r>
      <w:r>
        <w:rPr>
          <w:rFonts w:hint="eastAsia" w:ascii="宋体" w:hAnsi="宋体" w:eastAsia="宋体" w:cs="宋体"/>
          <w:bCs/>
          <w:color w:val="auto"/>
          <w:kern w:val="0"/>
          <w:sz w:val="24"/>
        </w:rPr>
        <w:t>在本合同服务期内，</w:t>
      </w:r>
      <w:r>
        <w:rPr>
          <w:rFonts w:hint="eastAsia" w:ascii="宋体" w:hAnsi="宋体" w:cs="宋体"/>
          <w:bCs/>
          <w:color w:val="auto"/>
          <w:kern w:val="0"/>
          <w:sz w:val="24"/>
          <w:lang w:eastAsia="zh-CN"/>
        </w:rPr>
        <w:t>中标人</w:t>
      </w:r>
      <w:r>
        <w:rPr>
          <w:rFonts w:hint="eastAsia" w:ascii="宋体" w:hAnsi="宋体" w:eastAsia="宋体" w:cs="宋体"/>
          <w:bCs/>
          <w:color w:val="auto"/>
          <w:kern w:val="0"/>
          <w:sz w:val="24"/>
        </w:rPr>
        <w:t>利用</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提供的技术资料及工作条件所完成的技术成果，归</w:t>
      </w:r>
      <w:r>
        <w:rPr>
          <w:rFonts w:hint="eastAsia" w:ascii="宋体" w:hAnsi="宋体" w:cs="宋体"/>
          <w:bCs/>
          <w:color w:val="auto"/>
          <w:kern w:val="0"/>
          <w:sz w:val="24"/>
          <w:lang w:eastAsia="zh-CN"/>
        </w:rPr>
        <w:t>采购人</w:t>
      </w:r>
      <w:r>
        <w:rPr>
          <w:rFonts w:hint="eastAsia" w:ascii="宋体" w:hAnsi="宋体" w:eastAsia="宋体" w:cs="宋体"/>
          <w:bCs/>
          <w:color w:val="auto"/>
          <w:kern w:val="0"/>
          <w:sz w:val="24"/>
        </w:rPr>
        <w:t>所有。</w:t>
      </w:r>
      <w:bookmarkStart w:id="5" w:name="_GoBack"/>
      <w:bookmarkEnd w:id="5"/>
    </w:p>
    <w:p>
      <w:pPr>
        <w:pStyle w:val="4"/>
        <w:spacing w:line="360" w:lineRule="auto"/>
        <w:jc w:val="both"/>
        <w:rPr>
          <w:rFonts w:ascii="宋体" w:hAnsi="宋体" w:eastAsia="宋体" w:cs="宋体"/>
          <w:szCs w:val="28"/>
        </w:rPr>
      </w:pPr>
      <w:r>
        <w:rPr>
          <w:rFonts w:hint="eastAsia" w:ascii="宋体" w:hAnsi="宋体" w:eastAsia="宋体" w:cs="宋体"/>
          <w:szCs w:val="28"/>
          <w:lang w:eastAsia="zh-CN"/>
        </w:rPr>
        <w:t>十一、</w:t>
      </w:r>
      <w:r>
        <w:rPr>
          <w:rFonts w:hint="eastAsia" w:ascii="宋体" w:hAnsi="宋体" w:eastAsia="宋体" w:cs="宋体"/>
          <w:szCs w:val="28"/>
        </w:rPr>
        <w:t>不可抗力</w:t>
      </w:r>
    </w:p>
    <w:p>
      <w:pPr>
        <w:tabs>
          <w:tab w:val="left" w:pos="851"/>
        </w:tabs>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pStyle w:val="4"/>
        <w:spacing w:line="360" w:lineRule="auto"/>
        <w:jc w:val="both"/>
        <w:rPr>
          <w:rFonts w:ascii="宋体" w:hAnsi="宋体" w:eastAsia="宋体" w:cs="宋体"/>
          <w:kern w:val="0"/>
          <w:szCs w:val="28"/>
        </w:rPr>
      </w:pPr>
      <w:r>
        <w:rPr>
          <w:rFonts w:hint="eastAsia" w:ascii="宋体" w:hAnsi="宋体" w:eastAsia="宋体" w:cs="宋体"/>
          <w:kern w:val="0"/>
          <w:szCs w:val="28"/>
        </w:rPr>
        <w:t>十</w:t>
      </w:r>
      <w:r>
        <w:rPr>
          <w:rFonts w:hint="eastAsia" w:ascii="宋体" w:hAnsi="宋体" w:eastAsia="宋体" w:cs="宋体"/>
          <w:kern w:val="0"/>
          <w:szCs w:val="28"/>
          <w:lang w:eastAsia="zh-CN"/>
        </w:rPr>
        <w:t>二</w:t>
      </w:r>
      <w:r>
        <w:rPr>
          <w:rFonts w:hint="eastAsia" w:ascii="宋体" w:hAnsi="宋体" w:eastAsia="宋体" w:cs="宋体"/>
          <w:kern w:val="0"/>
          <w:szCs w:val="28"/>
        </w:rPr>
        <w:t>、争议的解决</w:t>
      </w:r>
    </w:p>
    <w:p>
      <w:pPr>
        <w:tabs>
          <w:tab w:val="left" w:pos="851"/>
        </w:tabs>
        <w:autoSpaceDE w:val="0"/>
        <w:autoSpaceDN w:val="0"/>
        <w:adjustRightInd w:val="0"/>
        <w:spacing w:line="360" w:lineRule="auto"/>
        <w:ind w:firstLine="480" w:firstLineChars="200"/>
        <w:jc w:val="left"/>
        <w:textAlignment w:val="baseline"/>
      </w:pPr>
      <w:r>
        <w:rPr>
          <w:rFonts w:hint="eastAsia" w:ascii="宋体" w:hAnsi="宋体" w:cs="宋体"/>
          <w:kern w:val="0"/>
          <w:sz w:val="24"/>
          <w:lang w:val="zh-TW" w:eastAsia="zh-TW"/>
        </w:rPr>
        <w:t>合同履行期间，双方因履行合同发生权利和义务争议，双方应当首选共同协商友好解决，互谅互让，及时化解纷争。协商不成的双方任何一方均可向</w:t>
      </w:r>
      <w:r>
        <w:rPr>
          <w:rFonts w:hint="eastAsia" w:ascii="宋体" w:hAnsi="宋体" w:cs="宋体"/>
          <w:kern w:val="0"/>
          <w:sz w:val="24"/>
        </w:rPr>
        <w:t>采购人</w:t>
      </w:r>
      <w:r>
        <w:rPr>
          <w:rFonts w:hint="eastAsia" w:ascii="宋体" w:hAnsi="宋体" w:cs="宋体"/>
          <w:kern w:val="0"/>
          <w:sz w:val="24"/>
          <w:lang w:val="zh-TW" w:eastAsia="zh-TW"/>
        </w:rPr>
        <w:t>所在地有管辖权的人民法院提起诉讼。</w:t>
      </w:r>
    </w:p>
    <w:p>
      <w:pPr>
        <w:pStyle w:val="4"/>
        <w:spacing w:line="360" w:lineRule="auto"/>
        <w:ind w:left="0" w:firstLine="0"/>
        <w:jc w:val="both"/>
        <w:rPr>
          <w:rFonts w:ascii="宋体" w:hAnsi="宋体" w:eastAsia="宋体" w:cs="宋体"/>
          <w:kern w:val="0"/>
          <w:szCs w:val="28"/>
        </w:rPr>
      </w:pPr>
      <w:r>
        <w:rPr>
          <w:rFonts w:hint="eastAsia" w:ascii="宋体" w:hAnsi="宋体" w:eastAsia="宋体" w:cs="宋体"/>
          <w:kern w:val="0"/>
          <w:szCs w:val="28"/>
        </w:rPr>
        <w:t>十</w:t>
      </w:r>
      <w:r>
        <w:rPr>
          <w:rFonts w:hint="eastAsia" w:ascii="宋体" w:hAnsi="宋体" w:eastAsia="宋体" w:cs="宋体"/>
          <w:kern w:val="0"/>
          <w:szCs w:val="28"/>
          <w:lang w:eastAsia="zh-CN"/>
        </w:rPr>
        <w:t>三</w:t>
      </w:r>
      <w:r>
        <w:rPr>
          <w:rFonts w:hint="eastAsia" w:ascii="宋体" w:hAnsi="宋体" w:eastAsia="宋体" w:cs="宋体"/>
          <w:kern w:val="0"/>
          <w:szCs w:val="28"/>
        </w:rPr>
        <w:t>、其他</w:t>
      </w:r>
    </w:p>
    <w:p>
      <w:pPr>
        <w:tabs>
          <w:tab w:val="left" w:pos="735"/>
        </w:tabs>
        <w:spacing w:after="100" w:line="360" w:lineRule="auto"/>
        <w:ind w:firstLine="400"/>
        <w:rPr>
          <w:rFonts w:ascii="宋体" w:hAnsi="宋体" w:cs="宋体"/>
          <w:color w:val="000000"/>
          <w:kern w:val="0"/>
          <w:sz w:val="24"/>
          <w:lang w:bidi="zh-TW"/>
        </w:rPr>
      </w:pPr>
      <w:r>
        <w:rPr>
          <w:rFonts w:hint="eastAsia" w:ascii="宋体" w:hAnsi="宋体" w:cs="宋体"/>
          <w:color w:val="000000"/>
          <w:kern w:val="0"/>
          <w:sz w:val="24"/>
          <w:lang w:bidi="zh-TW"/>
        </w:rPr>
        <w:t>（一）用户需求书与相关考核文件要求不一致的，以用户需求书为准。</w:t>
      </w:r>
    </w:p>
    <w:p>
      <w:pPr>
        <w:tabs>
          <w:tab w:val="left" w:pos="735"/>
        </w:tabs>
        <w:spacing w:after="100" w:line="360" w:lineRule="auto"/>
        <w:ind w:firstLine="400"/>
        <w:rPr>
          <w:rFonts w:ascii="宋体" w:hAnsi="宋体" w:cs="宋体"/>
          <w:color w:val="000000"/>
          <w:kern w:val="0"/>
          <w:sz w:val="24"/>
          <w:lang w:bidi="zh-TW"/>
        </w:rPr>
      </w:pPr>
      <w:r>
        <w:rPr>
          <w:rFonts w:hint="eastAsia" w:ascii="宋体" w:hAnsi="宋体" w:cs="宋体"/>
          <w:color w:val="000000"/>
          <w:kern w:val="0"/>
          <w:sz w:val="24"/>
          <w:lang w:bidi="zh-TW"/>
        </w:rPr>
        <w:t>（二）本项目最终结算金额，不超过合同总价，若超过合同总价的按采购法和相关规定实施。如采购法规定额度有调整，具体按采购法和相关规定实施。</w:t>
      </w:r>
    </w:p>
    <w:p>
      <w:pPr>
        <w:tabs>
          <w:tab w:val="left" w:pos="735"/>
        </w:tabs>
        <w:spacing w:after="100" w:line="360" w:lineRule="auto"/>
        <w:ind w:firstLine="400"/>
        <w:rPr>
          <w:rFonts w:ascii="宋体" w:hAnsi="宋体" w:cs="宋体"/>
          <w:color w:val="000000"/>
          <w:kern w:val="0"/>
          <w:sz w:val="24"/>
          <w:lang w:val="zh-TW" w:eastAsia="zh-TW" w:bidi="zh-TW"/>
        </w:rPr>
      </w:pPr>
      <w:r>
        <w:rPr>
          <w:rFonts w:hint="eastAsia" w:ascii="宋体" w:hAnsi="宋体" w:cs="宋体"/>
          <w:color w:val="000000"/>
          <w:kern w:val="0"/>
          <w:sz w:val="24"/>
          <w:lang w:val="zh-TW" w:bidi="zh-TW"/>
        </w:rPr>
        <w:t>（三）</w:t>
      </w:r>
      <w:r>
        <w:rPr>
          <w:rFonts w:ascii="宋体" w:hAnsi="宋体" w:cs="宋体"/>
          <w:color w:val="000000"/>
          <w:kern w:val="0"/>
          <w:sz w:val="24"/>
          <w:lang w:val="zh-TW" w:eastAsia="zh-TW" w:bidi="zh-TW"/>
        </w:rPr>
        <w:t>合同未尽事宜，双方可根据实际情况另行签订补充协议。补充协议和本合同具有同等效力。</w:t>
      </w:r>
    </w:p>
    <w:p>
      <w:pPr>
        <w:tabs>
          <w:tab w:val="left" w:pos="735"/>
        </w:tabs>
        <w:spacing w:after="100" w:line="360" w:lineRule="auto"/>
        <w:ind w:firstLine="400"/>
        <w:jc w:val="left"/>
        <w:rPr>
          <w:rFonts w:ascii="宋体" w:hAnsi="宋体" w:cs="宋体"/>
          <w:color w:val="000000"/>
          <w:kern w:val="0"/>
          <w:sz w:val="24"/>
          <w:lang w:val="zh-TW" w:eastAsia="zh-TW" w:bidi="zh-TW"/>
        </w:rPr>
      </w:pPr>
      <w:r>
        <w:rPr>
          <w:rFonts w:hint="eastAsia" w:ascii="宋体" w:hAnsi="宋体" w:cs="宋体"/>
          <w:color w:val="000000"/>
          <w:kern w:val="0"/>
          <w:sz w:val="24"/>
          <w:lang w:val="zh-TW" w:bidi="zh-TW"/>
        </w:rPr>
        <w:t>（四）</w:t>
      </w:r>
      <w:r>
        <w:rPr>
          <w:rFonts w:ascii="宋体" w:hAnsi="宋体" w:cs="宋体"/>
          <w:color w:val="000000"/>
          <w:kern w:val="0"/>
          <w:sz w:val="24"/>
          <w:lang w:val="zh-TW" w:eastAsia="zh-TW" w:bidi="zh-TW"/>
        </w:rPr>
        <w:t>执行期内，如遇不可抗力，致使本合同无法履行的，双方应按有关法律法规及时协商处理。</w:t>
      </w:r>
    </w:p>
    <w:p>
      <w:pPr>
        <w:spacing w:line="360" w:lineRule="auto"/>
        <w:ind w:firstLine="480" w:firstLineChars="200"/>
        <w:jc w:val="left"/>
      </w:pPr>
      <w:r>
        <w:rPr>
          <w:rFonts w:hint="eastAsia" w:ascii="宋体" w:hAnsi="宋体" w:cs="宋体"/>
          <w:color w:val="000000"/>
          <w:kern w:val="0"/>
          <w:sz w:val="24"/>
          <w:lang w:val="zh-TW" w:bidi="zh-TW"/>
        </w:rPr>
        <w:t>（五）</w:t>
      </w:r>
      <w:r>
        <w:rPr>
          <w:rFonts w:ascii="宋体" w:hAnsi="宋体" w:cs="宋体"/>
          <w:color w:val="000000"/>
          <w:kern w:val="0"/>
          <w:sz w:val="24"/>
          <w:lang w:val="zh-TW" w:eastAsia="zh-TW" w:bidi="zh-TW"/>
        </w:rPr>
        <w:t>在履行中如发生争议，双方应协商解决或报上级主管部门调解，协商或调解不成的，可以按第十</w:t>
      </w:r>
      <w:r>
        <w:rPr>
          <w:rFonts w:hint="eastAsia" w:ascii="宋体" w:hAnsi="宋体" w:cs="宋体"/>
          <w:color w:val="000000"/>
          <w:kern w:val="0"/>
          <w:sz w:val="24"/>
          <w:lang w:val="zh-TW" w:bidi="zh-TW"/>
        </w:rPr>
        <w:t>一</w:t>
      </w:r>
      <w:r>
        <w:rPr>
          <w:rFonts w:ascii="宋体" w:hAnsi="宋体" w:cs="宋体"/>
          <w:color w:val="000000"/>
          <w:kern w:val="0"/>
          <w:sz w:val="24"/>
          <w:lang w:val="zh-TW" w:eastAsia="zh-TW" w:bidi="zh-TW"/>
        </w:rPr>
        <w:t>条争议解决方式执行。由此支出的所有费用（包括但不限于律师费、诉讼费、差旅费、鉴定费、评估费等一切费用）由败诉方承担。</w:t>
      </w:r>
    </w:p>
    <w:p/>
    <w:p>
      <w:pPr>
        <w:pStyle w:val="2"/>
      </w:pPr>
    </w:p>
    <w:tbl>
      <w:tblPr>
        <w:tblStyle w:val="11"/>
        <w:tblpPr w:leftFromText="180" w:rightFromText="180" w:vertAnchor="text" w:horzAnchor="page" w:tblpX="719" w:tblpY="50"/>
        <w:tblOverlap w:val="never"/>
        <w:tblW w:w="10338" w:type="dxa"/>
        <w:tblInd w:w="0" w:type="dxa"/>
        <w:tblLayout w:type="fixed"/>
        <w:tblCellMar>
          <w:top w:w="0" w:type="dxa"/>
          <w:left w:w="108" w:type="dxa"/>
          <w:bottom w:w="0" w:type="dxa"/>
          <w:right w:w="108" w:type="dxa"/>
        </w:tblCellMar>
      </w:tblPr>
      <w:tblGrid>
        <w:gridCol w:w="613"/>
        <w:gridCol w:w="1137"/>
        <w:gridCol w:w="638"/>
        <w:gridCol w:w="6637"/>
        <w:gridCol w:w="663"/>
        <w:gridCol w:w="650"/>
      </w:tblGrid>
      <w:tr>
        <w:tblPrEx>
          <w:tblCellMar>
            <w:top w:w="0" w:type="dxa"/>
            <w:left w:w="108" w:type="dxa"/>
            <w:bottom w:w="0" w:type="dxa"/>
            <w:right w:w="108" w:type="dxa"/>
          </w:tblCellMar>
        </w:tblPrEx>
        <w:trPr>
          <w:trHeight w:val="765" w:hRule="atLeast"/>
        </w:trPr>
        <w:tc>
          <w:tcPr>
            <w:tcW w:w="10338" w:type="dxa"/>
            <w:gridSpan w:val="6"/>
            <w:tcBorders>
              <w:top w:val="nil"/>
              <w:left w:val="nil"/>
              <w:bottom w:val="nil"/>
              <w:right w:val="nil"/>
            </w:tcBorders>
            <w:vAlign w:val="center"/>
          </w:tcPr>
          <w:p>
            <w:pPr>
              <w:widowControl/>
              <w:jc w:val="left"/>
              <w:rPr>
                <w:rFonts w:ascii="宋体" w:hAnsi="宋体" w:cs="宋体"/>
                <w:b/>
                <w:bCs/>
                <w:kern w:val="0"/>
                <w:sz w:val="18"/>
                <w:szCs w:val="18"/>
              </w:rPr>
            </w:pPr>
            <w:r>
              <w:rPr>
                <w:rFonts w:hint="eastAsia" w:ascii="宋体" w:hAnsi="宋体" w:cs="宋体"/>
                <w:sz w:val="18"/>
                <w:szCs w:val="18"/>
              </w:rPr>
              <w:t>附件1：</w:t>
            </w:r>
            <w:r>
              <w:rPr>
                <w:rFonts w:hint="eastAsia" w:ascii="宋体" w:hAnsi="宋体" w:cs="宋体"/>
                <w:b/>
                <w:bCs/>
                <w:kern w:val="0"/>
                <w:sz w:val="18"/>
                <w:szCs w:val="18"/>
              </w:rPr>
              <w:t>服务类履约评分细则</w:t>
            </w:r>
          </w:p>
        </w:tc>
      </w:tr>
      <w:tr>
        <w:tblPrEx>
          <w:tblCellMar>
            <w:top w:w="0" w:type="dxa"/>
            <w:left w:w="108" w:type="dxa"/>
            <w:bottom w:w="0" w:type="dxa"/>
            <w:right w:w="108" w:type="dxa"/>
          </w:tblCellMar>
        </w:tblPrEx>
        <w:trPr>
          <w:trHeight w:val="418" w:hRule="atLeast"/>
        </w:trPr>
        <w:tc>
          <w:tcPr>
            <w:tcW w:w="6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1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分项内容</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分值</w:t>
            </w:r>
          </w:p>
        </w:tc>
        <w:tc>
          <w:tcPr>
            <w:tcW w:w="66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     价     标     准</w:t>
            </w: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打分</w:t>
            </w:r>
          </w:p>
        </w:tc>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说明</w:t>
            </w:r>
          </w:p>
        </w:tc>
      </w:tr>
      <w:tr>
        <w:tblPrEx>
          <w:tblCellMar>
            <w:top w:w="0" w:type="dxa"/>
            <w:left w:w="108" w:type="dxa"/>
            <w:bottom w:w="0" w:type="dxa"/>
            <w:right w:w="108" w:type="dxa"/>
          </w:tblCellMar>
        </w:tblPrEx>
        <w:trPr>
          <w:trHeight w:val="312" w:hRule="atLeast"/>
        </w:trPr>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人员配备</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15</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558"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37" w:type="dxa"/>
            <w:tcBorders>
              <w:top w:val="nil"/>
              <w:left w:val="nil"/>
              <w:bottom w:val="single" w:color="auto" w:sz="4" w:space="0"/>
              <w:right w:val="single" w:color="auto" w:sz="4" w:space="0"/>
            </w:tcBorders>
            <w:vAlign w:val="center"/>
          </w:tcPr>
          <w:p>
            <w:pPr>
              <w:widowControl/>
              <w:jc w:val="center"/>
              <w:rPr>
                <w:sz w:val="18"/>
                <w:szCs w:val="21"/>
              </w:rPr>
            </w:pPr>
            <w:r>
              <w:rPr>
                <w:rFonts w:hint="eastAsia" w:ascii="宋体" w:hAnsi="宋体" w:cs="宋体"/>
                <w:kern w:val="0"/>
                <w:sz w:val="18"/>
                <w:szCs w:val="18"/>
              </w:rPr>
              <w:t>项目负责人要求</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637" w:type="dxa"/>
            <w:tcBorders>
              <w:top w:val="nil"/>
              <w:left w:val="nil"/>
              <w:bottom w:val="single" w:color="auto" w:sz="4" w:space="0"/>
              <w:right w:val="single" w:color="auto" w:sz="4" w:space="0"/>
            </w:tcBorders>
            <w:vAlign w:val="center"/>
          </w:tcPr>
          <w:p>
            <w:pPr>
              <w:widowControl/>
              <w:jc w:val="left"/>
              <w:rPr>
                <w:sz w:val="18"/>
                <w:szCs w:val="21"/>
              </w:rPr>
            </w:pPr>
            <w:r>
              <w:rPr>
                <w:rFonts w:hint="eastAsia"/>
                <w:sz w:val="18"/>
                <w:szCs w:val="21"/>
              </w:rPr>
              <w:t>1、优秀</w:t>
            </w:r>
            <w:r>
              <w:rPr>
                <w:rFonts w:hint="eastAsia"/>
                <w:sz w:val="18"/>
                <w:szCs w:val="21"/>
                <w:u w:val="single"/>
              </w:rPr>
              <w:t xml:space="preserve">  5  </w:t>
            </w:r>
            <w:r>
              <w:rPr>
                <w:rFonts w:hint="eastAsia"/>
                <w:sz w:val="18"/>
                <w:szCs w:val="21"/>
              </w:rPr>
              <w:t>分：配备的项目负责人固定且符合要求，具备突出的专业技术能力，能够积极主动指导本项目总体工作；</w:t>
            </w:r>
          </w:p>
          <w:p>
            <w:pPr>
              <w:rPr>
                <w:sz w:val="18"/>
                <w:szCs w:val="21"/>
              </w:rPr>
            </w:pPr>
            <w:r>
              <w:rPr>
                <w:rFonts w:hint="eastAsia"/>
                <w:sz w:val="18"/>
                <w:szCs w:val="21"/>
              </w:rPr>
              <w:t>2、良好</w:t>
            </w:r>
            <w:r>
              <w:rPr>
                <w:rFonts w:hint="eastAsia"/>
                <w:sz w:val="18"/>
                <w:szCs w:val="21"/>
                <w:u w:val="single"/>
              </w:rPr>
              <w:t xml:space="preserve">  4  </w:t>
            </w:r>
            <w:r>
              <w:rPr>
                <w:rFonts w:hint="eastAsia"/>
                <w:sz w:val="18"/>
                <w:szCs w:val="21"/>
              </w:rPr>
              <w:t>分：配备的项目负责人固定且符合要求，具备较突出的专业技术能力，基本能够积极主动指导本项目总体工作；</w:t>
            </w:r>
          </w:p>
          <w:p>
            <w:pPr>
              <w:rPr>
                <w:sz w:val="18"/>
                <w:szCs w:val="21"/>
              </w:rPr>
            </w:pPr>
            <w:r>
              <w:rPr>
                <w:rFonts w:hint="eastAsia"/>
                <w:sz w:val="18"/>
                <w:szCs w:val="21"/>
              </w:rPr>
              <w:t>3、合格</w:t>
            </w:r>
            <w:r>
              <w:rPr>
                <w:rFonts w:hint="eastAsia"/>
                <w:sz w:val="18"/>
                <w:szCs w:val="21"/>
                <w:u w:val="single"/>
              </w:rPr>
              <w:t xml:space="preserve">  3  </w:t>
            </w:r>
            <w:r>
              <w:rPr>
                <w:rFonts w:hint="eastAsia"/>
                <w:sz w:val="18"/>
                <w:szCs w:val="21"/>
              </w:rPr>
              <w:t xml:space="preserve">分：配备的项目负责人固定且符合要求，具备基本的专业技术能力，能够指导本项目总体工作；                                                             </w:t>
            </w:r>
          </w:p>
          <w:p>
            <w:pPr>
              <w:widowControl/>
              <w:jc w:val="left"/>
              <w:rPr>
                <w:rFonts w:ascii="宋体" w:hAnsi="宋体" w:cs="宋体"/>
                <w:kern w:val="0"/>
                <w:sz w:val="18"/>
                <w:szCs w:val="18"/>
              </w:rPr>
            </w:pPr>
            <w:r>
              <w:rPr>
                <w:rFonts w:hint="eastAsia"/>
                <w:sz w:val="18"/>
                <w:szCs w:val="21"/>
              </w:rPr>
              <w:t>4、不合格</w:t>
            </w:r>
            <w:r>
              <w:rPr>
                <w:rFonts w:hint="eastAsia"/>
                <w:sz w:val="18"/>
                <w:szCs w:val="21"/>
                <w:u w:val="single"/>
              </w:rPr>
              <w:t xml:space="preserve">  2  </w:t>
            </w:r>
            <w:r>
              <w:rPr>
                <w:rFonts w:hint="eastAsia"/>
                <w:sz w:val="18"/>
                <w:szCs w:val="21"/>
              </w:rPr>
              <w:t>分：配备的项目负责人不固定、不符合要求或不能够指导本项目总体工作。</w:t>
            </w:r>
            <w:r>
              <w:rPr>
                <w:rFonts w:hint="eastAsia" w:ascii="宋体" w:hAnsi="宋体" w:cs="宋体"/>
                <w:kern w:val="0"/>
                <w:sz w:val="18"/>
                <w:szCs w:val="18"/>
              </w:rPr>
              <w:t xml:space="preserve">                          </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816"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现场技术负责人要求</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5  </w:t>
            </w:r>
            <w:r>
              <w:rPr>
                <w:rFonts w:hint="eastAsia" w:ascii="宋体" w:hAnsi="宋体" w:cs="宋体"/>
                <w:kern w:val="0"/>
                <w:sz w:val="18"/>
                <w:szCs w:val="18"/>
              </w:rPr>
              <w:t>分：配备的现场技术负责人固定且符合要求，具有高度责任心、优秀的组织协调能力和专业的业务水平；</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4 </w:t>
            </w:r>
            <w:r>
              <w:rPr>
                <w:rFonts w:hint="eastAsia" w:ascii="宋体" w:hAnsi="宋体" w:cs="宋体"/>
                <w:kern w:val="0"/>
                <w:sz w:val="18"/>
                <w:szCs w:val="18"/>
              </w:rPr>
              <w:t>分：配备的现场技术负责人固定且符合要求，具有一定责任心、良好的组织协调能力和较专业的业务水平；</w:t>
            </w:r>
          </w:p>
          <w:p>
            <w:pPr>
              <w:widowControl/>
              <w:jc w:val="left"/>
              <w:rPr>
                <w:rFonts w:ascii="宋体" w:hAnsi="宋体" w:cs="宋体"/>
                <w:kern w:val="0"/>
                <w:sz w:val="18"/>
                <w:szCs w:val="18"/>
              </w:rPr>
            </w:pPr>
            <w:r>
              <w:rPr>
                <w:rFonts w:hint="eastAsia" w:ascii="宋体" w:hAnsi="宋体" w:cs="宋体"/>
                <w:kern w:val="0"/>
                <w:sz w:val="18"/>
                <w:szCs w:val="18"/>
              </w:rPr>
              <w:t>3、合格</w:t>
            </w:r>
            <w:r>
              <w:rPr>
                <w:rFonts w:hint="eastAsia" w:ascii="宋体" w:hAnsi="宋体" w:cs="宋体"/>
                <w:kern w:val="0"/>
                <w:sz w:val="18"/>
                <w:szCs w:val="18"/>
                <w:u w:val="single"/>
              </w:rPr>
              <w:t xml:space="preserve">  3 </w:t>
            </w:r>
            <w:r>
              <w:rPr>
                <w:rFonts w:hint="eastAsia" w:ascii="宋体" w:hAnsi="宋体" w:cs="宋体"/>
                <w:kern w:val="0"/>
                <w:sz w:val="18"/>
                <w:szCs w:val="18"/>
              </w:rPr>
              <w:t xml:space="preserve">分：配备的现场技术负责人固定且符合要求，具有基本的责任心、组织协调能力和业务水平；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2  </w:t>
            </w:r>
            <w:r>
              <w:rPr>
                <w:rFonts w:hint="eastAsia" w:ascii="宋体" w:hAnsi="宋体" w:cs="宋体"/>
                <w:kern w:val="0"/>
                <w:sz w:val="18"/>
                <w:szCs w:val="18"/>
              </w:rPr>
              <w:t>分：配备的现场负责人不固定、不符合要求或不具有责任心、组织协调能力和业务水平。</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816"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驻场人员要求</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637" w:type="dxa"/>
            <w:tcBorders>
              <w:top w:val="nil"/>
              <w:left w:val="nil"/>
              <w:bottom w:val="single" w:color="auto" w:sz="4" w:space="0"/>
              <w:right w:val="single" w:color="auto" w:sz="4" w:space="0"/>
            </w:tcBorders>
            <w:vAlign w:val="center"/>
          </w:tcPr>
          <w:p>
            <w:pPr>
              <w:jc w:val="left"/>
              <w:rPr>
                <w:sz w:val="18"/>
                <w:szCs w:val="21"/>
              </w:rPr>
            </w:pPr>
            <w:r>
              <w:rPr>
                <w:rFonts w:hint="eastAsia"/>
                <w:sz w:val="18"/>
                <w:szCs w:val="21"/>
              </w:rPr>
              <w:t xml:space="preserve">1、优秀  5 分：配备的驻场技术人员数量及专业符合要求，专业技术能力强，且出勤率达100%；   </w:t>
            </w:r>
          </w:p>
          <w:p>
            <w:pPr>
              <w:jc w:val="left"/>
              <w:rPr>
                <w:sz w:val="18"/>
                <w:szCs w:val="21"/>
              </w:rPr>
            </w:pPr>
            <w:r>
              <w:rPr>
                <w:rFonts w:hint="eastAsia"/>
                <w:sz w:val="18"/>
                <w:szCs w:val="21"/>
              </w:rPr>
              <w:t xml:space="preserve">2、良好  4 分：配备的驻场技术人员数量及专业符合要求，专业技术能力较强，且出勤率达90%；  </w:t>
            </w:r>
          </w:p>
          <w:p>
            <w:pPr>
              <w:jc w:val="left"/>
              <w:rPr>
                <w:sz w:val="18"/>
                <w:szCs w:val="21"/>
              </w:rPr>
            </w:pPr>
            <w:r>
              <w:rPr>
                <w:rFonts w:hint="eastAsia"/>
                <w:sz w:val="18"/>
                <w:szCs w:val="21"/>
              </w:rPr>
              <w:t>3、合格  3 分：配备的驻场技术人员数量及专业符合要求，专业技术能力一般，且出勤率达80%；                                                                                                 4、不合格 2  分：配备的驻场技术人员数量及专业不符合要求、不具备专业技术能力或出勤率低于80%。</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0" w:hRule="atLeast"/>
        </w:trPr>
        <w:tc>
          <w:tcPr>
            <w:tcW w:w="61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二</w:t>
            </w:r>
          </w:p>
        </w:tc>
        <w:tc>
          <w:tcPr>
            <w:tcW w:w="113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履约质量</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70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864"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海绵城市建设日常技术服务</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分：能够认真主动、及时地完成海绵城市建设项目滚动编报工作，按时完成全部月度、季度、年度报告；</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 xml:space="preserve">分：能够认真主动地完成海绵城市建设项目滚动编报工作，按时完成月度、季度、年度报告的次数不低于4次；                                                                                       </w:t>
            </w:r>
            <w:r>
              <w:rPr>
                <w:rFonts w:hint="eastAsia" w:ascii="宋体" w:hAnsi="宋体" w:cs="宋体"/>
                <w:kern w:val="0"/>
                <w:sz w:val="18"/>
                <w:szCs w:val="18"/>
              </w:rPr>
              <w:br w:type="textWrapping"/>
            </w:r>
            <w:r>
              <w:rPr>
                <w:rFonts w:hint="eastAsia" w:ascii="宋体" w:hAnsi="宋体" w:cs="宋体"/>
                <w:kern w:val="0"/>
                <w:sz w:val="18"/>
                <w:szCs w:val="18"/>
              </w:rPr>
              <w:t>2、合格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分：能够认真主动地完成海绵城市建设项目滚动编报工作，按时完成月度、季度、年度报告的次数为3次；             </w:t>
            </w:r>
            <w:r>
              <w:rPr>
                <w:rFonts w:hint="eastAsia" w:ascii="宋体" w:hAnsi="宋体" w:cs="宋体"/>
                <w:kern w:val="0"/>
                <w:sz w:val="18"/>
                <w:szCs w:val="18"/>
              </w:rPr>
              <w:br w:type="textWrapping"/>
            </w:r>
            <w:r>
              <w:rPr>
                <w:rFonts w:hint="eastAsia" w:ascii="宋体" w:hAnsi="宋体" w:cs="宋体"/>
                <w:kern w:val="0"/>
                <w:sz w:val="18"/>
                <w:szCs w:val="18"/>
              </w:rPr>
              <w:t>3、不合格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分：不能够及时完成海绵城市建设项目滚动编报工作，按时完成月度、季度、年度报告的次数低于3次。</w:t>
            </w:r>
          </w:p>
        </w:tc>
        <w:tc>
          <w:tcPr>
            <w:tcW w:w="66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804"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建设项目海绵城市专项方案技术审查服务</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 xml:space="preserve">分：能够认真主动、及时地完成设计方案审查的各项工作，按时提交技术审查报告； </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 xml:space="preserve">分：能够认真主动地完成设计方案审查的各项工作，按时提交技术审查报告的频率高于80%；                   </w:t>
            </w:r>
            <w:r>
              <w:rPr>
                <w:rFonts w:hint="eastAsia" w:ascii="宋体" w:hAnsi="宋体" w:cs="宋体"/>
                <w:kern w:val="0"/>
                <w:sz w:val="18"/>
                <w:szCs w:val="18"/>
              </w:rPr>
              <w:br w:type="textWrapping"/>
            </w:r>
            <w:r>
              <w:rPr>
                <w:rFonts w:hint="eastAsia" w:ascii="宋体" w:hAnsi="宋体" w:cs="宋体"/>
                <w:kern w:val="0"/>
                <w:sz w:val="18"/>
                <w:szCs w:val="18"/>
              </w:rPr>
              <w:t>3、合格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分：能够认真地完成设计方案审查的各项工作，按时提交技术审查报告的频率高于60%（含）；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分：不能够及时完成设计方案审查的各项工作，按时提交技术审查报告的频率低于60%。</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80"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建设项目海绵城市专项施工现场巡查指导服务</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分：能够认真主动地完成海绵城市建设项目现场巡查指导并全部按时提交月度巡查报告；</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 xml:space="preserve">分：基本能够认真主动地完成海绵城市建设项目现场巡查指导，按时提交的月度巡查报告次数为4次；                 </w:t>
            </w:r>
            <w:r>
              <w:rPr>
                <w:rFonts w:hint="eastAsia" w:ascii="宋体" w:hAnsi="宋体" w:cs="宋体"/>
                <w:kern w:val="0"/>
                <w:sz w:val="18"/>
                <w:szCs w:val="18"/>
              </w:rPr>
              <w:br w:type="textWrapping"/>
            </w:r>
            <w:r>
              <w:rPr>
                <w:rFonts w:hint="eastAsia" w:ascii="宋体" w:hAnsi="宋体" w:cs="宋体"/>
                <w:kern w:val="0"/>
                <w:sz w:val="18"/>
                <w:szCs w:val="18"/>
              </w:rPr>
              <w:t>3、合格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分：能够完成海绵城市建设项目现场巡查指导，按时提交的月度巡查报告次数为3次；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分：不能够完成海绵城市建设项目现场巡查指导，按时提交月度巡查报告的次数少于3次。</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584"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建设项目海绵城市专项验收服务</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 xml:space="preserve">分：能够严格地依照有关法律、法规、技术标准及相关文件进行审核验收工作，按时提交验收意见； </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 xml:space="preserve">分：能够基本依照有关法律、法规、技术标准及相关文件进行审核验收工作，按时提交验收意见的频率高于80%；                                                                                                                                                                       </w:t>
            </w:r>
            <w:r>
              <w:rPr>
                <w:rFonts w:hint="eastAsia" w:ascii="宋体" w:hAnsi="宋体" w:cs="宋体"/>
                <w:kern w:val="0"/>
                <w:sz w:val="18"/>
                <w:szCs w:val="18"/>
              </w:rPr>
              <w:br w:type="textWrapping"/>
            </w:r>
            <w:r>
              <w:rPr>
                <w:rFonts w:hint="eastAsia" w:ascii="宋体" w:hAnsi="宋体" w:cs="宋体"/>
                <w:kern w:val="0"/>
                <w:sz w:val="18"/>
                <w:szCs w:val="18"/>
              </w:rPr>
              <w:t>3、合格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分：能够依照有关法律、法规、技术标准及相关文件进行审核验收工作，按时提交验收意见的频率高于60%（含）；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分：不能依照有关法律、法规、技术标准及相关文件进行审核验收工作，按时提交验收意见的频率低于60%。</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680"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海绵城市建设技术培训和宣传服务</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 xml:space="preserve">分：能够认真主动地按合同及用户需求书要求完成技术培训和宣传工作；                  </w:t>
            </w:r>
            <w:r>
              <w:rPr>
                <w:rFonts w:hint="eastAsia" w:ascii="宋体" w:hAnsi="宋体" w:cs="宋体"/>
                <w:kern w:val="0"/>
                <w:sz w:val="18"/>
                <w:szCs w:val="18"/>
              </w:rPr>
              <w:br w:type="textWrapping"/>
            </w: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分：基本能够认真主动地按合同及用户需求书要求完成技术培训和宣传活动；</w:t>
            </w:r>
          </w:p>
          <w:p>
            <w:pPr>
              <w:widowControl/>
              <w:jc w:val="left"/>
              <w:rPr>
                <w:rFonts w:ascii="宋体" w:hAnsi="宋体" w:cs="宋体"/>
                <w:kern w:val="0"/>
                <w:sz w:val="18"/>
                <w:szCs w:val="18"/>
              </w:rPr>
            </w:pPr>
            <w:r>
              <w:rPr>
                <w:rFonts w:hint="eastAsia" w:ascii="宋体" w:hAnsi="宋体" w:cs="宋体"/>
                <w:kern w:val="0"/>
                <w:sz w:val="18"/>
                <w:szCs w:val="18"/>
              </w:rPr>
              <w:t>3、合格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分：能够按合同及用户需求书要求完成技术培训和宣传活动；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分：不能够按合同及用户需求书要求完成技术培训和宣传活动。</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596"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color w:val="FF0000"/>
                <w:kern w:val="0"/>
                <w:sz w:val="18"/>
                <w:szCs w:val="18"/>
              </w:rPr>
            </w:pPr>
            <w:r>
              <w:rPr>
                <w:rFonts w:hint="eastAsia" w:ascii="宋体" w:hAnsi="宋体" w:cs="宋体"/>
                <w:kern w:val="0"/>
                <w:sz w:val="18"/>
                <w:szCs w:val="18"/>
              </w:rPr>
              <w:t>海绵城市年度自评估及工作计划</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 xml:space="preserve">分：能够认真主动地完成用户需求书及合同规定的自评估及工作计划编制工作； </w:t>
            </w:r>
          </w:p>
          <w:p>
            <w:pPr>
              <w:widowControl/>
              <w:jc w:val="left"/>
              <w:rPr>
                <w:rFonts w:ascii="宋体" w:hAnsi="宋体" w:cs="宋体"/>
                <w:color w:val="FF0000"/>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 xml:space="preserve">分：基本能够认真主动地完成用户需求书及合同规定的自评估及工作计划编制工作；                  </w:t>
            </w:r>
            <w:r>
              <w:rPr>
                <w:rFonts w:hint="eastAsia" w:ascii="宋体" w:hAnsi="宋体" w:cs="宋体"/>
                <w:kern w:val="0"/>
                <w:sz w:val="18"/>
                <w:szCs w:val="18"/>
              </w:rPr>
              <w:br w:type="textWrapping"/>
            </w:r>
            <w:r>
              <w:rPr>
                <w:rFonts w:hint="eastAsia" w:ascii="宋体" w:hAnsi="宋体" w:cs="宋体"/>
                <w:kern w:val="0"/>
                <w:sz w:val="18"/>
                <w:szCs w:val="18"/>
              </w:rPr>
              <w:t>3、合格</w:t>
            </w:r>
            <w:r>
              <w:rPr>
                <w:rFonts w:hint="eastAsia" w:ascii="宋体" w:hAnsi="宋体" w:cs="宋体"/>
                <w:kern w:val="0"/>
                <w:sz w:val="18"/>
                <w:szCs w:val="18"/>
                <w:u w:val="single"/>
              </w:rPr>
              <w:t xml:space="preserve">  6 </w:t>
            </w:r>
            <w:r>
              <w:rPr>
                <w:rFonts w:hint="eastAsia" w:ascii="宋体" w:hAnsi="宋体" w:cs="宋体"/>
                <w:kern w:val="0"/>
                <w:sz w:val="18"/>
                <w:szCs w:val="18"/>
              </w:rPr>
              <w:t xml:space="preserve">分：能够完成用户需求书及合同规定的自评估及工作计划编制工作；                        </w:t>
            </w:r>
            <w:r>
              <w:rPr>
                <w:rFonts w:hint="eastAsia" w:ascii="宋体" w:hAnsi="宋体" w:cs="宋体"/>
                <w:kern w:val="0"/>
                <w:sz w:val="18"/>
                <w:szCs w:val="18"/>
              </w:rPr>
              <w:br w:type="textWrapping"/>
            </w:r>
            <w:r>
              <w:rPr>
                <w:rFonts w:hint="eastAsia" w:ascii="宋体" w:hAnsi="宋体" w:cs="宋体"/>
                <w:kern w:val="0"/>
                <w:sz w:val="18"/>
                <w:szCs w:val="18"/>
              </w:rPr>
              <w:t>4、不合格</w:t>
            </w:r>
            <w:r>
              <w:rPr>
                <w:rFonts w:hint="eastAsia" w:ascii="宋体" w:hAnsi="宋体" w:cs="宋体"/>
                <w:kern w:val="0"/>
                <w:sz w:val="18"/>
                <w:szCs w:val="18"/>
                <w:u w:val="single"/>
              </w:rPr>
              <w:t xml:space="preserve">  4 </w:t>
            </w:r>
            <w:r>
              <w:rPr>
                <w:rFonts w:hint="eastAsia" w:ascii="宋体" w:hAnsi="宋体" w:cs="宋体"/>
                <w:kern w:val="0"/>
                <w:sz w:val="18"/>
                <w:szCs w:val="18"/>
              </w:rPr>
              <w:t>分：不能够完成自评估及工作计划编制工作。</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color w:val="FF0000"/>
                <w:kern w:val="0"/>
                <w:sz w:val="18"/>
                <w:szCs w:val="18"/>
              </w:rPr>
            </w:pPr>
            <w:r>
              <w:rPr>
                <w:rFonts w:hint="eastAsia" w:ascii="宋体" w:hAnsi="宋体" w:cs="宋体"/>
                <w:kern w:val="0"/>
                <w:sz w:val="18"/>
                <w:szCs w:val="18"/>
              </w:rPr>
              <w:t>海绵城市建设成效总结</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10 </w:t>
            </w:r>
            <w:r>
              <w:rPr>
                <w:rFonts w:hint="eastAsia" w:ascii="宋体" w:hAnsi="宋体" w:cs="宋体"/>
                <w:kern w:val="0"/>
                <w:sz w:val="18"/>
                <w:szCs w:val="18"/>
              </w:rPr>
              <w:t>分：能够认真主动、及时聚集合作区6年海绵城市建设情况，梳理评价建设成效工作，成果总结亮点突出；</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8 </w:t>
            </w:r>
            <w:r>
              <w:rPr>
                <w:rFonts w:hint="eastAsia" w:ascii="宋体" w:hAnsi="宋体" w:cs="宋体"/>
                <w:kern w:val="0"/>
                <w:sz w:val="18"/>
                <w:szCs w:val="18"/>
              </w:rPr>
              <w:t>分：能够认真主动的聚集合作区6年海绵城市建设情况，梳理评价建设成效工作，成果总结亮点较突出；</w:t>
            </w:r>
          </w:p>
          <w:p>
            <w:pPr>
              <w:pStyle w:val="2"/>
              <w:spacing w:line="240" w:lineRule="auto"/>
              <w:ind w:left="0" w:firstLine="0" w:firstLineChars="0"/>
              <w:rPr>
                <w:rFonts w:hAnsi="宋体" w:cs="宋体"/>
                <w:sz w:val="18"/>
                <w:szCs w:val="18"/>
              </w:rPr>
            </w:pPr>
            <w:r>
              <w:rPr>
                <w:rFonts w:hAnsi="宋体" w:cs="宋体"/>
                <w:snapToGrid/>
                <w:sz w:val="18"/>
                <w:szCs w:val="18"/>
              </w:rPr>
              <w:t>3</w:t>
            </w:r>
            <w:r>
              <w:rPr>
                <w:rFonts w:hint="eastAsia" w:hAnsi="宋体" w:cs="宋体"/>
                <w:snapToGrid/>
                <w:sz w:val="18"/>
                <w:szCs w:val="18"/>
              </w:rPr>
              <w:t>、合格</w:t>
            </w:r>
            <w:r>
              <w:rPr>
                <w:rFonts w:hAnsi="宋体" w:cs="宋体"/>
                <w:snapToGrid/>
                <w:sz w:val="18"/>
                <w:szCs w:val="18"/>
                <w:u w:val="single"/>
              </w:rPr>
              <w:t xml:space="preserve">  6 </w:t>
            </w:r>
            <w:r>
              <w:rPr>
                <w:rFonts w:hint="eastAsia" w:hAnsi="宋体" w:cs="宋体"/>
                <w:snapToGrid/>
                <w:sz w:val="18"/>
                <w:szCs w:val="18"/>
              </w:rPr>
              <w:t>分</w:t>
            </w:r>
            <w:r>
              <w:rPr>
                <w:rFonts w:hint="eastAsia" w:hAnsi="宋体" w:cs="宋体"/>
                <w:sz w:val="18"/>
                <w:szCs w:val="18"/>
              </w:rPr>
              <w:t>：能够聚集合作区6年海绵城市建设情况，梳理评价建设成效工作；</w:t>
            </w:r>
          </w:p>
          <w:p>
            <w:pPr>
              <w:pStyle w:val="2"/>
              <w:spacing w:line="240" w:lineRule="auto"/>
              <w:ind w:left="0" w:firstLine="0" w:firstLineChars="0"/>
              <w:rPr>
                <w:sz w:val="21"/>
                <w:szCs w:val="15"/>
              </w:rPr>
            </w:pPr>
            <w:r>
              <w:rPr>
                <w:rFonts w:hAnsi="宋体" w:cs="宋体"/>
                <w:snapToGrid/>
                <w:sz w:val="18"/>
                <w:szCs w:val="18"/>
              </w:rPr>
              <w:t>4</w:t>
            </w:r>
            <w:r>
              <w:rPr>
                <w:rFonts w:hint="eastAsia" w:hAnsi="宋体" w:cs="宋体"/>
                <w:snapToGrid/>
                <w:sz w:val="18"/>
                <w:szCs w:val="18"/>
              </w:rPr>
              <w:t>、不合格</w:t>
            </w:r>
            <w:r>
              <w:rPr>
                <w:rFonts w:hAnsi="宋体" w:cs="宋体"/>
                <w:snapToGrid/>
                <w:sz w:val="18"/>
                <w:szCs w:val="18"/>
                <w:u w:val="single"/>
              </w:rPr>
              <w:t xml:space="preserve">  4 </w:t>
            </w:r>
            <w:r>
              <w:rPr>
                <w:rFonts w:hint="eastAsia" w:hAnsi="宋体" w:cs="宋体"/>
                <w:snapToGrid/>
                <w:sz w:val="18"/>
                <w:szCs w:val="18"/>
              </w:rPr>
              <w:t>分：不能够聚集合作区</w:t>
            </w:r>
            <w:r>
              <w:rPr>
                <w:rFonts w:hAnsi="宋体" w:cs="宋体"/>
                <w:snapToGrid/>
                <w:sz w:val="18"/>
                <w:szCs w:val="18"/>
              </w:rPr>
              <w:t>6年海绵城市建设情况，梳理评价建设成效工作。</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42" w:hRule="atLeast"/>
        </w:trPr>
        <w:tc>
          <w:tcPr>
            <w:tcW w:w="61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三</w:t>
            </w:r>
          </w:p>
        </w:tc>
        <w:tc>
          <w:tcPr>
            <w:tcW w:w="113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履约配合</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15</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93"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成果提交</w:t>
            </w:r>
          </w:p>
        </w:tc>
        <w:tc>
          <w:tcPr>
            <w:tcW w:w="638"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rPr>
            </w:pPr>
            <w:r>
              <w:rPr>
                <w:rFonts w:hint="default" w:ascii="宋体" w:hAnsi="宋体" w:cs="宋体"/>
                <w:kern w:val="0"/>
                <w:sz w:val="18"/>
                <w:szCs w:val="18"/>
                <w:lang w:val="en-US"/>
              </w:rPr>
              <w:t>10</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w:t>
            </w:r>
            <w:r>
              <w:rPr>
                <w:rFonts w:hint="default" w:ascii="宋体" w:hAnsi="宋体" w:cs="宋体"/>
                <w:kern w:val="0"/>
                <w:sz w:val="18"/>
                <w:szCs w:val="18"/>
                <w:u w:val="single"/>
                <w:lang w:val="en-US"/>
              </w:rPr>
              <w:t>10</w:t>
            </w:r>
            <w:r>
              <w:rPr>
                <w:rFonts w:hint="eastAsia" w:ascii="宋体" w:hAnsi="宋体" w:cs="宋体"/>
                <w:kern w:val="0"/>
                <w:sz w:val="18"/>
                <w:szCs w:val="18"/>
                <w:u w:val="single"/>
              </w:rPr>
              <w:t xml:space="preserve">  </w:t>
            </w:r>
            <w:r>
              <w:rPr>
                <w:rFonts w:hint="eastAsia" w:ascii="宋体" w:hAnsi="宋体" w:cs="宋体"/>
                <w:kern w:val="0"/>
                <w:sz w:val="18"/>
                <w:szCs w:val="18"/>
              </w:rPr>
              <w:t>分：每月按时提交总结报告；</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w:t>
            </w:r>
            <w:r>
              <w:rPr>
                <w:rFonts w:hint="default" w:ascii="宋体" w:hAnsi="宋体" w:cs="宋体"/>
                <w:kern w:val="0"/>
                <w:sz w:val="18"/>
                <w:szCs w:val="18"/>
                <w:u w:val="single"/>
                <w:lang w:val="en-US"/>
              </w:rPr>
              <w:t>8</w:t>
            </w:r>
            <w:r>
              <w:rPr>
                <w:rFonts w:hint="eastAsia" w:ascii="宋体" w:hAnsi="宋体" w:cs="宋体"/>
                <w:kern w:val="0"/>
                <w:sz w:val="18"/>
                <w:szCs w:val="18"/>
                <w:u w:val="single"/>
              </w:rPr>
              <w:t xml:space="preserve">  </w:t>
            </w:r>
            <w:r>
              <w:rPr>
                <w:rFonts w:hint="eastAsia" w:ascii="宋体" w:hAnsi="宋体" w:cs="宋体"/>
                <w:kern w:val="0"/>
                <w:sz w:val="18"/>
                <w:szCs w:val="18"/>
              </w:rPr>
              <w:t xml:space="preserve">分：按时提交总结报告的次数为4次；                                                                                                                    </w:t>
            </w:r>
            <w:r>
              <w:rPr>
                <w:rFonts w:hint="eastAsia" w:ascii="宋体" w:hAnsi="宋体" w:cs="宋体"/>
                <w:kern w:val="0"/>
                <w:sz w:val="18"/>
                <w:szCs w:val="18"/>
              </w:rPr>
              <w:br w:type="textWrapping"/>
            </w:r>
            <w:r>
              <w:rPr>
                <w:rFonts w:hint="eastAsia" w:ascii="宋体" w:hAnsi="宋体" w:cs="宋体"/>
                <w:kern w:val="0"/>
                <w:sz w:val="18"/>
                <w:szCs w:val="18"/>
              </w:rPr>
              <w:t>2、合格</w:t>
            </w:r>
            <w:r>
              <w:rPr>
                <w:rFonts w:hint="eastAsia" w:ascii="宋体" w:hAnsi="宋体" w:cs="宋体"/>
                <w:kern w:val="0"/>
                <w:sz w:val="18"/>
                <w:szCs w:val="18"/>
                <w:u w:val="single"/>
              </w:rPr>
              <w:t xml:space="preserve">  </w:t>
            </w:r>
            <w:r>
              <w:rPr>
                <w:rFonts w:hint="default" w:ascii="宋体" w:hAnsi="宋体" w:cs="宋体"/>
                <w:kern w:val="0"/>
                <w:sz w:val="18"/>
                <w:szCs w:val="18"/>
                <w:u w:val="single"/>
                <w:lang w:val="en-US"/>
              </w:rPr>
              <w:t>6</w:t>
            </w:r>
            <w:r>
              <w:rPr>
                <w:rFonts w:hint="eastAsia" w:ascii="宋体" w:hAnsi="宋体" w:cs="宋体"/>
                <w:kern w:val="0"/>
                <w:sz w:val="18"/>
                <w:szCs w:val="18"/>
                <w:u w:val="single"/>
              </w:rPr>
              <w:t xml:space="preserve">  </w:t>
            </w:r>
            <w:r>
              <w:rPr>
                <w:rFonts w:hint="eastAsia" w:ascii="宋体" w:hAnsi="宋体" w:cs="宋体"/>
                <w:kern w:val="0"/>
                <w:sz w:val="18"/>
                <w:szCs w:val="18"/>
              </w:rPr>
              <w:t xml:space="preserve">分：按时提交总结报告的次数为3次；                                                                     </w:t>
            </w:r>
            <w:r>
              <w:rPr>
                <w:rFonts w:hint="eastAsia" w:ascii="宋体" w:hAnsi="宋体" w:cs="宋体"/>
                <w:kern w:val="0"/>
                <w:sz w:val="18"/>
                <w:szCs w:val="18"/>
              </w:rPr>
              <w:br w:type="textWrapping"/>
            </w:r>
            <w:r>
              <w:rPr>
                <w:rFonts w:hint="eastAsia" w:ascii="宋体" w:hAnsi="宋体" w:cs="宋体"/>
                <w:kern w:val="0"/>
                <w:sz w:val="18"/>
                <w:szCs w:val="18"/>
              </w:rPr>
              <w:t>3、不合格</w:t>
            </w:r>
            <w:r>
              <w:rPr>
                <w:rFonts w:hint="eastAsia" w:ascii="宋体" w:hAnsi="宋体" w:cs="宋体"/>
                <w:kern w:val="0"/>
                <w:sz w:val="18"/>
                <w:szCs w:val="18"/>
                <w:u w:val="single"/>
              </w:rPr>
              <w:t xml:space="preserve">  </w:t>
            </w:r>
            <w:r>
              <w:rPr>
                <w:rFonts w:hint="default" w:ascii="宋体" w:hAnsi="宋体" w:cs="宋体"/>
                <w:kern w:val="0"/>
                <w:sz w:val="18"/>
                <w:szCs w:val="18"/>
                <w:u w:val="single"/>
                <w:lang w:val="en-US"/>
              </w:rPr>
              <w:t>4</w:t>
            </w:r>
            <w:r>
              <w:rPr>
                <w:rFonts w:hint="eastAsia" w:ascii="宋体" w:hAnsi="宋体" w:cs="宋体"/>
                <w:kern w:val="0"/>
                <w:sz w:val="18"/>
                <w:szCs w:val="18"/>
                <w:u w:val="single"/>
              </w:rPr>
              <w:t xml:space="preserve">  </w:t>
            </w:r>
            <w:r>
              <w:rPr>
                <w:rFonts w:hint="eastAsia" w:ascii="宋体" w:hAnsi="宋体" w:cs="宋体"/>
                <w:kern w:val="0"/>
                <w:sz w:val="18"/>
                <w:szCs w:val="18"/>
              </w:rPr>
              <w:t>分：按时提交总结报告的次数低于3次；</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90" w:hRule="atLeast"/>
        </w:trPr>
        <w:tc>
          <w:tcPr>
            <w:tcW w:w="6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13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配合情况</w:t>
            </w:r>
          </w:p>
        </w:tc>
        <w:tc>
          <w:tcPr>
            <w:tcW w:w="63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637"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1、优秀</w:t>
            </w:r>
            <w:r>
              <w:rPr>
                <w:rFonts w:hint="eastAsia" w:ascii="宋体" w:hAnsi="宋体" w:cs="宋体"/>
                <w:kern w:val="0"/>
                <w:sz w:val="18"/>
                <w:szCs w:val="18"/>
                <w:u w:val="single"/>
              </w:rPr>
              <w:t xml:space="preserve">  5  </w:t>
            </w:r>
            <w:r>
              <w:rPr>
                <w:rFonts w:hint="eastAsia" w:ascii="宋体" w:hAnsi="宋体" w:cs="宋体"/>
                <w:kern w:val="0"/>
                <w:sz w:val="18"/>
                <w:szCs w:val="18"/>
              </w:rPr>
              <w:t>分：能够认真主动配合采购人工作；</w:t>
            </w:r>
          </w:p>
          <w:p>
            <w:pPr>
              <w:widowControl/>
              <w:jc w:val="left"/>
              <w:rPr>
                <w:rFonts w:ascii="宋体" w:hAnsi="宋体" w:cs="宋体"/>
                <w:kern w:val="0"/>
                <w:sz w:val="18"/>
                <w:szCs w:val="18"/>
              </w:rPr>
            </w:pPr>
            <w:r>
              <w:rPr>
                <w:rFonts w:hint="eastAsia" w:ascii="宋体" w:hAnsi="宋体" w:cs="宋体"/>
                <w:kern w:val="0"/>
                <w:sz w:val="18"/>
                <w:szCs w:val="18"/>
              </w:rPr>
              <w:t>2、良好</w:t>
            </w:r>
            <w:r>
              <w:rPr>
                <w:rFonts w:hint="eastAsia" w:ascii="宋体" w:hAnsi="宋体" w:cs="宋体"/>
                <w:kern w:val="0"/>
                <w:sz w:val="18"/>
                <w:szCs w:val="18"/>
                <w:u w:val="single"/>
              </w:rPr>
              <w:t xml:space="preserve">  4  </w:t>
            </w:r>
            <w:r>
              <w:rPr>
                <w:rFonts w:hint="eastAsia" w:ascii="宋体" w:hAnsi="宋体" w:cs="宋体"/>
                <w:kern w:val="0"/>
                <w:sz w:val="18"/>
                <w:szCs w:val="18"/>
              </w:rPr>
              <w:t xml:space="preserve">分：基本能够认真主动配合采购人工作；                                                                                                                    </w:t>
            </w:r>
            <w:r>
              <w:rPr>
                <w:rFonts w:hint="eastAsia" w:ascii="宋体" w:hAnsi="宋体" w:cs="宋体"/>
                <w:kern w:val="0"/>
                <w:sz w:val="18"/>
                <w:szCs w:val="18"/>
              </w:rPr>
              <w:br w:type="textWrapping"/>
            </w:r>
            <w:r>
              <w:rPr>
                <w:rFonts w:hint="eastAsia" w:ascii="宋体" w:hAnsi="宋体" w:cs="宋体"/>
                <w:kern w:val="0"/>
                <w:sz w:val="18"/>
                <w:szCs w:val="18"/>
              </w:rPr>
              <w:t>2、合格</w:t>
            </w:r>
            <w:r>
              <w:rPr>
                <w:rFonts w:hint="eastAsia" w:ascii="宋体" w:hAnsi="宋体" w:cs="宋体"/>
                <w:kern w:val="0"/>
                <w:sz w:val="18"/>
                <w:szCs w:val="18"/>
                <w:u w:val="single"/>
              </w:rPr>
              <w:t xml:space="preserve">  3  </w:t>
            </w:r>
            <w:r>
              <w:rPr>
                <w:rFonts w:hint="eastAsia" w:ascii="宋体" w:hAnsi="宋体" w:cs="宋体"/>
                <w:kern w:val="0"/>
                <w:sz w:val="18"/>
                <w:szCs w:val="18"/>
              </w:rPr>
              <w:t xml:space="preserve">分：能够配合采购人工作；                                                                     </w:t>
            </w:r>
            <w:r>
              <w:rPr>
                <w:rFonts w:hint="eastAsia" w:ascii="宋体" w:hAnsi="宋体" w:cs="宋体"/>
                <w:kern w:val="0"/>
                <w:sz w:val="18"/>
                <w:szCs w:val="18"/>
              </w:rPr>
              <w:br w:type="textWrapping"/>
            </w:r>
            <w:r>
              <w:rPr>
                <w:rFonts w:hint="eastAsia" w:ascii="宋体" w:hAnsi="宋体" w:cs="宋体"/>
                <w:kern w:val="0"/>
                <w:sz w:val="18"/>
                <w:szCs w:val="18"/>
              </w:rPr>
              <w:t>3、不合格</w:t>
            </w:r>
            <w:r>
              <w:rPr>
                <w:rFonts w:hint="eastAsia" w:ascii="宋体" w:hAnsi="宋体" w:cs="宋体"/>
                <w:kern w:val="0"/>
                <w:sz w:val="18"/>
                <w:szCs w:val="18"/>
                <w:u w:val="single"/>
              </w:rPr>
              <w:t xml:space="preserve">  2  </w:t>
            </w:r>
            <w:r>
              <w:rPr>
                <w:rFonts w:hint="eastAsia" w:ascii="宋体" w:hAnsi="宋体" w:cs="宋体"/>
                <w:kern w:val="0"/>
                <w:sz w:val="18"/>
                <w:szCs w:val="18"/>
              </w:rPr>
              <w:t>分：不能够配合采购人工作。</w:t>
            </w:r>
          </w:p>
        </w:tc>
        <w:tc>
          <w:tcPr>
            <w:tcW w:w="66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0" w:hRule="atLeast"/>
        </w:trPr>
        <w:tc>
          <w:tcPr>
            <w:tcW w:w="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合  计</w:t>
            </w:r>
          </w:p>
        </w:tc>
        <w:tc>
          <w:tcPr>
            <w:tcW w:w="63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100</w:t>
            </w:r>
          </w:p>
        </w:tc>
        <w:tc>
          <w:tcPr>
            <w:tcW w:w="663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6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widowControl/>
        <w:rPr>
          <w:rFonts w:hAnsi="宋体" w:cs="宋体"/>
          <w:szCs w:val="21"/>
        </w:rPr>
      </w:pPr>
    </w:p>
    <w:sectPr>
      <w:pgSz w:w="11906" w:h="16838"/>
      <w:pgMar w:top="1440" w:right="157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F4E9A"/>
    <w:multiLevelType w:val="singleLevel"/>
    <w:tmpl w:val="C5BF4E9A"/>
    <w:lvl w:ilvl="0" w:tentative="0">
      <w:start w:val="1"/>
      <w:numFmt w:val="decimal"/>
      <w:suff w:val="nothing"/>
      <w:lvlText w:val="%1、"/>
      <w:lvlJc w:val="left"/>
    </w:lvl>
  </w:abstractNum>
  <w:abstractNum w:abstractNumId="1">
    <w:nsid w:val="D3B0FE18"/>
    <w:multiLevelType w:val="singleLevel"/>
    <w:tmpl w:val="D3B0FE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NGE0YWJhMTVjNzRkNWRjMWFiYTUyZGVkNzk5MDMifQ=="/>
  </w:docVars>
  <w:rsids>
    <w:rsidRoot w:val="49F34080"/>
    <w:rsid w:val="00007CEB"/>
    <w:rsid w:val="000337CD"/>
    <w:rsid w:val="00094148"/>
    <w:rsid w:val="001118A7"/>
    <w:rsid w:val="001F74D3"/>
    <w:rsid w:val="002777F5"/>
    <w:rsid w:val="00286DDE"/>
    <w:rsid w:val="002E2EF6"/>
    <w:rsid w:val="00312EB2"/>
    <w:rsid w:val="003504E1"/>
    <w:rsid w:val="003D2A4B"/>
    <w:rsid w:val="003E60B9"/>
    <w:rsid w:val="00434408"/>
    <w:rsid w:val="00504FC1"/>
    <w:rsid w:val="00526211"/>
    <w:rsid w:val="00560548"/>
    <w:rsid w:val="006A43B6"/>
    <w:rsid w:val="006F2FF0"/>
    <w:rsid w:val="006F45FA"/>
    <w:rsid w:val="00721C9E"/>
    <w:rsid w:val="00785581"/>
    <w:rsid w:val="007C42F1"/>
    <w:rsid w:val="00846B8B"/>
    <w:rsid w:val="00877F19"/>
    <w:rsid w:val="008A05D1"/>
    <w:rsid w:val="008A138F"/>
    <w:rsid w:val="00916D8E"/>
    <w:rsid w:val="0094170B"/>
    <w:rsid w:val="00944090"/>
    <w:rsid w:val="00A002B8"/>
    <w:rsid w:val="00A86EFF"/>
    <w:rsid w:val="00AB055C"/>
    <w:rsid w:val="00B0049A"/>
    <w:rsid w:val="00B8092F"/>
    <w:rsid w:val="00B819A0"/>
    <w:rsid w:val="00BB2A7D"/>
    <w:rsid w:val="00BE7109"/>
    <w:rsid w:val="00C47715"/>
    <w:rsid w:val="00C5351D"/>
    <w:rsid w:val="00D050ED"/>
    <w:rsid w:val="00D07F65"/>
    <w:rsid w:val="00D205CD"/>
    <w:rsid w:val="00D61750"/>
    <w:rsid w:val="00DE1DE2"/>
    <w:rsid w:val="00E16F75"/>
    <w:rsid w:val="00E72D76"/>
    <w:rsid w:val="00F258FD"/>
    <w:rsid w:val="00F5624A"/>
    <w:rsid w:val="018362EB"/>
    <w:rsid w:val="01A856FB"/>
    <w:rsid w:val="02315D47"/>
    <w:rsid w:val="02825B3F"/>
    <w:rsid w:val="02C11EF3"/>
    <w:rsid w:val="02D21238"/>
    <w:rsid w:val="02DC3F04"/>
    <w:rsid w:val="035F0C90"/>
    <w:rsid w:val="038C517C"/>
    <w:rsid w:val="03B22EB7"/>
    <w:rsid w:val="059D3E1F"/>
    <w:rsid w:val="05A877CC"/>
    <w:rsid w:val="06563CFA"/>
    <w:rsid w:val="06575DB6"/>
    <w:rsid w:val="06617ABB"/>
    <w:rsid w:val="06B27E8C"/>
    <w:rsid w:val="074402CA"/>
    <w:rsid w:val="077A3CEC"/>
    <w:rsid w:val="07BD5908"/>
    <w:rsid w:val="09181A0E"/>
    <w:rsid w:val="092B5BEF"/>
    <w:rsid w:val="09750994"/>
    <w:rsid w:val="09900DCC"/>
    <w:rsid w:val="0BA24AC6"/>
    <w:rsid w:val="0BB2024E"/>
    <w:rsid w:val="0BD53BE7"/>
    <w:rsid w:val="0C0A3890"/>
    <w:rsid w:val="0C5C444B"/>
    <w:rsid w:val="0CDC6727"/>
    <w:rsid w:val="0D371AE9"/>
    <w:rsid w:val="0E19612F"/>
    <w:rsid w:val="0E572864"/>
    <w:rsid w:val="0E6F3EAD"/>
    <w:rsid w:val="0E7E4FB0"/>
    <w:rsid w:val="0E8A2F6A"/>
    <w:rsid w:val="0F2F360E"/>
    <w:rsid w:val="0F87344A"/>
    <w:rsid w:val="100214D2"/>
    <w:rsid w:val="10256CA9"/>
    <w:rsid w:val="10280686"/>
    <w:rsid w:val="102962AF"/>
    <w:rsid w:val="104C41DB"/>
    <w:rsid w:val="10C304B2"/>
    <w:rsid w:val="112F3D99"/>
    <w:rsid w:val="115B06EA"/>
    <w:rsid w:val="11F33019"/>
    <w:rsid w:val="12AD1419"/>
    <w:rsid w:val="12CD386A"/>
    <w:rsid w:val="13D73992"/>
    <w:rsid w:val="15A15CDB"/>
    <w:rsid w:val="15AF54A9"/>
    <w:rsid w:val="16663DB9"/>
    <w:rsid w:val="16783AEC"/>
    <w:rsid w:val="16EE36AF"/>
    <w:rsid w:val="17514FCE"/>
    <w:rsid w:val="17D64D10"/>
    <w:rsid w:val="181262C4"/>
    <w:rsid w:val="1859527C"/>
    <w:rsid w:val="186B3909"/>
    <w:rsid w:val="186E51A7"/>
    <w:rsid w:val="18A045E2"/>
    <w:rsid w:val="18F25DD8"/>
    <w:rsid w:val="1B4D77D7"/>
    <w:rsid w:val="1B577DA2"/>
    <w:rsid w:val="1B6711AB"/>
    <w:rsid w:val="1C346917"/>
    <w:rsid w:val="1C78744B"/>
    <w:rsid w:val="1C7F4184"/>
    <w:rsid w:val="1D144969"/>
    <w:rsid w:val="1D70551D"/>
    <w:rsid w:val="1DAA32AF"/>
    <w:rsid w:val="1DCD5FE1"/>
    <w:rsid w:val="1E4C5F8A"/>
    <w:rsid w:val="1E5B1377"/>
    <w:rsid w:val="1E894AE9"/>
    <w:rsid w:val="1E8C6528"/>
    <w:rsid w:val="1F0C74C8"/>
    <w:rsid w:val="1F332CA6"/>
    <w:rsid w:val="1F6C3AA4"/>
    <w:rsid w:val="1F95570F"/>
    <w:rsid w:val="20347D76"/>
    <w:rsid w:val="204A64FA"/>
    <w:rsid w:val="20FB50A8"/>
    <w:rsid w:val="22140129"/>
    <w:rsid w:val="222B5EB7"/>
    <w:rsid w:val="2344756C"/>
    <w:rsid w:val="24482291"/>
    <w:rsid w:val="24B76A25"/>
    <w:rsid w:val="24B96862"/>
    <w:rsid w:val="25295D33"/>
    <w:rsid w:val="256604EB"/>
    <w:rsid w:val="2593449F"/>
    <w:rsid w:val="260D5FFF"/>
    <w:rsid w:val="26AA787D"/>
    <w:rsid w:val="26F30DD3"/>
    <w:rsid w:val="26F43D71"/>
    <w:rsid w:val="27377CE9"/>
    <w:rsid w:val="286C7D49"/>
    <w:rsid w:val="28D56B7C"/>
    <w:rsid w:val="29671ECA"/>
    <w:rsid w:val="29B42C36"/>
    <w:rsid w:val="29FC7917"/>
    <w:rsid w:val="2A0E5D72"/>
    <w:rsid w:val="2A4F1336"/>
    <w:rsid w:val="2BB66F76"/>
    <w:rsid w:val="2BC2163A"/>
    <w:rsid w:val="2CEA709A"/>
    <w:rsid w:val="2CEB4BC0"/>
    <w:rsid w:val="2D494E96"/>
    <w:rsid w:val="2D9318EA"/>
    <w:rsid w:val="2E720143"/>
    <w:rsid w:val="2EF36113"/>
    <w:rsid w:val="2FE31C96"/>
    <w:rsid w:val="30872E52"/>
    <w:rsid w:val="30E65DCB"/>
    <w:rsid w:val="31195478"/>
    <w:rsid w:val="312106D4"/>
    <w:rsid w:val="31293F09"/>
    <w:rsid w:val="32036D1A"/>
    <w:rsid w:val="32821B23"/>
    <w:rsid w:val="32CD79A3"/>
    <w:rsid w:val="33270FFF"/>
    <w:rsid w:val="33915228"/>
    <w:rsid w:val="341113B0"/>
    <w:rsid w:val="34BB131C"/>
    <w:rsid w:val="34F94FEA"/>
    <w:rsid w:val="35347E57"/>
    <w:rsid w:val="35753BC1"/>
    <w:rsid w:val="3578720D"/>
    <w:rsid w:val="361C58BB"/>
    <w:rsid w:val="36484E32"/>
    <w:rsid w:val="36B934D6"/>
    <w:rsid w:val="3715740A"/>
    <w:rsid w:val="377F4883"/>
    <w:rsid w:val="379C734C"/>
    <w:rsid w:val="380A6843"/>
    <w:rsid w:val="381476C1"/>
    <w:rsid w:val="386046B4"/>
    <w:rsid w:val="38764CBD"/>
    <w:rsid w:val="388C65B4"/>
    <w:rsid w:val="38A7646A"/>
    <w:rsid w:val="38DA7C73"/>
    <w:rsid w:val="38EF30F5"/>
    <w:rsid w:val="397A3554"/>
    <w:rsid w:val="39947F55"/>
    <w:rsid w:val="3A992100"/>
    <w:rsid w:val="3B583D69"/>
    <w:rsid w:val="3B5D44F4"/>
    <w:rsid w:val="3BBE7A10"/>
    <w:rsid w:val="3C6F5636"/>
    <w:rsid w:val="3C8A1546"/>
    <w:rsid w:val="3CAD3C40"/>
    <w:rsid w:val="3E0E69B8"/>
    <w:rsid w:val="3E2C43F7"/>
    <w:rsid w:val="3EB04EF5"/>
    <w:rsid w:val="3F5A01FC"/>
    <w:rsid w:val="3F7E3672"/>
    <w:rsid w:val="409E2E12"/>
    <w:rsid w:val="40F55BB6"/>
    <w:rsid w:val="410305B7"/>
    <w:rsid w:val="41336B88"/>
    <w:rsid w:val="423D15C3"/>
    <w:rsid w:val="42B83341"/>
    <w:rsid w:val="43805C0B"/>
    <w:rsid w:val="438374A9"/>
    <w:rsid w:val="43981875"/>
    <w:rsid w:val="44643203"/>
    <w:rsid w:val="447C2876"/>
    <w:rsid w:val="455B7A11"/>
    <w:rsid w:val="45767231"/>
    <w:rsid w:val="45943BEF"/>
    <w:rsid w:val="45DD7344"/>
    <w:rsid w:val="462A4554"/>
    <w:rsid w:val="46827EEC"/>
    <w:rsid w:val="46D36999"/>
    <w:rsid w:val="46E44703"/>
    <w:rsid w:val="46FA78FD"/>
    <w:rsid w:val="471F7B3D"/>
    <w:rsid w:val="477A0BC3"/>
    <w:rsid w:val="47AF4D11"/>
    <w:rsid w:val="4814136D"/>
    <w:rsid w:val="48142DC6"/>
    <w:rsid w:val="488B752C"/>
    <w:rsid w:val="48931F3C"/>
    <w:rsid w:val="48B15D8C"/>
    <w:rsid w:val="492C219C"/>
    <w:rsid w:val="49415E3C"/>
    <w:rsid w:val="4966065F"/>
    <w:rsid w:val="499B5CD3"/>
    <w:rsid w:val="49BB5CAE"/>
    <w:rsid w:val="49F34080"/>
    <w:rsid w:val="4A6C0C97"/>
    <w:rsid w:val="4AF13892"/>
    <w:rsid w:val="4B4B6913"/>
    <w:rsid w:val="4B555BCF"/>
    <w:rsid w:val="4BDA3235"/>
    <w:rsid w:val="4C081138"/>
    <w:rsid w:val="4CF95355"/>
    <w:rsid w:val="4D331F40"/>
    <w:rsid w:val="4D643CDA"/>
    <w:rsid w:val="4D7F3682"/>
    <w:rsid w:val="4D990842"/>
    <w:rsid w:val="4DCA5F72"/>
    <w:rsid w:val="4E5D5E44"/>
    <w:rsid w:val="4EF87280"/>
    <w:rsid w:val="4FAB0141"/>
    <w:rsid w:val="50280D8F"/>
    <w:rsid w:val="51426BF5"/>
    <w:rsid w:val="51965F7A"/>
    <w:rsid w:val="52320A18"/>
    <w:rsid w:val="528D20F2"/>
    <w:rsid w:val="52CD6993"/>
    <w:rsid w:val="53851A96"/>
    <w:rsid w:val="5461351A"/>
    <w:rsid w:val="54997C8E"/>
    <w:rsid w:val="55227E41"/>
    <w:rsid w:val="55AC6D33"/>
    <w:rsid w:val="56DC7FCD"/>
    <w:rsid w:val="56F83CE7"/>
    <w:rsid w:val="571B7CCD"/>
    <w:rsid w:val="57783371"/>
    <w:rsid w:val="57C3230D"/>
    <w:rsid w:val="58311772"/>
    <w:rsid w:val="584B45E2"/>
    <w:rsid w:val="58B008E9"/>
    <w:rsid w:val="58D02E43"/>
    <w:rsid w:val="594453FF"/>
    <w:rsid w:val="597818CA"/>
    <w:rsid w:val="5991071A"/>
    <w:rsid w:val="5C8E69B7"/>
    <w:rsid w:val="5D341D56"/>
    <w:rsid w:val="5D6032AE"/>
    <w:rsid w:val="5DA62130"/>
    <w:rsid w:val="5E0A2849"/>
    <w:rsid w:val="5E215E77"/>
    <w:rsid w:val="5EEE216B"/>
    <w:rsid w:val="5F13397F"/>
    <w:rsid w:val="5F8E0A77"/>
    <w:rsid w:val="606079EE"/>
    <w:rsid w:val="60EB4BB4"/>
    <w:rsid w:val="60EC4488"/>
    <w:rsid w:val="61047A23"/>
    <w:rsid w:val="61EE40B9"/>
    <w:rsid w:val="62137073"/>
    <w:rsid w:val="62C628F1"/>
    <w:rsid w:val="6393508F"/>
    <w:rsid w:val="6445282D"/>
    <w:rsid w:val="647629E6"/>
    <w:rsid w:val="648D7E85"/>
    <w:rsid w:val="64AA5237"/>
    <w:rsid w:val="64CA7CEA"/>
    <w:rsid w:val="64CC0C6F"/>
    <w:rsid w:val="64CF0348"/>
    <w:rsid w:val="64E65F95"/>
    <w:rsid w:val="65172D3B"/>
    <w:rsid w:val="6525161F"/>
    <w:rsid w:val="654A5C21"/>
    <w:rsid w:val="65F20792"/>
    <w:rsid w:val="66143F0D"/>
    <w:rsid w:val="662326FA"/>
    <w:rsid w:val="66AA0200"/>
    <w:rsid w:val="66BC2B4E"/>
    <w:rsid w:val="66C35C8B"/>
    <w:rsid w:val="67CC6DC1"/>
    <w:rsid w:val="696E0130"/>
    <w:rsid w:val="6A0E36C1"/>
    <w:rsid w:val="6A1F142A"/>
    <w:rsid w:val="6AF1033A"/>
    <w:rsid w:val="6BB124F6"/>
    <w:rsid w:val="6BDD77EF"/>
    <w:rsid w:val="6C580C23"/>
    <w:rsid w:val="6C691082"/>
    <w:rsid w:val="6CE30E35"/>
    <w:rsid w:val="6D793547"/>
    <w:rsid w:val="6E1206A1"/>
    <w:rsid w:val="6ED21161"/>
    <w:rsid w:val="6F1E6154"/>
    <w:rsid w:val="6F3911E0"/>
    <w:rsid w:val="6F457B85"/>
    <w:rsid w:val="6F863CF9"/>
    <w:rsid w:val="6F9C351D"/>
    <w:rsid w:val="704C4F43"/>
    <w:rsid w:val="709F5073"/>
    <w:rsid w:val="70B13436"/>
    <w:rsid w:val="70B36D61"/>
    <w:rsid w:val="70CB40BA"/>
    <w:rsid w:val="71614A1E"/>
    <w:rsid w:val="72C61959"/>
    <w:rsid w:val="73506AF8"/>
    <w:rsid w:val="73612AB3"/>
    <w:rsid w:val="73A43357"/>
    <w:rsid w:val="745E5245"/>
    <w:rsid w:val="74D21961"/>
    <w:rsid w:val="75BC66C7"/>
    <w:rsid w:val="75D27C98"/>
    <w:rsid w:val="75D7705D"/>
    <w:rsid w:val="75E17EDC"/>
    <w:rsid w:val="76C255EA"/>
    <w:rsid w:val="76FF6603"/>
    <w:rsid w:val="770025E3"/>
    <w:rsid w:val="772C5091"/>
    <w:rsid w:val="77D47CF8"/>
    <w:rsid w:val="789D7871"/>
    <w:rsid w:val="78CF6711"/>
    <w:rsid w:val="78E018B4"/>
    <w:rsid w:val="79010831"/>
    <w:rsid w:val="79140448"/>
    <w:rsid w:val="79921C19"/>
    <w:rsid w:val="79B628C7"/>
    <w:rsid w:val="79ED6E4F"/>
    <w:rsid w:val="7A0378F7"/>
    <w:rsid w:val="7A253220"/>
    <w:rsid w:val="7A401675"/>
    <w:rsid w:val="7ABD3482"/>
    <w:rsid w:val="7BAB5214"/>
    <w:rsid w:val="7BCF3EB0"/>
    <w:rsid w:val="7BFB0FD3"/>
    <w:rsid w:val="7C336FB7"/>
    <w:rsid w:val="7D945CD3"/>
    <w:rsid w:val="7D9B4E14"/>
    <w:rsid w:val="7DB52379"/>
    <w:rsid w:val="7E5A5758"/>
    <w:rsid w:val="7EC23104"/>
    <w:rsid w:val="7EDC56E4"/>
    <w:rsid w:val="7EF32454"/>
    <w:rsid w:val="7F0569E9"/>
    <w:rsid w:val="7F5355D5"/>
    <w:rsid w:val="7F69367F"/>
    <w:rsid w:val="7F7E49ED"/>
    <w:rsid w:val="7FA2692E"/>
    <w:rsid w:val="7FA9066E"/>
    <w:rsid w:val="7FAF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1"/>
    <w:qFormat/>
    <w:uiPriority w:val="0"/>
    <w:pPr>
      <w:keepNext/>
      <w:keepLines/>
      <w:widowControl w:val="0"/>
      <w:tabs>
        <w:tab w:val="left" w:pos="567"/>
      </w:tabs>
      <w:spacing w:line="500" w:lineRule="exact"/>
      <w:ind w:left="567" w:hanging="567"/>
      <w:jc w:val="center"/>
      <w:outlineLvl w:val="1"/>
    </w:pPr>
    <w:rPr>
      <w:rFonts w:ascii="Arial" w:hAnsi="Arial" w:eastAsia="仿宋_GB2312" w:cs="Times New Roman"/>
      <w:b/>
      <w:bCs/>
      <w:kern w:val="2"/>
      <w:sz w:val="28"/>
      <w:szCs w:val="3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line="312" w:lineRule="atLeast"/>
      <w:ind w:left="420"/>
      <w:jc w:val="both"/>
      <w:textAlignment w:val="baseline"/>
    </w:pPr>
    <w:rPr>
      <w:rFonts w:ascii="宋体" w:hAnsi="Times New Roman" w:eastAsia="宋体" w:cs="Times New Roman"/>
      <w:snapToGrid w:val="0"/>
      <w:sz w:val="24"/>
      <w:szCs w:val="18"/>
      <w:lang w:val="en-US" w:eastAsia="zh-CN" w:bidi="ar-SA"/>
    </w:rPr>
  </w:style>
  <w:style w:type="paragraph" w:styleId="3">
    <w:name w:val="Body Text Indent"/>
    <w:basedOn w:val="1"/>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5">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annotation text"/>
    <w:link w:val="19"/>
    <w:qFormat/>
    <w:uiPriority w:val="0"/>
    <w:pPr>
      <w:widowControl w:val="0"/>
    </w:pPr>
    <w:rPr>
      <w:rFonts w:ascii="Times New Roman" w:hAnsi="Times New Roman" w:eastAsia="宋体" w:cs="Times New Roman"/>
      <w:kern w:val="2"/>
      <w:sz w:val="21"/>
      <w:szCs w:val="24"/>
      <w:lang w:val="en-US" w:eastAsia="zh-CN" w:bidi="ar-SA"/>
    </w:rPr>
  </w:style>
  <w:style w:type="paragraph" w:styleId="7">
    <w:name w:val="Balloon Text"/>
    <w:basedOn w:val="1"/>
    <w:link w:val="14"/>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paragraph" w:styleId="10">
    <w:name w:val="annotation subject"/>
    <w:basedOn w:val="6"/>
    <w:next w:val="6"/>
    <w:link w:val="20"/>
    <w:qFormat/>
    <w:uiPriority w:val="0"/>
    <w:rPr>
      <w:rFonts w:ascii="Calibri" w:hAnsi="Calibri"/>
      <w:b/>
      <w:bCs/>
    </w:rPr>
  </w:style>
  <w:style w:type="character" w:styleId="13">
    <w:name w:val="annotation reference"/>
    <w:basedOn w:val="12"/>
    <w:qFormat/>
    <w:uiPriority w:val="0"/>
    <w:rPr>
      <w:sz w:val="21"/>
      <w:szCs w:val="21"/>
    </w:rPr>
  </w:style>
  <w:style w:type="character" w:customStyle="1" w:styleId="14">
    <w:name w:val="批注框文本 Char"/>
    <w:basedOn w:val="12"/>
    <w:link w:val="7"/>
    <w:qFormat/>
    <w:uiPriority w:val="0"/>
    <w:rPr>
      <w:rFonts w:ascii="Calibri" w:hAnsi="Calibri" w:eastAsia="宋体" w:cs="Times New Roman"/>
      <w:kern w:val="2"/>
      <w:sz w:val="18"/>
      <w:szCs w:val="18"/>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页眉 Char"/>
    <w:basedOn w:val="12"/>
    <w:link w:val="9"/>
    <w:qFormat/>
    <w:uiPriority w:val="0"/>
    <w:rPr>
      <w:rFonts w:ascii="Calibri" w:hAnsi="Calibri" w:eastAsia="宋体" w:cs="Times New Roman"/>
      <w:kern w:val="2"/>
      <w:sz w:val="18"/>
      <w:szCs w:val="18"/>
    </w:rPr>
  </w:style>
  <w:style w:type="character" w:customStyle="1" w:styleId="18">
    <w:name w:val="页脚 Char"/>
    <w:basedOn w:val="12"/>
    <w:link w:val="8"/>
    <w:qFormat/>
    <w:uiPriority w:val="0"/>
    <w:rPr>
      <w:rFonts w:ascii="Calibri" w:hAnsi="Calibri" w:eastAsia="宋体" w:cs="Times New Roman"/>
      <w:kern w:val="2"/>
      <w:sz w:val="18"/>
      <w:szCs w:val="18"/>
    </w:rPr>
  </w:style>
  <w:style w:type="character" w:customStyle="1" w:styleId="19">
    <w:name w:val="批注文字 Char"/>
    <w:basedOn w:val="12"/>
    <w:link w:val="6"/>
    <w:qFormat/>
    <w:uiPriority w:val="0"/>
    <w:rPr>
      <w:rFonts w:ascii="Times New Roman" w:hAnsi="Times New Roman" w:eastAsia="宋体" w:cs="Times New Roman"/>
      <w:kern w:val="2"/>
      <w:sz w:val="21"/>
      <w:szCs w:val="24"/>
    </w:rPr>
  </w:style>
  <w:style w:type="character" w:customStyle="1" w:styleId="20">
    <w:name w:val="批注主题 Char"/>
    <w:basedOn w:val="19"/>
    <w:link w:val="10"/>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10</Pages>
  <Words>1721</Words>
  <Characters>9812</Characters>
  <Lines>81</Lines>
  <Paragraphs>23</Paragraphs>
  <TotalTime>86</TotalTime>
  <ScaleCrop>false</ScaleCrop>
  <LinksUpToDate>false</LinksUpToDate>
  <CharactersWithSpaces>11510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2023-08-17T01:50:00Z</dcterms:created>
  <dc:creator>李佼</dc:creator>
  <cp:lastModifiedBy>李佼 </cp:lastModifiedBy>
  <cp:lastPrinted>2023-09-14T07:46:00Z</cp:lastPrinted>
  <dcterms:modified xsi:type="dcterms:W3CDTF">2023-09-14T09:52:24Z</dcterms:modified>
  <dc:title>用户需求书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EC45D924FB674002AFB90E7D76E96F48</vt:lpwstr>
  </property>
</Properties>
</file>