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color w:val="auto"/>
          <w:spacing w:val="0"/>
          <w:sz w:val="52"/>
          <w:szCs w:val="52"/>
          <w:highlight w:val="none"/>
        </w:rPr>
      </w:pPr>
    </w:p>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val="0"/>
          <w:bCs w:val="0"/>
          <w:color w:val="auto"/>
          <w:sz w:val="48"/>
          <w:szCs w:val="48"/>
          <w:highlight w:val="none"/>
        </w:rPr>
      </w:pPr>
      <w:r>
        <w:rPr>
          <w:rFonts w:hint="eastAsia" w:ascii="仿宋_GB2312" w:hAnsi="仿宋_GB2312" w:eastAsia="仿宋_GB2312" w:cs="仿宋_GB2312"/>
          <w:b w:val="0"/>
          <w:bCs w:val="0"/>
          <w:color w:val="auto"/>
          <w:sz w:val="48"/>
          <w:szCs w:val="48"/>
          <w:highlight w:val="none"/>
        </w:rPr>
        <w:t>竞争性磋商采购方式</w:t>
      </w:r>
    </w:p>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val="0"/>
          <w:bCs w:val="0"/>
          <w:color w:val="auto"/>
          <w:sz w:val="48"/>
          <w:szCs w:val="48"/>
          <w:highlight w:val="none"/>
        </w:rPr>
      </w:pPr>
    </w:p>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val="0"/>
          <w:bCs w:val="0"/>
          <w:color w:val="auto"/>
          <w:sz w:val="48"/>
          <w:szCs w:val="48"/>
          <w:highlight w:val="none"/>
        </w:rPr>
      </w:pPr>
    </w:p>
    <w:p>
      <w:pPr>
        <w:keepLines/>
        <w:pageBreakBefore w:val="0"/>
        <w:widowControl/>
        <w:shd w:val="clear" w:color="auto" w:fill="auto"/>
        <w:kinsoku/>
        <w:topLinePunct w:val="0"/>
        <w:bidi w:val="0"/>
        <w:adjustRightInd w:val="0"/>
        <w:snapToGrid w:val="0"/>
        <w:spacing w:line="360" w:lineRule="auto"/>
        <w:ind w:firstLine="0" w:firstLineChars="0"/>
        <w:jc w:val="center"/>
        <w:rPr>
          <w:rFonts w:hint="eastAsia" w:ascii="仿宋_GB2312" w:hAnsi="仿宋_GB2312" w:eastAsia="仿宋_GB2312" w:cs="仿宋_GB2312"/>
          <w:b w:val="0"/>
          <w:bCs w:val="0"/>
          <w:color w:val="auto"/>
          <w:sz w:val="48"/>
          <w:szCs w:val="48"/>
          <w:highlight w:val="none"/>
        </w:rPr>
      </w:pPr>
      <w:r>
        <w:rPr>
          <w:rFonts w:hint="eastAsia" w:ascii="仿宋_GB2312" w:hAnsi="仿宋_GB2312" w:eastAsia="仿宋_GB2312" w:cs="仿宋_GB2312"/>
          <w:b w:val="0"/>
          <w:bCs w:val="0"/>
          <w:color w:val="auto"/>
          <w:sz w:val="48"/>
          <w:szCs w:val="48"/>
          <w:highlight w:val="none"/>
        </w:rPr>
        <w:t>磋商文件</w:t>
      </w:r>
    </w:p>
    <w:p>
      <w:pPr>
        <w:pStyle w:val="15"/>
        <w:rPr>
          <w:rFonts w:hint="eastAsia"/>
          <w:color w:val="auto"/>
          <w:highlight w:val="none"/>
        </w:rPr>
      </w:pPr>
    </w:p>
    <w:p>
      <w:pPr>
        <w:keepLines/>
        <w:pageBreakBefore w:val="0"/>
        <w:widowControl/>
        <w:shd w:val="clear" w:color="auto" w:fill="auto"/>
        <w:kinsoku/>
        <w:topLinePunct w:val="0"/>
        <w:bidi w:val="0"/>
        <w:adjustRightInd w:val="0"/>
        <w:snapToGrid w:val="0"/>
        <w:spacing w:line="360" w:lineRule="auto"/>
        <w:jc w:val="center"/>
        <w:rPr>
          <w:rFonts w:hint="eastAsia" w:ascii="仿宋_GB2312" w:hAnsi="仿宋_GB2312" w:eastAsia="仿宋_GB2312" w:cs="仿宋_GB2312"/>
          <w:b/>
          <w:color w:val="auto"/>
          <w:spacing w:val="0"/>
          <w:sz w:val="32"/>
          <w:highlight w:val="none"/>
          <w:lang w:val="en-US" w:eastAsia="zh-CN"/>
        </w:rPr>
      </w:pPr>
      <w:r>
        <w:rPr>
          <w:rFonts w:hint="eastAsia" w:ascii="仿宋_GB2312" w:hAnsi="仿宋_GB2312" w:eastAsia="仿宋_GB2312" w:cs="仿宋_GB2312"/>
          <w:b/>
          <w:color w:val="auto"/>
          <w:spacing w:val="0"/>
          <w:sz w:val="32"/>
          <w:highlight w:val="none"/>
          <w:lang w:val="en-US" w:eastAsia="zh-CN"/>
        </w:rPr>
        <w:t xml:space="preserve"> </w:t>
      </w:r>
    </w:p>
    <w:p>
      <w:pPr>
        <w:keepLines/>
        <w:pageBreakBefore w:val="0"/>
        <w:widowControl/>
        <w:shd w:val="clear" w:color="auto" w:fill="auto"/>
        <w:kinsoku/>
        <w:topLinePunct w:val="0"/>
        <w:bidi w:val="0"/>
        <w:adjustRightInd w:val="0"/>
        <w:snapToGrid w:val="0"/>
        <w:spacing w:line="360" w:lineRule="auto"/>
        <w:rPr>
          <w:rFonts w:hint="eastAsia" w:ascii="仿宋_GB2312" w:hAnsi="仿宋_GB2312" w:eastAsia="仿宋_GB2312" w:cs="仿宋_GB2312"/>
          <w:b/>
          <w:color w:val="auto"/>
          <w:spacing w:val="0"/>
          <w:highlight w:val="none"/>
        </w:rPr>
      </w:pPr>
    </w:p>
    <w:p>
      <w:pPr>
        <w:pageBreakBefore w:val="0"/>
        <w:widowControl/>
        <w:shd w:val="clear" w:color="auto" w:fill="auto"/>
        <w:kinsoku/>
        <w:topLinePunct w:val="0"/>
        <w:bidi w:val="0"/>
        <w:spacing w:line="360" w:lineRule="auto"/>
        <w:ind w:left="1383" w:hanging="1383" w:hangingChars="492"/>
        <w:rPr>
          <w:rFonts w:hint="eastAsia" w:ascii="仿宋_GB2312" w:hAnsi="仿宋_GB2312" w:eastAsia="仿宋_GB2312" w:cs="仿宋_GB2312"/>
          <w:b/>
          <w:color w:val="auto"/>
          <w:spacing w:val="0"/>
          <w:sz w:val="28"/>
          <w:szCs w:val="28"/>
          <w:highlight w:val="none"/>
          <w:u w:val="none"/>
        </w:rPr>
      </w:pPr>
      <w:r>
        <w:rPr>
          <w:rFonts w:hint="eastAsia" w:ascii="仿宋_GB2312" w:hAnsi="仿宋_GB2312" w:eastAsia="仿宋_GB2312" w:cs="仿宋_GB2312"/>
          <w:b/>
          <w:color w:val="auto"/>
          <w:spacing w:val="0"/>
          <w:sz w:val="28"/>
          <w:szCs w:val="28"/>
          <w:highlight w:val="none"/>
        </w:rPr>
        <w:t>项目名称：</w:t>
      </w:r>
      <w:r>
        <w:rPr>
          <w:rFonts w:hint="eastAsia" w:ascii="仿宋_GB2312" w:hAnsi="仿宋_GB2312" w:eastAsia="仿宋_GB2312" w:cs="仿宋_GB2312"/>
          <w:b/>
          <w:color w:val="auto"/>
          <w:spacing w:val="0"/>
          <w:sz w:val="28"/>
          <w:szCs w:val="28"/>
          <w:highlight w:val="none"/>
          <w:u w:val="single"/>
        </w:rPr>
        <w:t xml:space="preserve">横琴粤澳深度合作区城市规划和建设局横琴粤澳深度合作区港澳大道3号地下人行通道提升改建工程设计服务项目 </w:t>
      </w:r>
      <w:r>
        <w:rPr>
          <w:rFonts w:hint="eastAsia" w:ascii="仿宋_GB2312" w:hAnsi="仿宋_GB2312" w:eastAsia="仿宋_GB2312" w:cs="仿宋_GB2312"/>
          <w:b/>
          <w:color w:val="auto"/>
          <w:spacing w:val="0"/>
          <w:sz w:val="28"/>
          <w:szCs w:val="28"/>
          <w:highlight w:val="none"/>
          <w:u w:val="none"/>
        </w:rPr>
        <w:t xml:space="preserve">                              </w:t>
      </w:r>
    </w:p>
    <w:p>
      <w:pPr>
        <w:pageBreakBefore w:val="0"/>
        <w:shd w:val="clear" w:color="auto" w:fill="auto"/>
        <w:kinsoku/>
        <w:topLinePunct w:val="0"/>
        <w:bidi w:val="0"/>
        <w:spacing w:line="360" w:lineRule="auto"/>
        <w:ind w:left="1383" w:leftChars="0" w:hanging="1383" w:hangingChars="492"/>
        <w:rPr>
          <w:rFonts w:hint="eastAsia" w:ascii="仿宋_GB2312" w:hAnsi="仿宋_GB2312" w:eastAsia="仿宋_GB2312" w:cs="仿宋_GB2312"/>
          <w:b/>
          <w:color w:val="auto"/>
          <w:spacing w:val="0"/>
          <w:sz w:val="28"/>
          <w:szCs w:val="28"/>
          <w:highlight w:val="none"/>
        </w:rPr>
      </w:pPr>
      <w:r>
        <w:rPr>
          <w:rFonts w:hint="eastAsia" w:ascii="仿宋_GB2312" w:hAnsi="仿宋_GB2312" w:eastAsia="仿宋_GB2312" w:cs="仿宋_GB2312"/>
          <w:b/>
          <w:color w:val="auto"/>
          <w:spacing w:val="0"/>
          <w:sz w:val="28"/>
          <w:szCs w:val="28"/>
          <w:highlight w:val="none"/>
        </w:rPr>
        <w:t>项目编号：</w:t>
      </w:r>
      <w:r>
        <w:rPr>
          <w:rFonts w:hint="eastAsia" w:ascii="仿宋_GB2312" w:hAnsi="仿宋_GB2312" w:eastAsia="仿宋_GB2312" w:cs="仿宋_GB2312"/>
          <w:b/>
          <w:color w:val="auto"/>
          <w:spacing w:val="0"/>
          <w:sz w:val="28"/>
          <w:szCs w:val="28"/>
          <w:highlight w:val="none"/>
          <w:u w:val="single"/>
        </w:rPr>
        <w:t xml:space="preserve">HXD230307022                                                             </w:t>
      </w:r>
      <w:r>
        <w:rPr>
          <w:rFonts w:hint="eastAsia" w:ascii="仿宋_GB2312" w:hAnsi="仿宋_GB2312" w:eastAsia="仿宋_GB2312" w:cs="仿宋_GB2312"/>
          <w:b/>
          <w:color w:val="auto"/>
          <w:spacing w:val="0"/>
          <w:sz w:val="28"/>
          <w:szCs w:val="28"/>
          <w:highlight w:val="none"/>
        </w:rPr>
        <w:t xml:space="preserve"> </w:t>
      </w:r>
    </w:p>
    <w:p>
      <w:pPr>
        <w:pageBreakBefore w:val="0"/>
        <w:shd w:val="clear" w:color="auto" w:fill="auto"/>
        <w:kinsoku/>
        <w:topLinePunct w:val="0"/>
        <w:bidi w:val="0"/>
        <w:spacing w:line="360" w:lineRule="auto"/>
        <w:ind w:left="0" w:leftChars="0" w:firstLine="0" w:firstLineChars="0"/>
        <w:rPr>
          <w:rFonts w:hint="default" w:ascii="仿宋_GB2312" w:hAnsi="仿宋_GB2312" w:eastAsia="仿宋_GB2312" w:cs="仿宋_GB2312"/>
          <w:b/>
          <w:color w:val="auto"/>
          <w:spacing w:val="0"/>
          <w:sz w:val="28"/>
          <w:szCs w:val="28"/>
          <w:highlight w:val="none"/>
          <w:lang w:val="en-US" w:eastAsia="zh-CN"/>
        </w:rPr>
      </w:pPr>
      <w:r>
        <w:rPr>
          <w:rFonts w:hint="eastAsia" w:ascii="仿宋_GB2312" w:hAnsi="仿宋_GB2312" w:eastAsia="仿宋_GB2312" w:cs="仿宋_GB2312"/>
          <w:b/>
          <w:color w:val="auto"/>
          <w:spacing w:val="0"/>
          <w:sz w:val="28"/>
          <w:szCs w:val="28"/>
          <w:highlight w:val="none"/>
        </w:rPr>
        <w:t>采 购 人：</w:t>
      </w:r>
      <w:r>
        <w:rPr>
          <w:rFonts w:hint="eastAsia" w:ascii="仿宋_GB2312" w:hAnsi="仿宋_GB2312" w:eastAsia="仿宋_GB2312" w:cs="仿宋_GB2312"/>
          <w:b/>
          <w:color w:val="auto"/>
          <w:spacing w:val="0"/>
          <w:sz w:val="28"/>
          <w:szCs w:val="28"/>
          <w:highlight w:val="none"/>
          <w:u w:val="single"/>
        </w:rPr>
        <w:t xml:space="preserve">横琴粤澳深度合作区城市规划和建设局   </w:t>
      </w:r>
      <w:r>
        <w:rPr>
          <w:rFonts w:hint="eastAsia" w:ascii="仿宋_GB2312" w:hAnsi="仿宋_GB2312" w:eastAsia="仿宋_GB2312" w:cs="仿宋_GB2312"/>
          <w:b/>
          <w:color w:val="auto"/>
          <w:spacing w:val="0"/>
          <w:sz w:val="28"/>
          <w:szCs w:val="28"/>
          <w:highlight w:val="none"/>
          <w:u w:val="single"/>
          <w:lang w:val="en-US" w:eastAsia="zh-CN"/>
        </w:rPr>
        <w:t xml:space="preserve">                                    </w:t>
      </w:r>
    </w:p>
    <w:p>
      <w:pPr>
        <w:pageBreakBefore w:val="0"/>
        <w:shd w:val="clear" w:color="auto" w:fill="auto"/>
        <w:kinsoku/>
        <w:topLinePunct w:val="0"/>
        <w:bidi w:val="0"/>
        <w:spacing w:line="360" w:lineRule="auto"/>
        <w:rPr>
          <w:rFonts w:hint="eastAsia" w:ascii="仿宋_GB2312" w:hAnsi="仿宋_GB2312" w:eastAsia="仿宋_GB2312" w:cs="仿宋_GB2312"/>
          <w:b/>
          <w:color w:val="auto"/>
          <w:spacing w:val="0"/>
          <w:sz w:val="28"/>
          <w:szCs w:val="28"/>
          <w:highlight w:val="none"/>
        </w:rPr>
      </w:pPr>
    </w:p>
    <w:p>
      <w:pPr>
        <w:pStyle w:val="26"/>
        <w:pageBreakBefore w:val="0"/>
        <w:kinsoku/>
        <w:topLinePunct w:val="0"/>
        <w:bidi w:val="0"/>
        <w:spacing w:line="360" w:lineRule="auto"/>
        <w:rPr>
          <w:rFonts w:hint="eastAsia" w:ascii="仿宋_GB2312" w:hAnsi="仿宋_GB2312" w:eastAsia="仿宋_GB2312" w:cs="仿宋_GB2312"/>
          <w:color w:val="auto"/>
          <w:highlight w:val="none"/>
        </w:rPr>
      </w:pPr>
    </w:p>
    <w:p>
      <w:pPr>
        <w:pageBreakBefore w:val="0"/>
        <w:shd w:val="clear" w:color="auto" w:fill="auto"/>
        <w:kinsoku/>
        <w:topLinePunct w:val="0"/>
        <w:bidi w:val="0"/>
        <w:spacing w:line="360" w:lineRule="auto"/>
        <w:rPr>
          <w:rFonts w:hint="eastAsia" w:ascii="仿宋_GB2312" w:hAnsi="仿宋_GB2312" w:eastAsia="仿宋_GB2312" w:cs="仿宋_GB2312"/>
          <w:b/>
          <w:color w:val="auto"/>
          <w:spacing w:val="0"/>
          <w:sz w:val="28"/>
          <w:szCs w:val="28"/>
          <w:highlight w:val="none"/>
        </w:rPr>
      </w:pPr>
    </w:p>
    <w:p>
      <w:pPr>
        <w:pageBreakBefore w:val="0"/>
        <w:shd w:val="clear" w:color="auto" w:fill="auto"/>
        <w:kinsoku/>
        <w:topLinePunct w:val="0"/>
        <w:bidi w:val="0"/>
        <w:spacing w:line="360" w:lineRule="auto"/>
        <w:ind w:left="0" w:leftChars="0" w:firstLine="0" w:firstLineChars="0"/>
        <w:jc w:val="left"/>
        <w:rPr>
          <w:rFonts w:hint="eastAsia" w:ascii="仿宋_GB2312" w:hAnsi="仿宋_GB2312" w:eastAsia="仿宋_GB2312" w:cs="仿宋_GB2312"/>
          <w:b/>
          <w:color w:val="auto"/>
          <w:spacing w:val="0"/>
          <w:sz w:val="28"/>
          <w:szCs w:val="28"/>
          <w:highlight w:val="none"/>
        </w:rPr>
      </w:pPr>
      <w:r>
        <w:rPr>
          <w:rFonts w:hint="eastAsia" w:ascii="仿宋_GB2312" w:hAnsi="仿宋_GB2312" w:eastAsia="仿宋_GB2312" w:cs="仿宋_GB2312"/>
          <w:b/>
          <w:color w:val="auto"/>
          <w:spacing w:val="0"/>
          <w:sz w:val="28"/>
          <w:szCs w:val="28"/>
          <w:highlight w:val="none"/>
          <w:lang w:val="en-US" w:eastAsia="zh-CN"/>
        </w:rPr>
        <w:t>采购</w:t>
      </w:r>
      <w:r>
        <w:rPr>
          <w:rFonts w:hint="eastAsia" w:ascii="仿宋_GB2312" w:hAnsi="仿宋_GB2312" w:eastAsia="仿宋_GB2312" w:cs="仿宋_GB2312"/>
          <w:b/>
          <w:color w:val="auto"/>
          <w:spacing w:val="0"/>
          <w:sz w:val="28"/>
          <w:szCs w:val="28"/>
          <w:highlight w:val="none"/>
        </w:rPr>
        <w:t>代理机构：</w:t>
      </w:r>
      <w:r>
        <w:rPr>
          <w:rFonts w:hint="eastAsia" w:ascii="仿宋_GB2312" w:hAnsi="仿宋_GB2312" w:eastAsia="仿宋_GB2312" w:cs="仿宋_GB2312"/>
          <w:b/>
          <w:color w:val="auto"/>
          <w:spacing w:val="0"/>
          <w:sz w:val="28"/>
          <w:szCs w:val="28"/>
          <w:highlight w:val="none"/>
          <w:u w:val="single"/>
        </w:rPr>
        <w:t xml:space="preserve">珠海华信达工程顾问有限公司                                             </w:t>
      </w:r>
    </w:p>
    <w:p>
      <w:pPr>
        <w:keepLines/>
        <w:pageBreakBefore w:val="0"/>
        <w:widowControl/>
        <w:shd w:val="clear" w:color="auto" w:fill="auto"/>
        <w:kinsoku/>
        <w:topLinePunct w:val="0"/>
        <w:bidi w:val="0"/>
        <w:adjustRightInd w:val="0"/>
        <w:snapToGrid w:val="0"/>
        <w:spacing w:line="360" w:lineRule="auto"/>
        <w:ind w:firstLine="0" w:firstLineChars="0"/>
        <w:jc w:val="both"/>
        <w:rPr>
          <w:rFonts w:hint="eastAsia" w:ascii="仿宋_GB2312" w:hAnsi="仿宋_GB2312" w:eastAsia="仿宋_GB2312" w:cs="仿宋_GB2312"/>
          <w:color w:val="auto"/>
          <w:sz w:val="72"/>
          <w:highlight w:val="none"/>
          <w:lang w:eastAsia="zh-CN"/>
        </w:rPr>
      </w:pPr>
      <w:r>
        <w:rPr>
          <w:rFonts w:hint="eastAsia" w:ascii="仿宋_GB2312" w:hAnsi="仿宋_GB2312" w:eastAsia="仿宋_GB2312" w:cs="仿宋_GB2312"/>
          <w:b/>
          <w:color w:val="auto"/>
          <w:spacing w:val="0"/>
          <w:sz w:val="28"/>
          <w:szCs w:val="28"/>
          <w:highlight w:val="none"/>
        </w:rPr>
        <w:t xml:space="preserve">日    </w:t>
      </w:r>
      <w:r>
        <w:rPr>
          <w:rFonts w:hint="eastAsia" w:ascii="仿宋_GB2312" w:hAnsi="仿宋_GB2312" w:eastAsia="仿宋_GB2312" w:cs="仿宋_GB2312"/>
          <w:b/>
          <w:color w:val="auto"/>
          <w:spacing w:val="0"/>
          <w:sz w:val="28"/>
          <w:szCs w:val="28"/>
          <w:highlight w:val="none"/>
          <w:lang w:val="en-US" w:eastAsia="zh-CN"/>
        </w:rPr>
        <w:t xml:space="preserve">    </w:t>
      </w:r>
      <w:r>
        <w:rPr>
          <w:rFonts w:hint="eastAsia" w:ascii="仿宋_GB2312" w:hAnsi="仿宋_GB2312" w:eastAsia="仿宋_GB2312" w:cs="仿宋_GB2312"/>
          <w:b/>
          <w:color w:val="auto"/>
          <w:spacing w:val="0"/>
          <w:sz w:val="28"/>
          <w:szCs w:val="28"/>
          <w:highlight w:val="none"/>
        </w:rPr>
        <w:t>期：</w:t>
      </w:r>
      <w:r>
        <w:rPr>
          <w:rFonts w:hint="eastAsia" w:ascii="仿宋_GB2312" w:hAnsi="仿宋_GB2312" w:eastAsia="仿宋_GB2312" w:cs="仿宋_GB2312"/>
          <w:b/>
          <w:color w:val="auto"/>
          <w:spacing w:val="0"/>
          <w:sz w:val="28"/>
          <w:szCs w:val="28"/>
          <w:highlight w:val="none"/>
          <w:u w:val="single"/>
        </w:rPr>
        <w:t>202</w:t>
      </w:r>
      <w:r>
        <w:rPr>
          <w:rFonts w:hint="eastAsia" w:ascii="仿宋_GB2312" w:hAnsi="仿宋_GB2312" w:eastAsia="仿宋_GB2312" w:cs="仿宋_GB2312"/>
          <w:b/>
          <w:color w:val="auto"/>
          <w:spacing w:val="0"/>
          <w:sz w:val="28"/>
          <w:szCs w:val="28"/>
          <w:highlight w:val="none"/>
          <w:u w:val="single"/>
          <w:lang w:val="en-US" w:eastAsia="zh-CN"/>
        </w:rPr>
        <w:t>3</w:t>
      </w:r>
      <w:r>
        <w:rPr>
          <w:rFonts w:hint="eastAsia" w:ascii="仿宋_GB2312" w:hAnsi="仿宋_GB2312" w:eastAsia="仿宋_GB2312" w:cs="仿宋_GB2312"/>
          <w:b/>
          <w:color w:val="auto"/>
          <w:spacing w:val="0"/>
          <w:sz w:val="28"/>
          <w:szCs w:val="28"/>
          <w:highlight w:val="none"/>
          <w:u w:val="single"/>
        </w:rPr>
        <w:t>年</w:t>
      </w:r>
      <w:r>
        <w:rPr>
          <w:rFonts w:hint="eastAsia" w:ascii="仿宋_GB2312" w:hAnsi="仿宋_GB2312" w:eastAsia="仿宋_GB2312" w:cs="仿宋_GB2312"/>
          <w:b/>
          <w:color w:val="auto"/>
          <w:spacing w:val="0"/>
          <w:sz w:val="28"/>
          <w:szCs w:val="28"/>
          <w:highlight w:val="none"/>
          <w:u w:val="single"/>
          <w:lang w:val="en-US" w:eastAsia="zh-CN"/>
        </w:rPr>
        <w:t>09</w:t>
      </w:r>
      <w:r>
        <w:rPr>
          <w:rFonts w:hint="eastAsia" w:ascii="仿宋_GB2312" w:hAnsi="仿宋_GB2312" w:eastAsia="仿宋_GB2312" w:cs="仿宋_GB2312"/>
          <w:b/>
          <w:color w:val="auto"/>
          <w:spacing w:val="0"/>
          <w:sz w:val="28"/>
          <w:szCs w:val="28"/>
          <w:highlight w:val="none"/>
          <w:u w:val="single"/>
        </w:rPr>
        <w:t xml:space="preserve">月                                         </w:t>
      </w:r>
    </w:p>
    <w:p>
      <w:pPr>
        <w:rPr>
          <w:rFonts w:hint="eastAsia" w:ascii="仿宋_GB2312" w:hAnsi="仿宋_GB2312" w:eastAsia="仿宋_GB2312" w:cs="仿宋_GB2312"/>
          <w:color w:val="auto"/>
          <w:highlight w:val="none"/>
          <w:lang w:eastAsia="zh-CN"/>
        </w:rPr>
      </w:pPr>
    </w:p>
    <w:p>
      <w:pPr>
        <w:pStyle w:val="3"/>
        <w:rPr>
          <w:rFonts w:hint="eastAsia" w:hAnsi="仿宋_GB2312" w:cs="仿宋_GB2312"/>
          <w:color w:val="auto"/>
          <w:highlight w:val="none"/>
          <w:lang w:eastAsia="zh-CN"/>
        </w:rPr>
      </w:pPr>
    </w:p>
    <w:p>
      <w:pPr>
        <w:pStyle w:val="4"/>
        <w:rPr>
          <w:rFonts w:hint="eastAsia" w:hAnsi="仿宋_GB2312" w:cs="仿宋_GB2312"/>
          <w:color w:val="auto"/>
          <w:highlight w:val="none"/>
          <w:lang w:eastAsia="zh-CN"/>
        </w:rPr>
      </w:pPr>
    </w:p>
    <w:p>
      <w:pPr>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pStyle w:val="15"/>
        <w:rPr>
          <w:rFonts w:hint="eastAsia" w:hAnsi="仿宋_GB2312" w:cs="仿宋_GB2312"/>
          <w:color w:val="auto"/>
          <w:highlight w:val="none"/>
          <w:lang w:eastAsia="zh-CN"/>
        </w:rPr>
      </w:pPr>
    </w:p>
    <w:p>
      <w:pPr>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目录</w:t>
      </w:r>
    </w:p>
    <w:p>
      <w:pPr>
        <w:spacing w:line="360" w:lineRule="auto"/>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第一章 磋商邀请</w:t>
      </w:r>
    </w:p>
    <w:p>
      <w:pPr>
        <w:spacing w:line="360" w:lineRule="auto"/>
        <w:jc w:val="center"/>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第二章 磋商资料表</w:t>
      </w:r>
    </w:p>
    <w:p>
      <w:pPr>
        <w:spacing w:line="360" w:lineRule="auto"/>
        <w:jc w:val="center"/>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 xml:space="preserve">第三章 </w:t>
      </w:r>
      <w:r>
        <w:rPr>
          <w:rFonts w:hint="eastAsia" w:ascii="仿宋_GB2312" w:hAnsi="仿宋_GB2312" w:eastAsia="仿宋_GB2312" w:cs="仿宋_GB2312"/>
          <w:b/>
          <w:color w:val="auto"/>
          <w:sz w:val="44"/>
          <w:highlight w:val="none"/>
          <w:lang w:eastAsia="zh-CN"/>
        </w:rPr>
        <w:t>响应人</w:t>
      </w:r>
      <w:r>
        <w:rPr>
          <w:rFonts w:hint="eastAsia" w:ascii="仿宋_GB2312" w:hAnsi="仿宋_GB2312" w:eastAsia="仿宋_GB2312" w:cs="仿宋_GB2312"/>
          <w:b/>
          <w:color w:val="auto"/>
          <w:sz w:val="44"/>
          <w:highlight w:val="none"/>
        </w:rPr>
        <w:t>须知</w:t>
      </w:r>
    </w:p>
    <w:p>
      <w:pPr>
        <w:spacing w:line="360" w:lineRule="auto"/>
        <w:jc w:val="left"/>
        <w:rPr>
          <w:rFonts w:hint="eastAsia" w:ascii="仿宋_GB2312" w:hAnsi="仿宋_GB2312" w:eastAsia="仿宋_GB2312" w:cs="仿宋_GB2312"/>
          <w:b/>
          <w:color w:val="auto"/>
          <w:sz w:val="44"/>
          <w:highlight w:val="none"/>
        </w:rPr>
      </w:pPr>
    </w:p>
    <w:p>
      <w:pPr>
        <w:shd w:val="clear" w:color="auto"/>
        <w:spacing w:line="360" w:lineRule="auto"/>
        <w:rPr>
          <w:rFonts w:hint="eastAsia" w:ascii="仿宋_GB2312" w:hAnsi="仿宋_GB2312" w:eastAsia="仿宋_GB2312" w:cs="仿宋_GB2312"/>
          <w:b/>
          <w:color w:val="auto"/>
          <w:sz w:val="44"/>
          <w:szCs w:val="20"/>
          <w:highlight w:val="none"/>
        </w:rPr>
      </w:pPr>
      <w:r>
        <w:rPr>
          <w:rFonts w:hint="eastAsia" w:ascii="仿宋_GB2312" w:hAnsi="仿宋_GB2312" w:eastAsia="仿宋_GB2312" w:cs="仿宋_GB2312"/>
          <w:b/>
          <w:color w:val="auto"/>
          <w:sz w:val="44"/>
          <w:highlight w:val="none"/>
        </w:rPr>
        <w:t xml:space="preserve">第四章 </w:t>
      </w:r>
      <w:r>
        <w:rPr>
          <w:rFonts w:hint="eastAsia" w:ascii="仿宋_GB2312" w:hAnsi="仿宋_GB2312" w:eastAsia="仿宋_GB2312" w:cs="仿宋_GB2312"/>
          <w:b/>
          <w:color w:val="auto"/>
          <w:sz w:val="44"/>
          <w:szCs w:val="20"/>
          <w:highlight w:val="none"/>
        </w:rPr>
        <w:t>合同条款资料表</w:t>
      </w:r>
    </w:p>
    <w:p>
      <w:pPr>
        <w:spacing w:line="360" w:lineRule="auto"/>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lang w:eastAsia="zh-CN"/>
        </w:rPr>
        <w:t>第五章</w:t>
      </w:r>
      <w:r>
        <w:rPr>
          <w:rFonts w:hint="eastAsia" w:ascii="仿宋_GB2312" w:hAnsi="仿宋_GB2312" w:eastAsia="仿宋_GB2312" w:cs="仿宋_GB2312"/>
          <w:b/>
          <w:color w:val="auto"/>
          <w:sz w:val="44"/>
          <w:highlight w:val="none"/>
          <w:lang w:val="en-US" w:eastAsia="zh-CN"/>
        </w:rPr>
        <w:t xml:space="preserve"> </w:t>
      </w:r>
      <w:r>
        <w:rPr>
          <w:rFonts w:hint="eastAsia" w:ascii="仿宋_GB2312" w:hAnsi="仿宋_GB2312" w:eastAsia="仿宋_GB2312" w:cs="仿宋_GB2312"/>
          <w:b/>
          <w:color w:val="auto"/>
          <w:sz w:val="44"/>
          <w:highlight w:val="none"/>
        </w:rPr>
        <w:t>用户需求书</w:t>
      </w:r>
    </w:p>
    <w:p>
      <w:pPr>
        <w:spacing w:line="360" w:lineRule="auto"/>
        <w:jc w:val="left"/>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w:t>
      </w:r>
      <w:r>
        <w:rPr>
          <w:rFonts w:hint="eastAsia" w:ascii="仿宋_GB2312" w:hAnsi="仿宋_GB2312" w:eastAsia="仿宋_GB2312" w:cs="仿宋_GB2312"/>
          <w:b/>
          <w:color w:val="auto"/>
          <w:sz w:val="44"/>
          <w:highlight w:val="none"/>
          <w:lang w:eastAsia="zh-CN"/>
        </w:rPr>
        <w:t>六</w:t>
      </w:r>
      <w:r>
        <w:rPr>
          <w:rFonts w:hint="eastAsia" w:ascii="仿宋_GB2312" w:hAnsi="仿宋_GB2312" w:eastAsia="仿宋_GB2312" w:cs="仿宋_GB2312"/>
          <w:b/>
          <w:color w:val="auto"/>
          <w:sz w:val="44"/>
          <w:highlight w:val="none"/>
        </w:rPr>
        <w:t>章 合同条款</w:t>
      </w:r>
    </w:p>
    <w:p>
      <w:pPr>
        <w:spacing w:line="360" w:lineRule="auto"/>
        <w:jc w:val="center"/>
        <w:rPr>
          <w:rFonts w:hint="eastAsia" w:ascii="仿宋_GB2312" w:hAnsi="仿宋_GB2312" w:eastAsia="仿宋_GB2312" w:cs="仿宋_GB2312"/>
          <w:b/>
          <w:color w:val="auto"/>
          <w:sz w:val="44"/>
          <w:highlight w:val="none"/>
        </w:rPr>
      </w:pPr>
    </w:p>
    <w:p>
      <w:pPr>
        <w:spacing w:line="360" w:lineRule="auto"/>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w:t>
      </w:r>
      <w:r>
        <w:rPr>
          <w:rFonts w:hint="eastAsia" w:ascii="仿宋_GB2312" w:hAnsi="仿宋_GB2312" w:eastAsia="仿宋_GB2312" w:cs="仿宋_GB2312"/>
          <w:b/>
          <w:color w:val="auto"/>
          <w:sz w:val="44"/>
          <w:highlight w:val="none"/>
          <w:lang w:eastAsia="zh-CN"/>
        </w:rPr>
        <w:t>七</w:t>
      </w:r>
      <w:r>
        <w:rPr>
          <w:rFonts w:hint="eastAsia" w:ascii="仿宋_GB2312" w:hAnsi="仿宋_GB2312" w:eastAsia="仿宋_GB2312" w:cs="仿宋_GB2312"/>
          <w:b/>
          <w:color w:val="auto"/>
          <w:sz w:val="44"/>
          <w:highlight w:val="none"/>
        </w:rPr>
        <w:t>章 响应文件格式</w:t>
      </w:r>
    </w:p>
    <w:p>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br w:type="page"/>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pStyle w:val="15"/>
        <w:rPr>
          <w:rFonts w:hint="eastAsia"/>
          <w:color w:val="auto"/>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第一章</w:t>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磋商邀请</w:t>
      </w:r>
    </w:p>
    <w:p>
      <w:pPr>
        <w:spacing w:afterLines="200" w:line="360" w:lineRule="auto"/>
        <w:jc w:val="center"/>
        <w:rPr>
          <w:rFonts w:hint="eastAsia" w:ascii="仿宋_GB2312" w:hAnsi="仿宋_GB2312" w:eastAsia="仿宋_GB2312" w:cs="仿宋_GB2312"/>
          <w:b/>
          <w:color w:val="auto"/>
          <w:kern w:val="28"/>
          <w:sz w:val="36"/>
          <w:szCs w:val="36"/>
          <w:highlight w:val="none"/>
        </w:rPr>
      </w:pPr>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b/>
          <w:color w:val="auto"/>
          <w:kern w:val="28"/>
          <w:sz w:val="36"/>
          <w:szCs w:val="36"/>
          <w:highlight w:val="none"/>
        </w:rPr>
        <w:t>磋商邀请</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珠海华信达工程顾问有限公司（以下简称“采购代理机构”）受</w:t>
      </w:r>
      <w:r>
        <w:rPr>
          <w:rFonts w:hint="eastAsia" w:ascii="仿宋_GB2312" w:hAnsi="仿宋_GB2312" w:eastAsia="仿宋_GB2312" w:cs="仿宋_GB2312"/>
          <w:iCs/>
          <w:color w:val="auto"/>
          <w:sz w:val="24"/>
          <w:szCs w:val="24"/>
          <w:highlight w:val="none"/>
          <w:lang w:eastAsia="zh-CN"/>
        </w:rPr>
        <w:t>横琴粤澳深度合作区城市规划和建设局</w:t>
      </w:r>
      <w:r>
        <w:rPr>
          <w:rFonts w:hint="eastAsia" w:ascii="仿宋_GB2312" w:hAnsi="仿宋_GB2312" w:eastAsia="仿宋_GB2312" w:cs="仿宋_GB2312"/>
          <w:iCs/>
          <w:color w:val="auto"/>
          <w:sz w:val="24"/>
          <w:szCs w:val="24"/>
          <w:highlight w:val="none"/>
        </w:rPr>
        <w:t>（以下简称“采购人”）的委托，对横琴粤澳深度合作区城市规划和建设局横琴粤澳深度合作区港澳大道3号地下人行通道提升改建工程设计服务项目（项目编号：HXD230307022）进行竞争性磋商采购，欢迎符合资格条件的供应商参加。</w:t>
      </w:r>
    </w:p>
    <w:p>
      <w:pPr>
        <w:pStyle w:val="13"/>
        <w:snapToGrid w:val="0"/>
        <w:spacing w:before="60" w:after="0" w:line="360" w:lineRule="auto"/>
        <w:ind w:left="0" w:leftChars="0"/>
        <w:rPr>
          <w:rFonts w:hint="eastAsia" w:ascii="仿宋_GB2312" w:hAnsi="仿宋_GB2312" w:eastAsia="仿宋_GB2312" w:cs="仿宋_GB2312"/>
          <w:b/>
          <w:iCs/>
          <w:color w:val="auto"/>
          <w:sz w:val="24"/>
          <w:szCs w:val="24"/>
          <w:highlight w:val="none"/>
          <w:lang w:eastAsia="zh-CN"/>
        </w:rPr>
      </w:pPr>
      <w:r>
        <w:rPr>
          <w:rFonts w:hint="eastAsia" w:ascii="仿宋_GB2312" w:hAnsi="仿宋_GB2312" w:eastAsia="仿宋_GB2312" w:cs="仿宋_GB2312"/>
          <w:b/>
          <w:iCs/>
          <w:color w:val="auto"/>
          <w:sz w:val="24"/>
          <w:szCs w:val="24"/>
          <w:highlight w:val="none"/>
        </w:rPr>
        <w:t>一、</w:t>
      </w:r>
      <w:r>
        <w:rPr>
          <w:rFonts w:hint="eastAsia" w:ascii="仿宋_GB2312" w:hAnsi="仿宋_GB2312" w:eastAsia="仿宋_GB2312" w:cs="仿宋_GB2312"/>
          <w:b/>
          <w:iCs/>
          <w:color w:val="auto"/>
          <w:sz w:val="24"/>
          <w:szCs w:val="24"/>
          <w:highlight w:val="none"/>
          <w:lang w:eastAsia="zh-CN"/>
        </w:rPr>
        <w:t>基本情况</w:t>
      </w:r>
    </w:p>
    <w:p>
      <w:pPr>
        <w:pStyle w:val="23"/>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项目编号：HXD230307022</w:t>
      </w:r>
    </w:p>
    <w:p>
      <w:pPr>
        <w:pStyle w:val="23"/>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项目名称：横琴粤澳深度合作区城市规划和建设局横琴粤澳深度合作区港澳大道3号地下人行通道提升改建工程设计服务项目</w:t>
      </w:r>
    </w:p>
    <w:p>
      <w:pPr>
        <w:pStyle w:val="23"/>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 xml:space="preserve">采购方式：竞争性磋商 </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预算金额：人民币贰拾伍万元整 （250000.00元）</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最高投标限价：人民币贰拾伍万元整 （250000.00元），报价高于最高上限的，将作为无效响应文件处理。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服务期限：</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2、取得采购人的设计方案同意意见后，15个日历天内提交施工图文件及预算等相关成果文件；</w:t>
      </w:r>
    </w:p>
    <w:p>
      <w:pPr>
        <w:pStyle w:val="8"/>
        <w:widowControl w:val="0"/>
        <w:autoSpaceDE w:val="0"/>
        <w:autoSpaceDN w:val="0"/>
        <w:adjustRightInd w:val="0"/>
        <w:spacing w:before="120" w:after="120" w:line="360" w:lineRule="auto"/>
        <w:ind w:firstLine="480" w:firstLineChars="200"/>
        <w:jc w:val="both"/>
        <w:textAlignment w:val="baseline"/>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b w:val="0"/>
          <w:bCs w:val="0"/>
          <w:iCs/>
          <w:color w:val="auto"/>
          <w:sz w:val="24"/>
          <w:szCs w:val="24"/>
          <w:highlight w:val="none"/>
          <w:lang w:val="en-US" w:eastAsia="zh-CN"/>
        </w:rPr>
        <w:t>3、在港澳大道3号地下人行通提升改建项目施工期间，成交人应积极配合施工过程中相关可能发生的设计、施工、预算等变更手续，服务直至改造施工项目完工。</w:t>
      </w:r>
    </w:p>
    <w:p>
      <w:pPr>
        <w:pStyle w:val="23"/>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采购需求：</w:t>
      </w:r>
    </w:p>
    <w:p>
      <w:pPr>
        <w:pStyle w:val="23"/>
        <w:numPr>
          <w:ilvl w:val="-1"/>
          <w:numId w:val="0"/>
        </w:numPr>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1、标的名称：横琴粤澳深度合作区城市规划和建设局横琴粤澳深度合作区港澳大道3号地下人行通道提升改建工程设计服务项目</w:t>
      </w:r>
    </w:p>
    <w:p>
      <w:pPr>
        <w:pStyle w:val="23"/>
        <w:numPr>
          <w:ilvl w:val="-1"/>
          <w:numId w:val="0"/>
        </w:numPr>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2、标的数量：一项</w:t>
      </w:r>
    </w:p>
    <w:p>
      <w:pPr>
        <w:pStyle w:val="23"/>
        <w:keepNext w:val="0"/>
        <w:keepLines w:val="0"/>
        <w:pageBreakBefore w:val="0"/>
        <w:widowControl/>
        <w:kinsoku/>
        <w:wordWrap/>
        <w:overflowPunct/>
        <w:topLinePunct w:val="0"/>
        <w:autoSpaceDE/>
        <w:autoSpaceDN/>
        <w:bidi w:val="0"/>
        <w:adjustRightInd/>
        <w:snapToGrid/>
        <w:spacing w:before="120" w:after="120" w:line="300" w:lineRule="auto"/>
        <w:ind w:firstLine="480" w:firstLineChars="200"/>
        <w:textAlignment w:val="auto"/>
        <w:rPr>
          <w:rFonts w:hint="eastAsia" w:ascii="仿宋_GB2312" w:hAnsi="仿宋_GB2312" w:eastAsia="仿宋_GB2312" w:cs="仿宋_GB2312"/>
          <w:iCs/>
          <w:color w:val="auto"/>
          <w:sz w:val="24"/>
          <w:szCs w:val="24"/>
          <w:highlight w:val="yellow"/>
          <w:lang w:val="en-US" w:eastAsia="zh-CN" w:bidi="ar-SA"/>
        </w:rPr>
      </w:pPr>
      <w:r>
        <w:rPr>
          <w:rFonts w:hint="eastAsia" w:ascii="仿宋_GB2312" w:hAnsi="仿宋_GB2312" w:eastAsia="仿宋_GB2312" w:cs="仿宋_GB2312"/>
          <w:iCs/>
          <w:color w:val="auto"/>
          <w:sz w:val="24"/>
          <w:szCs w:val="24"/>
          <w:highlight w:val="none"/>
          <w:lang w:val="en-US" w:eastAsia="zh-CN" w:bidi="ar-SA"/>
        </w:rPr>
        <w:t>3、项目概况：</w:t>
      </w:r>
    </w:p>
    <w:p>
      <w:pPr>
        <w:pStyle w:val="23"/>
        <w:keepNext w:val="0"/>
        <w:keepLines w:val="0"/>
        <w:pageBreakBefore w:val="0"/>
        <w:widowControl/>
        <w:kinsoku/>
        <w:wordWrap/>
        <w:overflowPunct/>
        <w:topLinePunct w:val="0"/>
        <w:autoSpaceDE/>
        <w:autoSpaceDN/>
        <w:bidi w:val="0"/>
        <w:adjustRightInd/>
        <w:snapToGrid/>
        <w:spacing w:before="120" w:after="120" w:line="300" w:lineRule="auto"/>
        <w:ind w:firstLine="480" w:firstLineChars="20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横琴粤澳深度合作区港澳大道3号地下人行通道整体面积约710m²，邻近新地标澳门新街坊教育区，目前已开放使用近8年，随着时间的推移，人行通道设施墙面及附属设施逐渐老化和病害增多，拟对港澳大道3号地下人行通道进行提升改建，前期需招选一家设计单位承担港澳大道3号地下人行通道提升改建工程的设计服务。</w:t>
      </w:r>
    </w:p>
    <w:p>
      <w:pPr>
        <w:pStyle w:val="23"/>
        <w:keepNext w:val="0"/>
        <w:keepLines w:val="0"/>
        <w:pageBreakBefore w:val="0"/>
        <w:widowControl/>
        <w:kinsoku/>
        <w:wordWrap/>
        <w:overflowPunct/>
        <w:topLinePunct w:val="0"/>
        <w:autoSpaceDE/>
        <w:autoSpaceDN/>
        <w:bidi w:val="0"/>
        <w:adjustRightInd/>
        <w:snapToGrid/>
        <w:spacing w:before="120" w:after="120" w:line="300" w:lineRule="auto"/>
        <w:ind w:firstLine="480" w:firstLineChars="200"/>
        <w:textAlignment w:val="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bidi="ar-SA"/>
        </w:rPr>
        <w:t xml:space="preserve">4、具体采购需求详见第五章用户需求书。 </w:t>
      </w:r>
    </w:p>
    <w:p>
      <w:pPr>
        <w:pStyle w:val="13"/>
        <w:snapToGrid w:val="0"/>
        <w:spacing w:before="60" w:after="0" w:line="360" w:lineRule="auto"/>
        <w:ind w:left="0" w:left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二、供应商资格要求</w:t>
      </w:r>
    </w:p>
    <w:p>
      <w:pPr>
        <w:pStyle w:val="13"/>
        <w:snapToGrid w:val="0"/>
        <w:spacing w:before="60" w:after="0" w:line="360" w:lineRule="auto"/>
        <w:ind w:left="0" w:leftChars="0"/>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（一）内地响应人必须具备：</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1.具有独立承担民事责任的能力：在中华人民共和国境内注册的法人或其他组织或自然人，投标（响应）时提交有效的营业执照（或事业法人登记证或身份证等相关证明） 副本复印件并</w:t>
      </w:r>
      <w:r>
        <w:rPr>
          <w:rFonts w:hint="eastAsia" w:ascii="仿宋_GB2312" w:hAnsi="仿宋_GB2312" w:eastAsia="仿宋_GB2312" w:cs="仿宋_GB2312"/>
          <w:b w:val="0"/>
          <w:iCs/>
          <w:color w:val="auto"/>
          <w:sz w:val="24"/>
          <w:szCs w:val="24"/>
          <w:highlight w:val="none"/>
          <w:lang w:val="en-US" w:eastAsia="zh-CN"/>
        </w:rPr>
        <w:t>加盖公章</w:t>
      </w:r>
      <w:r>
        <w:rPr>
          <w:rFonts w:hint="eastAsia" w:ascii="仿宋_GB2312" w:hAnsi="仿宋_GB2312" w:eastAsia="仿宋_GB2312" w:cs="仿宋_GB2312"/>
          <w:b w:val="0"/>
          <w:iCs/>
          <w:color w:val="auto"/>
          <w:sz w:val="24"/>
          <w:szCs w:val="24"/>
          <w:highlight w:val="none"/>
        </w:rPr>
        <w:t>。分支机构</w:t>
      </w:r>
      <w:r>
        <w:rPr>
          <w:rFonts w:hint="eastAsia" w:ascii="仿宋_GB2312" w:hAnsi="仿宋_GB2312" w:eastAsia="仿宋_GB2312" w:cs="仿宋_GB2312"/>
          <w:b w:val="0"/>
          <w:iCs/>
          <w:color w:val="auto"/>
          <w:sz w:val="24"/>
          <w:szCs w:val="24"/>
          <w:highlight w:val="none"/>
          <w:lang w:val="en-US" w:eastAsia="zh-CN"/>
        </w:rPr>
        <w:t>参与磋商</w:t>
      </w:r>
      <w:r>
        <w:rPr>
          <w:rFonts w:hint="eastAsia" w:ascii="仿宋_GB2312" w:hAnsi="仿宋_GB2312" w:eastAsia="仿宋_GB2312" w:cs="仿宋_GB2312"/>
          <w:b w:val="0"/>
          <w:iCs/>
          <w:color w:val="auto"/>
          <w:sz w:val="24"/>
          <w:szCs w:val="24"/>
          <w:highlight w:val="none"/>
        </w:rPr>
        <w:t>的，须提供总公司和分公司营业执照副本复印件，总公司出具给分支机构的授权书。</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2.有依法缴纳税收和社会保障资金的良好记录：响应文件中提供《资格条件承诺函》。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3.具有良好的商业信誉和健全的财务会计制度：响应文件中提供《资格条件承诺函》。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4.履行合同所必需的设备和专业技术能力：响应文件中提供《资格条件承诺函》。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5.参加采购活动前3年内，在经营活动中没有重大违法记录：响应文件中提供《资格条件承诺函》。重大违法记录，是指响应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 xml:space="preserve">6.响应人未被列入“信用中国”网站（www.creditchina.gov.cn）以下任意记录名单之一：①失信被执行人；②重大税收违法案件当事人名单；③政府采购严重违法失信行为。同时，不处于中国政府采购网（www.ccgp.gov.cn)“政府采购严重违法失信行为信息记录”中的禁止参加政府采购活动期间。说明：①由负责资格审查人员于资格审查时在“信用中国”网站（www.creditchina.gov.cn）及中国政府采购网（www.ccgp.gov.cn）查询结果为准。上述网站查询页面不能显示响应人相关查询信息的，视为响应人满足上述要求。响应人分支机构不满足信用信息相关要求的，也视为响应人不满足要求。②采购代理机构同时对信用信息查询记录和证据截图或下载存档。 </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7.</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必须符合法律、行政法规规定的其他条件：为本项目提供整体设计、规范编制或者项目管理等服务的</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，不得再参加该采购项目同一合同项下的其他采购活动。单位负责人为同一人或者存在直接控股、管理关系的不同</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，不得参加同一合同项下的采购活动</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符合法律、行政法规规定的其他条件</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提供磋商函。</w:t>
      </w:r>
    </w:p>
    <w:p>
      <w:pPr>
        <w:pStyle w:val="13"/>
        <w:snapToGrid w:val="0"/>
        <w:spacing w:before="60" w:after="0" w:line="360" w:lineRule="auto"/>
        <w:ind w:left="0" w:leftChars="0" w:firstLine="480" w:firstLineChars="200"/>
        <w:jc w:val="both"/>
        <w:rPr>
          <w:rFonts w:hint="default" w:ascii="仿宋_GB2312" w:hAnsi="仿宋_GB2312" w:eastAsia="仿宋_GB2312" w:cs="仿宋_GB2312"/>
          <w:b w:val="0"/>
          <w:iCs/>
          <w:color w:val="auto"/>
          <w:sz w:val="24"/>
          <w:szCs w:val="24"/>
          <w:highlight w:val="none"/>
          <w:lang w:val="en-US" w:eastAsia="zh-CN"/>
        </w:rPr>
      </w:pPr>
      <w:r>
        <w:rPr>
          <w:rFonts w:hint="eastAsia" w:ascii="仿宋_GB2312" w:hAnsi="仿宋_GB2312" w:eastAsia="仿宋_GB2312" w:cs="仿宋_GB2312"/>
          <w:b w:val="0"/>
          <w:iCs/>
          <w:color w:val="auto"/>
          <w:sz w:val="24"/>
          <w:szCs w:val="24"/>
          <w:highlight w:val="none"/>
        </w:rPr>
        <w:t>8.响应人具有建设行政主管部门颁发的</w:t>
      </w:r>
      <w:r>
        <w:rPr>
          <w:rFonts w:hint="eastAsia" w:ascii="仿宋_GB2312" w:hAnsi="仿宋_GB2312" w:eastAsia="仿宋_GB2312" w:cs="仿宋_GB2312"/>
          <w:b w:val="0"/>
          <w:iCs/>
          <w:color w:val="auto"/>
          <w:sz w:val="24"/>
          <w:szCs w:val="24"/>
          <w:highlight w:val="none"/>
          <w:lang w:val="en-US" w:eastAsia="zh-CN"/>
        </w:rPr>
        <w:t>建筑装饰工程专项设计丙级或以上资质。（响应文件中须提供证书复印件加盖响应人公章）</w:t>
      </w:r>
    </w:p>
    <w:p>
      <w:pPr>
        <w:pStyle w:val="13"/>
        <w:snapToGrid w:val="0"/>
        <w:spacing w:before="60" w:after="0" w:line="360" w:lineRule="auto"/>
        <w:ind w:left="0" w:leftChars="0"/>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（二）港澳响应人必须具备：</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1.具有独立承担民事责任的能力：港澳响应人需提供商事登记证明文件复印件并加盖公章。</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2.有依法缴纳税收和社会保障资金的良好记录：响应文件中提供《资格条件承诺函》。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3.具有良好的商业信誉和健全的财务会计制度：响应文件中提供《资格条件承诺函》。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4.履行合同所必需的设备和专业技术能力：响应文件中提供《资格条件承诺函》。</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5.参加采购活动前3年内，在经营活动中没有重大违法记录：响应文件中提供《资格条件承诺函》。重大违法记录，是指响应人因违法经营受到刑事处罚或者责令停产停业、吊销许可证或者执照、较大数额罚款等行政处罚。</w:t>
      </w:r>
    </w:p>
    <w:p>
      <w:pPr>
        <w:pStyle w:val="13"/>
        <w:snapToGrid w:val="0"/>
        <w:spacing w:before="60" w:after="0" w:line="360" w:lineRule="auto"/>
        <w:ind w:left="0" w:leftChars="0" w:firstLine="480" w:firstLineChars="2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6.</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必须符合法律、行政法规规定的其他条件：为本项目提供整体设计、规范编制或者项目管理等服务的</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，不得再参加该采购项目同一合同项下的其他采购活动</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单位负责人为同一人或者存在直接控股、管理关系的不同</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，不得参加同一合同项下的政府采购活动</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符合法律、行政法规规定的其他条件</w:t>
      </w:r>
      <w:r>
        <w:rPr>
          <w:rFonts w:hint="eastAsia" w:ascii="仿宋_GB2312" w:hAnsi="仿宋_GB2312" w:eastAsia="仿宋_GB2312" w:cs="仿宋_GB2312"/>
          <w:b w:val="0"/>
          <w:iCs/>
          <w:color w:val="auto"/>
          <w:sz w:val="24"/>
          <w:szCs w:val="24"/>
          <w:highlight w:val="none"/>
          <w:lang w:eastAsia="zh-CN"/>
        </w:rPr>
        <w:t>；</w:t>
      </w:r>
      <w:r>
        <w:rPr>
          <w:rFonts w:hint="eastAsia" w:ascii="仿宋_GB2312" w:hAnsi="仿宋_GB2312" w:eastAsia="仿宋_GB2312" w:cs="仿宋_GB2312"/>
          <w:b w:val="0"/>
          <w:iCs/>
          <w:color w:val="auto"/>
          <w:sz w:val="24"/>
          <w:szCs w:val="24"/>
          <w:highlight w:val="none"/>
        </w:rPr>
        <w:t>提供磋商函。</w:t>
      </w:r>
    </w:p>
    <w:p>
      <w:pPr>
        <w:pStyle w:val="13"/>
        <w:snapToGrid w:val="0"/>
        <w:spacing w:before="60" w:after="0" w:line="360" w:lineRule="auto"/>
        <w:ind w:left="0" w:leftChars="0" w:firstLine="480" w:firstLineChars="200"/>
        <w:jc w:val="both"/>
        <w:rPr>
          <w:rFonts w:hint="default" w:ascii="仿宋_GB2312" w:hAnsi="仿宋_GB2312" w:eastAsia="仿宋_GB2312" w:cs="仿宋_GB2312"/>
          <w:b w:val="0"/>
          <w:iCs/>
          <w:color w:val="auto"/>
          <w:sz w:val="24"/>
          <w:szCs w:val="24"/>
          <w:highlight w:val="none"/>
          <w:lang w:val="en-US" w:eastAsia="zh-CN"/>
        </w:rPr>
      </w:pPr>
      <w:r>
        <w:rPr>
          <w:rFonts w:hint="eastAsia" w:ascii="仿宋_GB2312" w:hAnsi="仿宋_GB2312" w:eastAsia="仿宋_GB2312" w:cs="仿宋_GB2312"/>
          <w:b w:val="0"/>
          <w:iCs/>
          <w:color w:val="auto"/>
          <w:sz w:val="24"/>
          <w:szCs w:val="24"/>
          <w:highlight w:val="none"/>
        </w:rPr>
        <w:t>7.响应人具有横琴粤澳深度合作区城市规划和建设局颁发的香港/澳门建筑及相关工程咨询企业备案认可书，备案业务范围为[建筑装饰工程设计]。或具有在广东省住房和城乡建设厅备案认可的证明文件，备案业务范围为[建筑装饰工程设计]。（响应文件中须提供证书复印件加盖响应人公章）。</w:t>
      </w:r>
    </w:p>
    <w:p>
      <w:pPr>
        <w:pStyle w:val="13"/>
        <w:snapToGrid w:val="0"/>
        <w:spacing w:before="60" w:after="0" w:line="360" w:lineRule="auto"/>
        <w:ind w:left="0" w:leftChars="0" w:firstLine="480" w:firstLineChars="20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val="0"/>
          <w:iCs/>
          <w:color w:val="auto"/>
          <w:sz w:val="24"/>
          <w:szCs w:val="24"/>
          <w:highlight w:val="none"/>
        </w:rPr>
        <w:t>说明：本项目不接受联合体参加磋商。</w:t>
      </w:r>
      <w:r>
        <w:rPr>
          <w:rFonts w:hint="eastAsia" w:ascii="仿宋_GB2312" w:hAnsi="仿宋_GB2312" w:eastAsia="仿宋_GB2312" w:cs="仿宋_GB2312"/>
          <w:b w:val="0"/>
          <w:iCs/>
          <w:color w:val="auto"/>
          <w:sz w:val="24"/>
          <w:szCs w:val="24"/>
          <w:highlight w:val="none"/>
          <w:lang w:val="en-US" w:eastAsia="zh-CN"/>
        </w:rPr>
        <w:t>响应人</w:t>
      </w:r>
      <w:r>
        <w:rPr>
          <w:rFonts w:hint="eastAsia" w:ascii="仿宋_GB2312" w:hAnsi="仿宋_GB2312" w:eastAsia="仿宋_GB2312" w:cs="仿宋_GB2312"/>
          <w:b w:val="0"/>
          <w:iCs/>
          <w:color w:val="auto"/>
          <w:sz w:val="24"/>
          <w:szCs w:val="24"/>
          <w:highlight w:val="none"/>
        </w:rPr>
        <w:t xml:space="preserve">参加磋商前须在采购代理机构处登记报名并获取了磋商文件。 </w:t>
      </w:r>
    </w:p>
    <w:p>
      <w:pPr>
        <w:pStyle w:val="13"/>
        <w:snapToGrid w:val="0"/>
        <w:spacing w:before="60" w:after="0" w:line="360" w:lineRule="auto"/>
        <w:ind w:left="0" w:left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三、磋商文件公告期限、获取磋商文件时间、地点、方式及磋商文件售价</w:t>
      </w:r>
    </w:p>
    <w:p>
      <w:pPr>
        <w:pStyle w:val="13"/>
        <w:snapToGrid w:val="0"/>
        <w:spacing w:before="60" w:after="0" w:line="360" w:lineRule="auto"/>
        <w:ind w:left="0" w:leftChars="0" w:firstLine="480" w:firstLineChars="200"/>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1、本公告期限（</w:t>
      </w:r>
      <w:r>
        <w:rPr>
          <w:rFonts w:hint="eastAsia" w:ascii="仿宋_GB2312" w:hAnsi="仿宋_GB2312" w:eastAsia="仿宋_GB2312" w:cs="仿宋_GB2312"/>
          <w:iCs/>
          <w:color w:val="auto"/>
          <w:sz w:val="24"/>
          <w:szCs w:val="24"/>
          <w:highlight w:val="none"/>
          <w:lang w:val="en-US" w:eastAsia="zh-CN"/>
        </w:rPr>
        <w:t>5</w:t>
      </w:r>
      <w:r>
        <w:rPr>
          <w:rFonts w:hint="eastAsia" w:ascii="仿宋_GB2312" w:hAnsi="仿宋_GB2312" w:eastAsia="仿宋_GB2312" w:cs="仿宋_GB2312"/>
          <w:iCs/>
          <w:color w:val="auto"/>
          <w:sz w:val="24"/>
          <w:szCs w:val="24"/>
          <w:highlight w:val="none"/>
        </w:rPr>
        <w:t>个工作日）：自</w:t>
      </w:r>
      <w:r>
        <w:rPr>
          <w:rFonts w:hint="eastAsia" w:ascii="仿宋_GB2312" w:hAnsi="仿宋_GB2312" w:eastAsia="仿宋_GB2312" w:cs="仿宋_GB2312"/>
          <w:iCs/>
          <w:color w:val="auto"/>
          <w:sz w:val="24"/>
          <w:szCs w:val="24"/>
          <w:highlight w:val="none"/>
          <w:lang w:val="en-US" w:eastAsia="zh-CN"/>
        </w:rPr>
        <w:t>2023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09</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20</w:t>
      </w:r>
      <w:r>
        <w:rPr>
          <w:rFonts w:hint="eastAsia" w:ascii="仿宋_GB2312" w:hAnsi="仿宋_GB2312" w:eastAsia="仿宋_GB2312" w:cs="仿宋_GB2312"/>
          <w:iCs/>
          <w:color w:val="auto"/>
          <w:sz w:val="24"/>
          <w:szCs w:val="24"/>
          <w:highlight w:val="none"/>
        </w:rPr>
        <w:t>日至20</w:t>
      </w:r>
      <w:r>
        <w:rPr>
          <w:rFonts w:hint="eastAsia" w:ascii="仿宋_GB2312" w:hAnsi="仿宋_GB2312" w:eastAsia="仿宋_GB2312" w:cs="仿宋_GB2312"/>
          <w:iCs/>
          <w:color w:val="auto"/>
          <w:sz w:val="24"/>
          <w:szCs w:val="24"/>
          <w:highlight w:val="none"/>
          <w:lang w:val="en-US" w:eastAsia="zh-CN"/>
        </w:rPr>
        <w:t>23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09</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26</w:t>
      </w:r>
      <w:r>
        <w:rPr>
          <w:rFonts w:hint="eastAsia" w:ascii="仿宋_GB2312" w:hAnsi="仿宋_GB2312" w:eastAsia="仿宋_GB2312" w:cs="仿宋_GB2312"/>
          <w:iCs/>
          <w:color w:val="auto"/>
          <w:sz w:val="24"/>
          <w:szCs w:val="24"/>
          <w:highlight w:val="none"/>
        </w:rPr>
        <w:t>日止。</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2、获取磋商文件时间：</w:t>
      </w:r>
      <w:r>
        <w:rPr>
          <w:rFonts w:hint="eastAsia" w:ascii="仿宋_GB2312" w:hAnsi="仿宋_GB2312" w:eastAsia="仿宋_GB2312" w:cs="仿宋_GB2312"/>
          <w:iCs/>
          <w:color w:val="auto"/>
          <w:sz w:val="24"/>
          <w:szCs w:val="24"/>
          <w:highlight w:val="none"/>
          <w:lang w:eastAsia="zh-CN"/>
        </w:rPr>
        <w:t>202</w:t>
      </w:r>
      <w:r>
        <w:rPr>
          <w:rFonts w:hint="eastAsia" w:ascii="仿宋_GB2312" w:hAnsi="仿宋_GB2312" w:eastAsia="仿宋_GB2312" w:cs="仿宋_GB2312"/>
          <w:iCs/>
          <w:color w:val="auto"/>
          <w:sz w:val="24"/>
          <w:szCs w:val="24"/>
          <w:highlight w:val="none"/>
          <w:lang w:val="en-US" w:eastAsia="zh-CN"/>
        </w:rPr>
        <w:t>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09</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20</w:t>
      </w:r>
      <w:r>
        <w:rPr>
          <w:rFonts w:hint="eastAsia" w:ascii="仿宋_GB2312" w:hAnsi="仿宋_GB2312" w:eastAsia="仿宋_GB2312" w:cs="仿宋_GB2312"/>
          <w:iCs/>
          <w:color w:val="auto"/>
          <w:sz w:val="24"/>
          <w:szCs w:val="24"/>
          <w:highlight w:val="none"/>
        </w:rPr>
        <w:t>日至20</w:t>
      </w:r>
      <w:r>
        <w:rPr>
          <w:rFonts w:hint="eastAsia" w:ascii="仿宋_GB2312" w:hAnsi="仿宋_GB2312" w:eastAsia="仿宋_GB2312" w:cs="仿宋_GB2312"/>
          <w:iCs/>
          <w:color w:val="auto"/>
          <w:sz w:val="24"/>
          <w:szCs w:val="24"/>
          <w:highlight w:val="none"/>
          <w:lang w:val="en-US" w:eastAsia="zh-CN"/>
        </w:rPr>
        <w:t>23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09</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26</w:t>
      </w:r>
      <w:r>
        <w:rPr>
          <w:rFonts w:hint="eastAsia" w:ascii="仿宋_GB2312" w:hAnsi="仿宋_GB2312" w:eastAsia="仿宋_GB2312" w:cs="仿宋_GB2312"/>
          <w:iCs/>
          <w:color w:val="auto"/>
          <w:sz w:val="24"/>
          <w:szCs w:val="24"/>
          <w:highlight w:val="none"/>
        </w:rPr>
        <w:t>日</w:t>
      </w:r>
      <w:r>
        <w:rPr>
          <w:rFonts w:hint="eastAsia" w:ascii="仿宋_GB2312" w:hAnsi="仿宋_GB2312" w:eastAsia="仿宋_GB2312" w:cs="仿宋_GB2312"/>
          <w:iCs/>
          <w:color w:val="auto"/>
          <w:sz w:val="24"/>
          <w:szCs w:val="24"/>
          <w:highlight w:val="none"/>
          <w:lang w:val="en-US" w:eastAsia="zh-CN"/>
        </w:rPr>
        <w:t>9</w:t>
      </w:r>
      <w:r>
        <w:rPr>
          <w:rFonts w:hint="eastAsia" w:ascii="仿宋_GB2312" w:hAnsi="仿宋_GB2312" w:eastAsia="仿宋_GB2312" w:cs="仿宋_GB2312"/>
          <w:iCs/>
          <w:color w:val="auto"/>
          <w:sz w:val="24"/>
          <w:szCs w:val="24"/>
          <w:highlight w:val="none"/>
        </w:rPr>
        <w:t>：</w:t>
      </w:r>
      <w:r>
        <w:rPr>
          <w:rFonts w:hint="eastAsia" w:ascii="仿宋_GB2312" w:hAnsi="仿宋_GB2312" w:eastAsia="仿宋_GB2312" w:cs="仿宋_GB2312"/>
          <w:iCs/>
          <w:color w:val="auto"/>
          <w:sz w:val="24"/>
          <w:szCs w:val="24"/>
          <w:highlight w:val="none"/>
          <w:lang w:val="en-US" w:eastAsia="zh-CN"/>
        </w:rPr>
        <w:t>00</w:t>
      </w:r>
      <w:r>
        <w:rPr>
          <w:rFonts w:hint="eastAsia" w:ascii="仿宋_GB2312" w:hAnsi="仿宋_GB2312" w:eastAsia="仿宋_GB2312" w:cs="仿宋_GB2312"/>
          <w:iCs/>
          <w:color w:val="auto"/>
          <w:sz w:val="24"/>
          <w:szCs w:val="24"/>
          <w:highlight w:val="none"/>
        </w:rPr>
        <w:t>-</w:t>
      </w:r>
      <w:r>
        <w:rPr>
          <w:rFonts w:hint="eastAsia" w:ascii="仿宋_GB2312" w:hAnsi="仿宋_GB2312" w:eastAsia="仿宋_GB2312" w:cs="仿宋_GB2312"/>
          <w:iCs/>
          <w:color w:val="auto"/>
          <w:sz w:val="24"/>
          <w:szCs w:val="24"/>
          <w:highlight w:val="none"/>
          <w:lang w:val="en-US" w:eastAsia="zh-CN"/>
        </w:rPr>
        <w:t>12：00,14:00-18</w:t>
      </w:r>
      <w:r>
        <w:rPr>
          <w:rFonts w:hint="eastAsia" w:ascii="仿宋_GB2312" w:hAnsi="仿宋_GB2312" w:eastAsia="仿宋_GB2312" w:cs="仿宋_GB2312"/>
          <w:iCs/>
          <w:color w:val="auto"/>
          <w:sz w:val="24"/>
          <w:szCs w:val="24"/>
          <w:highlight w:val="none"/>
        </w:rPr>
        <w:t>：</w:t>
      </w:r>
      <w:r>
        <w:rPr>
          <w:rFonts w:hint="eastAsia" w:ascii="仿宋_GB2312" w:hAnsi="仿宋_GB2312" w:eastAsia="仿宋_GB2312" w:cs="仿宋_GB2312"/>
          <w:iCs/>
          <w:color w:val="auto"/>
          <w:sz w:val="24"/>
          <w:szCs w:val="24"/>
          <w:highlight w:val="none"/>
          <w:lang w:val="en-US" w:eastAsia="zh-CN"/>
        </w:rPr>
        <w:t>0</w:t>
      </w:r>
      <w:r>
        <w:rPr>
          <w:rFonts w:hint="eastAsia" w:ascii="仿宋_GB2312" w:hAnsi="仿宋_GB2312" w:eastAsia="仿宋_GB2312" w:cs="仿宋_GB2312"/>
          <w:iCs/>
          <w:color w:val="auto"/>
          <w:sz w:val="24"/>
          <w:szCs w:val="24"/>
          <w:highlight w:val="none"/>
        </w:rPr>
        <w:t>0（工作时间）。</w:t>
      </w:r>
    </w:p>
    <w:p>
      <w:pPr>
        <w:pStyle w:val="13"/>
        <w:snapToGrid w:val="0"/>
        <w:spacing w:before="60" w:after="0" w:line="360" w:lineRule="auto"/>
        <w:ind w:left="0" w:leftChars="0" w:firstLine="480" w:firstLineChars="200"/>
        <w:rPr>
          <w:rFonts w:hint="eastAsia" w:ascii="仿宋_GB2312" w:hAnsi="仿宋_GB2312" w:eastAsia="仿宋_GB2312" w:cs="仿宋_GB2312"/>
          <w:iCs/>
          <w:color w:val="auto"/>
          <w:sz w:val="24"/>
          <w:szCs w:val="24"/>
          <w:highlight w:val="none"/>
          <w:lang w:val="en-US" w:eastAsia="zh-CN"/>
        </w:rPr>
      </w:pPr>
      <w:r>
        <w:rPr>
          <w:rFonts w:hint="eastAsia" w:ascii="仿宋_GB2312" w:hAnsi="仿宋_GB2312" w:eastAsia="仿宋_GB2312" w:cs="仿宋_GB2312"/>
          <w:iCs/>
          <w:color w:val="auto"/>
          <w:sz w:val="24"/>
          <w:szCs w:val="24"/>
          <w:highlight w:val="none"/>
        </w:rPr>
        <w:t>3、获取磋商文件地点：</w:t>
      </w:r>
      <w:r>
        <w:rPr>
          <w:rFonts w:hint="eastAsia" w:ascii="仿宋_GB2312" w:hAnsi="仿宋_GB2312" w:eastAsia="仿宋_GB2312" w:cs="仿宋_GB2312"/>
          <w:iCs/>
          <w:color w:val="auto"/>
          <w:sz w:val="24"/>
          <w:szCs w:val="24"/>
          <w:highlight w:val="none"/>
          <w:lang w:val="en-US" w:eastAsia="zh-CN"/>
        </w:rPr>
        <w:t>珠海市香洲区梅华东路284号9栋珠海地质大厦6楼</w:t>
      </w:r>
    </w:p>
    <w:p>
      <w:pPr>
        <w:widowControl/>
        <w:ind w:firstLine="480" w:firstLineChars="200"/>
        <w:jc w:val="left"/>
        <w:rPr>
          <w:rFonts w:hint="eastAsia" w:ascii="仿宋_GB2312" w:hAnsi="仿宋_GB2312" w:eastAsia="仿宋_GB2312" w:cs="仿宋_GB2312"/>
          <w:iCs/>
          <w:color w:val="auto"/>
          <w:sz w:val="24"/>
          <w:szCs w:val="24"/>
          <w:highlight w:val="none"/>
          <w:lang w:val="en-US" w:eastAsia="zh-CN"/>
        </w:rPr>
      </w:pPr>
      <w:r>
        <w:rPr>
          <w:rFonts w:hint="eastAsia" w:ascii="仿宋_GB2312" w:hAnsi="仿宋_GB2312" w:eastAsia="仿宋_GB2312" w:cs="仿宋_GB2312"/>
          <w:iCs/>
          <w:color w:val="auto"/>
          <w:sz w:val="24"/>
          <w:szCs w:val="24"/>
          <w:highlight w:val="none"/>
        </w:rPr>
        <w:t>4、获取磋商文件方</w:t>
      </w:r>
      <w:r>
        <w:rPr>
          <w:rFonts w:hint="eastAsia" w:ascii="仿宋_GB2312" w:hAnsi="仿宋_GB2312" w:eastAsia="仿宋_GB2312" w:cs="仿宋_GB2312"/>
          <w:iCs/>
          <w:color w:val="auto"/>
          <w:sz w:val="24"/>
          <w:szCs w:val="24"/>
          <w:highlight w:val="none"/>
          <w:lang w:val="en-US" w:eastAsia="zh-CN" w:bidi="ar-SA"/>
        </w:rPr>
        <w:t>式：</w:t>
      </w:r>
      <w:r>
        <w:rPr>
          <w:rFonts w:hint="eastAsia" w:ascii="仿宋_GB2312" w:hAnsi="仿宋_GB2312" w:eastAsia="仿宋_GB2312" w:cs="仿宋_GB2312"/>
          <w:iCs/>
          <w:color w:val="auto"/>
          <w:sz w:val="24"/>
          <w:szCs w:val="24"/>
          <w:highlight w:val="none"/>
        </w:rPr>
        <w:t>现场</w:t>
      </w:r>
      <w:r>
        <w:rPr>
          <w:rFonts w:hint="eastAsia" w:ascii="仿宋_GB2312" w:hAnsi="仿宋_GB2312" w:eastAsia="仿宋_GB2312" w:cs="仿宋_GB2312"/>
          <w:iCs/>
          <w:color w:val="auto"/>
          <w:sz w:val="24"/>
          <w:szCs w:val="24"/>
          <w:highlight w:val="none"/>
          <w:lang w:eastAsia="zh-CN"/>
        </w:rPr>
        <w:t>领取</w:t>
      </w:r>
      <w:r>
        <w:rPr>
          <w:rFonts w:hint="eastAsia" w:ascii="仿宋_GB2312" w:hAnsi="仿宋_GB2312" w:eastAsia="仿宋_GB2312" w:cs="仿宋_GB2312"/>
          <w:iCs/>
          <w:color w:val="auto"/>
          <w:sz w:val="24"/>
          <w:szCs w:val="24"/>
          <w:highlight w:val="none"/>
        </w:rPr>
        <w:t>或者邮</w:t>
      </w:r>
      <w:r>
        <w:rPr>
          <w:rFonts w:hint="eastAsia" w:ascii="仿宋_GB2312" w:hAnsi="仿宋_GB2312" w:eastAsia="仿宋_GB2312" w:cs="仿宋_GB2312"/>
          <w:iCs/>
          <w:color w:val="auto"/>
          <w:sz w:val="24"/>
          <w:szCs w:val="24"/>
          <w:highlight w:val="none"/>
          <w:lang w:eastAsia="zh-CN"/>
        </w:rPr>
        <w:t>寄</w:t>
      </w:r>
      <w:r>
        <w:rPr>
          <w:rFonts w:hint="eastAsia" w:ascii="仿宋_GB2312" w:hAnsi="仿宋_GB2312" w:eastAsia="仿宋_GB2312" w:cs="仿宋_GB2312"/>
          <w:iCs/>
          <w:color w:val="auto"/>
          <w:sz w:val="24"/>
          <w:szCs w:val="24"/>
          <w:highlight w:val="none"/>
        </w:rPr>
        <w:t>。</w:t>
      </w:r>
    </w:p>
    <w:p>
      <w:pPr>
        <w:pStyle w:val="23"/>
        <w:widowControl/>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（1）现场获取：供应商从网上自行下载并填写《登记表》后至</w:t>
      </w:r>
      <w:r>
        <w:rPr>
          <w:rFonts w:hint="eastAsia" w:ascii="仿宋_GB2312" w:hAnsi="仿宋_GB2312" w:eastAsia="仿宋_GB2312" w:cs="仿宋_GB2312"/>
          <w:iCs/>
          <w:color w:val="auto"/>
          <w:sz w:val="24"/>
          <w:szCs w:val="24"/>
          <w:highlight w:val="none"/>
        </w:rPr>
        <w:t>磋商文件</w:t>
      </w:r>
      <w:r>
        <w:rPr>
          <w:rFonts w:hint="eastAsia" w:ascii="仿宋_GB2312" w:hAnsi="仿宋_GB2312" w:eastAsia="仿宋_GB2312" w:cs="仿宋_GB2312"/>
          <w:iCs/>
          <w:color w:val="auto"/>
          <w:sz w:val="24"/>
          <w:szCs w:val="24"/>
          <w:highlight w:val="none"/>
          <w:lang w:val="en-US" w:eastAsia="zh-CN" w:bidi="ar-SA"/>
        </w:rPr>
        <w:t>获取地点递交《登记表》，获取</w:t>
      </w:r>
      <w:r>
        <w:rPr>
          <w:rFonts w:hint="eastAsia" w:ascii="仿宋_GB2312" w:hAnsi="仿宋_GB2312" w:eastAsia="仿宋_GB2312" w:cs="仿宋_GB2312"/>
          <w:iCs/>
          <w:color w:val="auto"/>
          <w:sz w:val="24"/>
          <w:szCs w:val="24"/>
          <w:highlight w:val="none"/>
        </w:rPr>
        <w:t>磋商文件</w:t>
      </w:r>
      <w:r>
        <w:rPr>
          <w:rFonts w:hint="eastAsia" w:ascii="仿宋_GB2312" w:hAnsi="仿宋_GB2312" w:eastAsia="仿宋_GB2312" w:cs="仿宋_GB2312"/>
          <w:iCs/>
          <w:color w:val="auto"/>
          <w:sz w:val="24"/>
          <w:szCs w:val="24"/>
          <w:highlight w:val="none"/>
          <w:lang w:val="en-US" w:eastAsia="zh-CN" w:bidi="ar-SA"/>
        </w:rPr>
        <w:t>。</w:t>
      </w:r>
    </w:p>
    <w:p>
      <w:pPr>
        <w:pStyle w:val="23"/>
        <w:widowControl/>
        <w:numPr>
          <w:ilvl w:val="-1"/>
          <w:numId w:val="0"/>
        </w:numPr>
        <w:spacing w:before="120" w:after="120" w:line="300" w:lineRule="auto"/>
        <w:ind w:firstLine="480" w:firstLineChars="200"/>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iCs/>
          <w:color w:val="auto"/>
          <w:sz w:val="24"/>
          <w:szCs w:val="24"/>
          <w:highlight w:val="none"/>
          <w:lang w:val="en-US" w:eastAsia="zh-CN" w:bidi="ar-SA"/>
        </w:rPr>
        <w:t>（2）网上获取：供应商从网上自行下载并填写《登记表》，扫描发至采购代理机构邮箱(bap@hxdgcgw.com），并致电：0756-2297373-817、</w:t>
      </w:r>
      <w:r>
        <w:rPr>
          <w:rFonts w:hint="eastAsia" w:ascii="仿宋_GB2312" w:hAnsi="仿宋_GB2312" w:eastAsia="仿宋_GB2312" w:cs="仿宋_GB2312"/>
          <w:iCs/>
          <w:color w:val="auto"/>
          <w:sz w:val="24"/>
          <w:szCs w:val="24"/>
          <w:highlight w:val="none"/>
          <w:lang w:val="en-US" w:eastAsia="zh-CN"/>
        </w:rPr>
        <w:t>18128145239</w:t>
      </w:r>
      <w:r>
        <w:rPr>
          <w:rFonts w:hint="eastAsia" w:ascii="仿宋_GB2312" w:hAnsi="仿宋_GB2312" w:eastAsia="仿宋_GB2312" w:cs="仿宋_GB2312"/>
          <w:iCs/>
          <w:color w:val="auto"/>
          <w:sz w:val="24"/>
          <w:szCs w:val="24"/>
          <w:highlight w:val="none"/>
          <w:lang w:val="en-US" w:eastAsia="zh-CN" w:bidi="ar-SA"/>
        </w:rPr>
        <w:t>。收到后获取磋商文件。        </w:t>
      </w:r>
    </w:p>
    <w:p>
      <w:pPr>
        <w:pStyle w:val="13"/>
        <w:snapToGrid w:val="0"/>
        <w:spacing w:before="60" w:after="0" w:line="360" w:lineRule="auto"/>
        <w:ind w:left="0" w:left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四、递交响应文件截止时间、地点及</w:t>
      </w:r>
      <w:r>
        <w:rPr>
          <w:rFonts w:hint="eastAsia" w:ascii="仿宋_GB2312" w:hAnsi="仿宋_GB2312" w:eastAsia="仿宋_GB2312" w:cs="仿宋_GB2312"/>
          <w:b/>
          <w:iCs/>
          <w:color w:val="auto"/>
          <w:sz w:val="24"/>
          <w:szCs w:val="24"/>
          <w:highlight w:val="none"/>
          <w:lang w:val="en-US" w:eastAsia="zh-CN"/>
        </w:rPr>
        <w:t>磋商</w:t>
      </w:r>
      <w:r>
        <w:rPr>
          <w:rFonts w:hint="eastAsia" w:ascii="仿宋_GB2312" w:hAnsi="仿宋_GB2312" w:eastAsia="仿宋_GB2312" w:cs="仿宋_GB2312"/>
          <w:b/>
          <w:iCs/>
          <w:color w:val="auto"/>
          <w:sz w:val="24"/>
          <w:szCs w:val="24"/>
          <w:highlight w:val="none"/>
        </w:rPr>
        <w:t>时间、地点</w:t>
      </w:r>
    </w:p>
    <w:p>
      <w:pPr>
        <w:pStyle w:val="13"/>
        <w:snapToGrid w:val="0"/>
        <w:spacing w:before="60" w:after="0" w:line="360" w:lineRule="auto"/>
        <w:ind w:left="0" w:leftChars="0" w:firstLine="480" w:firstLineChars="200"/>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1、递交响应文件截止时间：</w:t>
      </w:r>
      <w:r>
        <w:rPr>
          <w:rFonts w:hint="eastAsia" w:ascii="仿宋_GB2312" w:hAnsi="仿宋_GB2312" w:eastAsia="仿宋_GB2312" w:cs="仿宋_GB2312"/>
          <w:color w:val="auto"/>
          <w:sz w:val="24"/>
          <w:highlight w:val="none"/>
        </w:rPr>
        <w:t>20</w:t>
      </w:r>
      <w:r>
        <w:rPr>
          <w:rFonts w:hint="eastAsia" w:ascii="仿宋_GB2312" w:hAnsi="仿宋_GB2312" w:eastAsia="仿宋_GB2312" w:cs="仿宋_GB2312"/>
          <w:color w:val="auto"/>
          <w:sz w:val="24"/>
          <w:highlight w:val="none"/>
          <w:lang w:val="en-US" w:eastAsia="zh-CN"/>
        </w:rPr>
        <w:t>23</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rPr>
        <w:t>时</w:t>
      </w:r>
      <w:r>
        <w:rPr>
          <w:rFonts w:hint="eastAsia" w:ascii="仿宋_GB2312" w:hAnsi="仿宋_GB2312" w:eastAsia="仿宋_GB2312" w:cs="仿宋_GB2312"/>
          <w:color w:val="auto"/>
          <w:sz w:val="24"/>
          <w:highlight w:val="none"/>
          <w:lang w:val="en-US" w:eastAsia="zh-CN"/>
        </w:rPr>
        <w:t>00</w:t>
      </w:r>
      <w:r>
        <w:rPr>
          <w:rFonts w:hint="eastAsia" w:ascii="仿宋_GB2312" w:hAnsi="仿宋_GB2312" w:eastAsia="仿宋_GB2312" w:cs="仿宋_GB2312"/>
          <w:color w:val="auto"/>
          <w:sz w:val="24"/>
          <w:highlight w:val="none"/>
        </w:rPr>
        <w:t>分</w:t>
      </w:r>
      <w:r>
        <w:rPr>
          <w:rFonts w:hint="eastAsia" w:ascii="仿宋_GB2312" w:hAnsi="仿宋_GB2312" w:eastAsia="仿宋_GB2312" w:cs="仿宋_GB2312"/>
          <w:iCs/>
          <w:color w:val="auto"/>
          <w:sz w:val="24"/>
          <w:szCs w:val="24"/>
          <w:highlight w:val="none"/>
        </w:rPr>
        <w:t>（北京时间）。</w:t>
      </w:r>
      <w:r>
        <w:rPr>
          <w:rFonts w:hint="eastAsia" w:ascii="仿宋_GB2312" w:hAnsi="仿宋_GB2312" w:eastAsia="仿宋_GB2312" w:cs="仿宋_GB2312"/>
          <w:color w:val="auto"/>
          <w:sz w:val="24"/>
          <w:highlight w:val="none"/>
        </w:rPr>
        <w:t>于截止时间前30分钟开始接收</w:t>
      </w:r>
      <w:r>
        <w:rPr>
          <w:rFonts w:hint="eastAsia" w:ascii="仿宋_GB2312" w:hAnsi="仿宋_GB2312" w:eastAsia="仿宋_GB2312" w:cs="仿宋_GB2312"/>
          <w:iCs/>
          <w:color w:val="auto"/>
          <w:sz w:val="24"/>
          <w:szCs w:val="24"/>
          <w:highlight w:val="none"/>
        </w:rPr>
        <w:t>响应文件</w:t>
      </w:r>
      <w:r>
        <w:rPr>
          <w:rFonts w:hint="eastAsia" w:ascii="仿宋_GB2312" w:hAnsi="仿宋_GB2312" w:eastAsia="仿宋_GB2312" w:cs="仿宋_GB2312"/>
          <w:color w:val="auto"/>
          <w:sz w:val="24"/>
          <w:highlight w:val="none"/>
        </w:rPr>
        <w:t>，提前、逾期递交或不符合规定的</w:t>
      </w:r>
      <w:r>
        <w:rPr>
          <w:rFonts w:hint="eastAsia" w:ascii="仿宋_GB2312" w:hAnsi="仿宋_GB2312" w:eastAsia="仿宋_GB2312" w:cs="仿宋_GB2312"/>
          <w:iCs/>
          <w:color w:val="auto"/>
          <w:sz w:val="24"/>
          <w:szCs w:val="24"/>
          <w:highlight w:val="none"/>
        </w:rPr>
        <w:t>响应文件</w:t>
      </w:r>
      <w:r>
        <w:rPr>
          <w:rFonts w:hint="eastAsia" w:ascii="仿宋_GB2312" w:hAnsi="仿宋_GB2312" w:eastAsia="仿宋_GB2312" w:cs="仿宋_GB2312"/>
          <w:color w:val="auto"/>
          <w:sz w:val="24"/>
          <w:highlight w:val="none"/>
        </w:rPr>
        <w:t>恕不接受。</w:t>
      </w:r>
    </w:p>
    <w:p>
      <w:pPr>
        <w:shd w:val="clear" w:color="auto"/>
        <w:snapToGrid w:val="0"/>
        <w:spacing w:before="60" w:after="0" w:line="360" w:lineRule="auto"/>
        <w:ind w:left="0" w:leftChars="0"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iCs/>
          <w:color w:val="auto"/>
          <w:sz w:val="24"/>
          <w:szCs w:val="24"/>
          <w:highlight w:val="none"/>
        </w:rPr>
        <w:t>2、递交</w:t>
      </w:r>
      <w:r>
        <w:rPr>
          <w:rFonts w:hint="eastAsia" w:ascii="仿宋_GB2312" w:hAnsi="仿宋_GB2312" w:eastAsia="仿宋_GB2312" w:cs="仿宋_GB2312"/>
          <w:color w:val="auto"/>
          <w:sz w:val="24"/>
          <w:highlight w:val="none"/>
        </w:rPr>
        <w:t>响应文件地点：</w:t>
      </w:r>
      <w:r>
        <w:rPr>
          <w:rFonts w:hint="eastAsia" w:ascii="仿宋_GB2312" w:hAnsi="仿宋_GB2312" w:eastAsia="仿宋_GB2312" w:cs="仿宋_GB2312"/>
          <w:iCs/>
          <w:color w:val="auto"/>
          <w:sz w:val="24"/>
          <w:szCs w:val="24"/>
          <w:highlight w:val="none"/>
          <w:lang w:val="en-US" w:eastAsia="zh-CN" w:bidi="ar-SA"/>
        </w:rPr>
        <w:t>珠海市香洲区梅华东路284号9栋珠海地质大厦6楼会议室</w:t>
      </w:r>
    </w:p>
    <w:p>
      <w:pPr>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磋商</w:t>
      </w:r>
      <w:r>
        <w:rPr>
          <w:rFonts w:hint="eastAsia" w:ascii="仿宋_GB2312" w:hAnsi="仿宋_GB2312" w:eastAsia="仿宋_GB2312" w:cs="仿宋_GB2312"/>
          <w:color w:val="auto"/>
          <w:sz w:val="24"/>
          <w:highlight w:val="none"/>
        </w:rPr>
        <w:t>时间：20</w:t>
      </w:r>
      <w:r>
        <w:rPr>
          <w:rFonts w:hint="eastAsia" w:ascii="仿宋_GB2312" w:hAnsi="仿宋_GB2312" w:eastAsia="仿宋_GB2312" w:cs="仿宋_GB2312"/>
          <w:color w:val="auto"/>
          <w:sz w:val="24"/>
          <w:highlight w:val="none"/>
          <w:lang w:val="en-US" w:eastAsia="zh-CN"/>
        </w:rPr>
        <w:t>23</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iCs/>
          <w:color w:val="auto"/>
          <w:sz w:val="24"/>
          <w:szCs w:val="24"/>
          <w:highlight w:val="none"/>
          <w:lang w:val="en-US" w:eastAsia="zh-CN"/>
        </w:rPr>
        <w:t>10</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rPr>
        <w:t>时</w:t>
      </w:r>
      <w:r>
        <w:rPr>
          <w:rFonts w:hint="eastAsia" w:ascii="仿宋_GB2312" w:hAnsi="仿宋_GB2312" w:eastAsia="仿宋_GB2312" w:cs="仿宋_GB2312"/>
          <w:color w:val="auto"/>
          <w:sz w:val="24"/>
          <w:highlight w:val="none"/>
          <w:lang w:val="en-US" w:eastAsia="zh-CN"/>
        </w:rPr>
        <w:t>00</w:t>
      </w:r>
      <w:r>
        <w:rPr>
          <w:rFonts w:hint="eastAsia" w:ascii="仿宋_GB2312" w:hAnsi="仿宋_GB2312" w:eastAsia="仿宋_GB2312" w:cs="仿宋_GB2312"/>
          <w:color w:val="auto"/>
          <w:sz w:val="24"/>
          <w:highlight w:val="none"/>
        </w:rPr>
        <w:t>分。</w:t>
      </w:r>
    </w:p>
    <w:p>
      <w:pPr>
        <w:shd w:val="clear" w:color="auto"/>
        <w:snapToGrid w:val="0"/>
        <w:spacing w:before="60"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highlight w:val="none"/>
          <w:lang w:val="en-US" w:eastAsia="zh-CN"/>
        </w:rPr>
        <w:t>磋商</w:t>
      </w:r>
      <w:r>
        <w:rPr>
          <w:rFonts w:hint="eastAsia" w:ascii="仿宋_GB2312" w:hAnsi="仿宋_GB2312" w:eastAsia="仿宋_GB2312" w:cs="仿宋_GB2312"/>
          <w:color w:val="auto"/>
          <w:sz w:val="24"/>
          <w:highlight w:val="none"/>
        </w:rPr>
        <w:t>地点：</w:t>
      </w:r>
      <w:r>
        <w:rPr>
          <w:rFonts w:hint="eastAsia" w:ascii="仿宋_GB2312" w:hAnsi="仿宋_GB2312" w:eastAsia="仿宋_GB2312" w:cs="仿宋_GB2312"/>
          <w:iCs/>
          <w:color w:val="auto"/>
          <w:sz w:val="24"/>
          <w:szCs w:val="24"/>
          <w:highlight w:val="none"/>
          <w:lang w:val="en-US" w:eastAsia="zh-CN" w:bidi="ar-SA"/>
        </w:rPr>
        <w:t>珠海市香洲区梅华东路284号9栋珠海地质大厦6楼会议室</w:t>
      </w:r>
    </w:p>
    <w:p>
      <w:pPr>
        <w:pStyle w:val="13"/>
        <w:snapToGrid w:val="0"/>
        <w:spacing w:before="60" w:line="360" w:lineRule="auto"/>
        <w:ind w:left="0" w:left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五、法定媒体：</w:t>
      </w:r>
    </w:p>
    <w:p>
      <w:pPr>
        <w:pStyle w:val="13"/>
        <w:snapToGrid w:val="0"/>
        <w:spacing w:before="60" w:after="0" w:line="360" w:lineRule="auto"/>
        <w:ind w:left="0" w:leftChars="0" w:firstLine="480" w:firstLineChars="200"/>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b w:val="0"/>
          <w:iCs/>
          <w:color w:val="auto"/>
          <w:sz w:val="24"/>
          <w:szCs w:val="24"/>
          <w:highlight w:val="none"/>
        </w:rPr>
        <w:t>在横琴粤澳深度合作区城市规划和建设局               （http://www.hengqin.gov.cn/macao_zh_hans/zwgk/）发布。如有修改或补充，</w:t>
      </w:r>
      <w:r>
        <w:rPr>
          <w:rFonts w:hint="eastAsia" w:ascii="仿宋_GB2312" w:hAnsi="仿宋_GB2312" w:eastAsia="仿宋_GB2312" w:cs="仿宋_GB2312"/>
          <w:b w:val="0"/>
          <w:iCs/>
          <w:color w:val="auto"/>
          <w:sz w:val="24"/>
          <w:szCs w:val="24"/>
          <w:highlight w:val="none"/>
          <w:lang w:val="en-US" w:eastAsia="zh-CN"/>
        </w:rPr>
        <w:t xml:space="preserve">         </w:t>
      </w:r>
      <w:r>
        <w:rPr>
          <w:rFonts w:hint="eastAsia" w:ascii="仿宋_GB2312" w:hAnsi="仿宋_GB2312" w:eastAsia="仿宋_GB2312" w:cs="仿宋_GB2312"/>
          <w:b w:val="0"/>
          <w:iCs/>
          <w:color w:val="auto"/>
          <w:sz w:val="24"/>
          <w:szCs w:val="24"/>
          <w:highlight w:val="none"/>
        </w:rPr>
        <w:t>以横琴粤澳深度合作区城市规划和建设局             （http://www.hengqin.gov.cn/macao_zh_hans/zwgk/）为准。</w:t>
      </w:r>
    </w:p>
    <w:p>
      <w:pPr>
        <w:pStyle w:val="13"/>
        <w:snapToGrid w:val="0"/>
        <w:spacing w:before="60" w:after="0" w:line="360" w:lineRule="auto"/>
        <w:ind w:left="0" w:leftChars="0" w:firstLine="0" w:firstLineChars="0"/>
        <w:rPr>
          <w:rFonts w:hint="eastAsia" w:ascii="仿宋_GB2312" w:hAnsi="仿宋_GB2312" w:eastAsia="仿宋_GB2312" w:cs="仿宋_GB2312"/>
          <w:b/>
          <w:iCs/>
          <w:color w:val="auto"/>
          <w:sz w:val="24"/>
          <w:szCs w:val="24"/>
          <w:highlight w:val="none"/>
        </w:rPr>
      </w:pPr>
      <w:r>
        <w:rPr>
          <w:rFonts w:hint="eastAsia" w:ascii="仿宋_GB2312" w:hAnsi="仿宋_GB2312" w:eastAsia="仿宋_GB2312" w:cs="仿宋_GB2312"/>
          <w:b/>
          <w:iCs/>
          <w:color w:val="auto"/>
          <w:sz w:val="24"/>
          <w:szCs w:val="24"/>
          <w:highlight w:val="none"/>
        </w:rPr>
        <w:t>六、</w:t>
      </w:r>
      <w:r>
        <w:rPr>
          <w:rFonts w:hint="eastAsia" w:ascii="仿宋_GB2312" w:hAnsi="仿宋_GB2312" w:eastAsia="仿宋_GB2312" w:cs="仿宋_GB2312"/>
          <w:b/>
          <w:color w:val="auto"/>
          <w:sz w:val="24"/>
          <w:highlight w:val="none"/>
        </w:rPr>
        <w:t>采购人、采购代理机构的名称、地址和联系方式</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1、采购人联系方式：</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lang w:eastAsia="zh-CN"/>
        </w:rPr>
      </w:pPr>
      <w:r>
        <w:rPr>
          <w:rFonts w:hint="eastAsia" w:ascii="仿宋_GB2312" w:hAnsi="仿宋_GB2312" w:eastAsia="仿宋_GB2312" w:cs="仿宋_GB2312"/>
          <w:iCs/>
          <w:color w:val="auto"/>
          <w:sz w:val="24"/>
          <w:szCs w:val="24"/>
          <w:highlight w:val="none"/>
        </w:rPr>
        <w:t>采购人名称：</w:t>
      </w:r>
      <w:r>
        <w:rPr>
          <w:rFonts w:hint="eastAsia" w:ascii="仿宋_GB2312" w:hAnsi="仿宋_GB2312" w:eastAsia="仿宋_GB2312" w:cs="仿宋_GB2312"/>
          <w:b w:val="0"/>
          <w:bCs w:val="0"/>
          <w:iCs/>
          <w:color w:val="auto"/>
          <w:sz w:val="24"/>
          <w:szCs w:val="24"/>
          <w:highlight w:val="none"/>
          <w:lang w:eastAsia="zh-CN"/>
        </w:rPr>
        <w:t>横琴粤澳深度合作区城市规划和建设局</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联系电话：0756-8</w:t>
      </w:r>
      <w:r>
        <w:rPr>
          <w:rFonts w:hint="eastAsia" w:ascii="仿宋_GB2312" w:hAnsi="仿宋_GB2312" w:eastAsia="仿宋_GB2312" w:cs="仿宋_GB2312"/>
          <w:iCs/>
          <w:color w:val="auto"/>
          <w:sz w:val="24"/>
          <w:szCs w:val="24"/>
          <w:highlight w:val="none"/>
          <w:lang w:val="en-US" w:eastAsia="zh-CN"/>
        </w:rPr>
        <w:t xml:space="preserve">938810 </w:t>
      </w:r>
    </w:p>
    <w:p>
      <w:pPr>
        <w:pStyle w:val="13"/>
        <w:snapToGrid w:val="0"/>
        <w:spacing w:before="60" w:after="0" w:line="360" w:lineRule="auto"/>
        <w:ind w:left="0" w:leftChars="0" w:firstLine="470" w:firstLineChars="196"/>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采购人地址：</w:t>
      </w:r>
      <w:r>
        <w:rPr>
          <w:rFonts w:hint="eastAsia" w:ascii="仿宋_GB2312" w:hAnsi="仿宋_GB2312" w:eastAsia="仿宋_GB2312" w:cs="仿宋_GB2312"/>
          <w:iCs/>
          <w:color w:val="auto"/>
          <w:sz w:val="24"/>
          <w:szCs w:val="24"/>
          <w:highlight w:val="none"/>
          <w:lang w:val="en-US" w:eastAsia="zh-CN"/>
        </w:rPr>
        <w:t>广东省珠海市横琴粤澳深度合作区港澳大道市民服务中心2号楼B座5楼510室</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2、采购代理机构联系方式：</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机构名称：珠海华信达工程顾问有限公司</w:t>
      </w:r>
      <w:bookmarkStart w:id="171" w:name="_GoBack"/>
      <w:bookmarkEnd w:id="171"/>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联系地址：珠海市香洲区梅华东路284号9栋珠海地质大厦6楼</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联系人：</w:t>
      </w:r>
      <w:r>
        <w:rPr>
          <w:rFonts w:hint="eastAsia" w:ascii="仿宋_GB2312" w:hAnsi="仿宋_GB2312" w:eastAsia="仿宋_GB2312" w:cs="仿宋_GB2312"/>
          <w:iCs/>
          <w:color w:val="auto"/>
          <w:sz w:val="24"/>
          <w:szCs w:val="24"/>
          <w:highlight w:val="none"/>
          <w:lang w:val="en-US" w:eastAsia="zh-CN"/>
        </w:rPr>
        <w:t>刘源琳</w:t>
      </w:r>
      <w:r>
        <w:rPr>
          <w:rFonts w:hint="eastAsia" w:ascii="仿宋_GB2312" w:hAnsi="仿宋_GB2312" w:eastAsia="仿宋_GB2312" w:cs="仿宋_GB2312"/>
          <w:iCs/>
          <w:color w:val="auto"/>
          <w:sz w:val="24"/>
          <w:szCs w:val="24"/>
          <w:highlight w:val="none"/>
        </w:rPr>
        <w:t xml:space="preserve">          联系电话：</w:t>
      </w:r>
      <w:r>
        <w:rPr>
          <w:rFonts w:hint="eastAsia" w:ascii="仿宋_GB2312" w:hAnsi="仿宋_GB2312" w:eastAsia="仿宋_GB2312" w:cs="仿宋_GB2312"/>
          <w:iCs/>
          <w:color w:val="auto"/>
          <w:sz w:val="24"/>
          <w:szCs w:val="24"/>
          <w:highlight w:val="none"/>
          <w:lang w:val="en-US" w:eastAsia="zh-CN" w:bidi="ar-SA"/>
        </w:rPr>
        <w:t>0756-2297373-816、</w:t>
      </w:r>
      <w:r>
        <w:rPr>
          <w:rFonts w:hint="eastAsia" w:ascii="仿宋_GB2312" w:hAnsi="仿宋_GB2312" w:eastAsia="仿宋_GB2312" w:cs="仿宋_GB2312"/>
          <w:iCs/>
          <w:color w:val="auto"/>
          <w:sz w:val="24"/>
          <w:szCs w:val="24"/>
          <w:highlight w:val="none"/>
          <w:lang w:val="en-US" w:eastAsia="zh-CN"/>
        </w:rPr>
        <w:t>18128145239</w:t>
      </w:r>
    </w:p>
    <w:p>
      <w:pPr>
        <w:pStyle w:val="13"/>
        <w:snapToGrid w:val="0"/>
        <w:spacing w:before="60" w:line="360" w:lineRule="auto"/>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电子邮件：bap@hxdgcgw.com        邮编：519000</w:t>
      </w:r>
    </w:p>
    <w:p>
      <w:pPr>
        <w:pStyle w:val="13"/>
        <w:snapToGrid w:val="0"/>
        <w:spacing w:line="400" w:lineRule="exact"/>
        <w:ind w:left="0" w:leftChars="0" w:firstLine="0" w:firstLineChars="0"/>
        <w:jc w:val="both"/>
        <w:rPr>
          <w:rFonts w:hint="eastAsia" w:ascii="仿宋_GB2312" w:hAnsi="仿宋_GB2312" w:eastAsia="仿宋_GB2312" w:cs="仿宋_GB2312"/>
          <w:iCs/>
          <w:color w:val="auto"/>
          <w:sz w:val="24"/>
          <w:szCs w:val="24"/>
          <w:highlight w:val="none"/>
        </w:rPr>
      </w:pPr>
    </w:p>
    <w:p>
      <w:pPr>
        <w:pStyle w:val="13"/>
        <w:snapToGrid w:val="0"/>
        <w:spacing w:line="400" w:lineRule="exact"/>
        <w:ind w:left="0" w:leftChars="0" w:firstLine="470" w:firstLineChars="196"/>
        <w:jc w:val="right"/>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横琴粤澳深度合作区城市规划和建设局</w:t>
      </w:r>
      <w:r>
        <w:rPr>
          <w:rFonts w:hint="eastAsia" w:ascii="仿宋_GB2312" w:hAnsi="仿宋_GB2312" w:eastAsia="仿宋_GB2312" w:cs="仿宋_GB2312"/>
          <w:iCs/>
          <w:color w:val="auto"/>
          <w:sz w:val="24"/>
          <w:szCs w:val="24"/>
          <w:highlight w:val="none"/>
        </w:rPr>
        <w:t xml:space="preserve">                                       珠海华信达工程顾问有限公司</w:t>
      </w:r>
    </w:p>
    <w:p>
      <w:pPr>
        <w:spacing w:line="400" w:lineRule="exact"/>
        <w:jc w:val="right"/>
        <w:rPr>
          <w:rFonts w:hint="eastAsia" w:ascii="仿宋_GB2312" w:hAnsi="仿宋_GB2312" w:eastAsia="仿宋_GB2312" w:cs="仿宋_GB2312"/>
          <w:b/>
          <w:color w:val="auto"/>
          <w:sz w:val="44"/>
          <w:highlight w:val="none"/>
        </w:rPr>
      </w:pPr>
      <w:r>
        <w:rPr>
          <w:rFonts w:hint="eastAsia" w:ascii="仿宋_GB2312" w:hAnsi="仿宋_GB2312" w:eastAsia="仿宋_GB2312" w:cs="仿宋_GB2312"/>
          <w:iCs/>
          <w:color w:val="auto"/>
          <w:sz w:val="24"/>
          <w:szCs w:val="24"/>
          <w:highlight w:val="none"/>
        </w:rPr>
        <w:t>20</w:t>
      </w:r>
      <w:r>
        <w:rPr>
          <w:rFonts w:hint="eastAsia" w:ascii="仿宋_GB2312" w:hAnsi="仿宋_GB2312" w:eastAsia="仿宋_GB2312" w:cs="仿宋_GB2312"/>
          <w:iCs/>
          <w:color w:val="auto"/>
          <w:sz w:val="24"/>
          <w:szCs w:val="24"/>
          <w:highlight w:val="none"/>
          <w:lang w:val="en-US" w:eastAsia="zh-CN"/>
        </w:rPr>
        <w:t>23</w:t>
      </w:r>
      <w:r>
        <w:rPr>
          <w:rFonts w:hint="eastAsia" w:ascii="仿宋_GB2312" w:hAnsi="仿宋_GB2312" w:eastAsia="仿宋_GB2312" w:cs="仿宋_GB2312"/>
          <w:iCs/>
          <w:color w:val="auto"/>
          <w:sz w:val="24"/>
          <w:szCs w:val="24"/>
          <w:highlight w:val="none"/>
        </w:rPr>
        <w:t>年</w:t>
      </w:r>
      <w:r>
        <w:rPr>
          <w:rFonts w:hint="eastAsia" w:ascii="仿宋_GB2312" w:hAnsi="仿宋_GB2312" w:eastAsia="仿宋_GB2312" w:cs="仿宋_GB2312"/>
          <w:iCs/>
          <w:color w:val="auto"/>
          <w:sz w:val="24"/>
          <w:szCs w:val="24"/>
          <w:highlight w:val="none"/>
          <w:lang w:val="en-US" w:eastAsia="zh-CN"/>
        </w:rPr>
        <w:t>09</w:t>
      </w:r>
      <w:r>
        <w:rPr>
          <w:rFonts w:hint="eastAsia" w:ascii="仿宋_GB2312" w:hAnsi="仿宋_GB2312" w:eastAsia="仿宋_GB2312" w:cs="仿宋_GB2312"/>
          <w:iCs/>
          <w:color w:val="auto"/>
          <w:sz w:val="24"/>
          <w:szCs w:val="24"/>
          <w:highlight w:val="none"/>
        </w:rPr>
        <w:t>月</w:t>
      </w:r>
      <w:r>
        <w:rPr>
          <w:rFonts w:hint="eastAsia" w:ascii="仿宋_GB2312" w:hAnsi="仿宋_GB2312" w:eastAsia="仿宋_GB2312" w:cs="仿宋_GB2312"/>
          <w:iCs/>
          <w:color w:val="auto"/>
          <w:sz w:val="24"/>
          <w:szCs w:val="24"/>
          <w:highlight w:val="none"/>
          <w:lang w:val="en-US" w:eastAsia="zh-CN"/>
        </w:rPr>
        <w:t>19</w:t>
      </w:r>
      <w:r>
        <w:rPr>
          <w:rFonts w:hint="eastAsia" w:ascii="仿宋_GB2312" w:hAnsi="仿宋_GB2312" w:eastAsia="仿宋_GB2312" w:cs="仿宋_GB2312"/>
          <w:iCs/>
          <w:color w:val="auto"/>
          <w:sz w:val="24"/>
          <w:szCs w:val="24"/>
          <w:highlight w:val="none"/>
        </w:rPr>
        <w:t>日</w:t>
      </w: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bookmarkStart w:id="0" w:name="_Toc410736129"/>
      <w:bookmarkStart w:id="1" w:name="_Toc11858"/>
      <w:bookmarkStart w:id="2" w:name="_Toc416770209"/>
      <w:bookmarkStart w:id="3" w:name="_Toc416771319"/>
      <w:r>
        <w:rPr>
          <w:rFonts w:hint="eastAsia" w:ascii="仿宋_GB2312" w:hAnsi="仿宋_GB2312" w:eastAsia="仿宋_GB2312" w:cs="仿宋_GB2312"/>
          <w:b/>
          <w:color w:val="auto"/>
          <w:sz w:val="44"/>
          <w:highlight w:val="none"/>
        </w:rPr>
        <w:t>第二章</w:t>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磋商资料表</w:t>
      </w:r>
      <w:bookmarkEnd w:id="0"/>
      <w:bookmarkEnd w:id="1"/>
      <w:bookmarkEnd w:id="2"/>
      <w:bookmarkEnd w:id="3"/>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p>
    <w:p>
      <w:pPr>
        <w:spacing w:line="360" w:lineRule="auto"/>
        <w:ind w:right="-1" w:firstLine="480" w:firstLineChars="200"/>
        <w:rPr>
          <w:rFonts w:hint="eastAsia" w:ascii="仿宋_GB2312" w:hAnsi="仿宋_GB2312" w:eastAsia="仿宋_GB2312" w:cs="仿宋_GB2312"/>
          <w:color w:val="auto"/>
          <w:sz w:val="24"/>
          <w:szCs w:val="24"/>
          <w:highlight w:val="none"/>
        </w:rPr>
      </w:pPr>
    </w:p>
    <w:p>
      <w:pPr>
        <w:spacing w:line="360" w:lineRule="auto"/>
        <w:ind w:right="-1" w:firstLine="480" w:firstLineChars="200"/>
        <w:rPr>
          <w:rFonts w:hint="eastAsia" w:ascii="仿宋_GB2312" w:hAnsi="仿宋_GB2312" w:eastAsia="仿宋_GB2312" w:cs="仿宋_GB2312"/>
          <w:color w:val="auto"/>
          <w:sz w:val="24"/>
          <w:szCs w:val="24"/>
          <w:highlight w:val="none"/>
        </w:rPr>
      </w:pPr>
    </w:p>
    <w:p>
      <w:pPr>
        <w:spacing w:line="240" w:lineRule="auto"/>
        <w:ind w:right="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pPr>
        <w:spacing w:line="360" w:lineRule="auto"/>
        <w:ind w:right="-1"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该资料表的条款项号是与第三章</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须知条款项号对应的，或增加的条款，是对第三章</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须知的补充、修改和完善，如果有矛盾的话，应以本资料表为准。</w:t>
      </w:r>
    </w:p>
    <w:tbl>
      <w:tblPr>
        <w:tblStyle w:val="27"/>
        <w:tblW w:w="9282"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条款项号</w:t>
            </w:r>
          </w:p>
        </w:tc>
        <w:tc>
          <w:tcPr>
            <w:tcW w:w="8377" w:type="dxa"/>
            <w:vAlign w:val="center"/>
          </w:tcPr>
          <w:p>
            <w:pPr>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82" w:type="dxa"/>
            <w:gridSpan w:val="2"/>
            <w:vAlign w:val="center"/>
          </w:tcPr>
          <w:p>
            <w:pPr>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shd w:val="clear" w:color="auto" w:fill="auto"/>
            <w:vAlign w:val="center"/>
          </w:tcPr>
          <w:p>
            <w:pPr>
              <w:shd w:val="clear" w:fill="auto"/>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8377" w:type="dxa"/>
            <w:shd w:val="clear" w:color="auto" w:fill="auto"/>
            <w:vAlign w:val="center"/>
          </w:tcPr>
          <w:p>
            <w:pPr>
              <w:pStyle w:val="13"/>
              <w:shd w:val="clear" w:fill="auto"/>
              <w:snapToGrid w:val="0"/>
              <w:spacing w:after="0" w:line="240" w:lineRule="auto"/>
              <w:ind w:left="0" w:leftChars="0" w:right="697"/>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采购人名称：</w:t>
            </w:r>
            <w:r>
              <w:rPr>
                <w:rFonts w:hint="eastAsia" w:ascii="仿宋_GB2312" w:hAnsi="仿宋_GB2312" w:eastAsia="仿宋_GB2312" w:cs="仿宋_GB2312"/>
                <w:color w:val="auto"/>
                <w:sz w:val="24"/>
                <w:szCs w:val="24"/>
                <w:highlight w:val="none"/>
                <w:lang w:eastAsia="zh-CN"/>
              </w:rPr>
              <w:t>横琴粤澳深度合作区城市规划和建设局</w:t>
            </w:r>
          </w:p>
          <w:p>
            <w:pPr>
              <w:pStyle w:val="13"/>
              <w:shd w:val="clear" w:fill="auto"/>
              <w:snapToGrid w:val="0"/>
              <w:spacing w:after="0" w:line="240" w:lineRule="auto"/>
              <w:ind w:left="0" w:leftChars="0" w:right="697"/>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采购人地址：广东省珠海市横琴粤澳深度合作区港澳大道市民服务中心2号楼B座5楼510室</w:t>
            </w:r>
          </w:p>
          <w:p>
            <w:pPr>
              <w:pStyle w:val="13"/>
              <w:shd w:val="clear" w:fill="auto"/>
              <w:snapToGrid w:val="0"/>
              <w:spacing w:after="0" w:line="240" w:lineRule="auto"/>
              <w:ind w:left="0" w:leftChars="0" w:right="697"/>
              <w:jc w:val="both"/>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color w:val="auto"/>
                <w:sz w:val="24"/>
                <w:szCs w:val="24"/>
                <w:highlight w:val="none"/>
              </w:rPr>
              <w:t>资金来源：财政性资金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shd w:val="clear" w:color="auto" w:fill="auto"/>
            <w:vAlign w:val="center"/>
          </w:tcPr>
          <w:p>
            <w:pPr>
              <w:shd w:val="clear" w:fill="auto"/>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8377" w:type="dxa"/>
            <w:shd w:val="clear" w:color="auto" w:fill="auto"/>
            <w:vAlign w:val="center"/>
          </w:tcPr>
          <w:p>
            <w:pPr>
              <w:shd w:val="clear" w:fill="auto"/>
              <w:spacing w:line="240" w:lineRule="auto"/>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采购代理机构：珠海华信达工程顾问有限公司</w:t>
            </w:r>
          </w:p>
          <w:p>
            <w:pPr>
              <w:shd w:val="clear" w:fill="auto"/>
              <w:spacing w:line="240" w:lineRule="auto"/>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地址：珠海市香洲区梅华东路284号9栋珠海地质大厦6楼</w:t>
            </w:r>
          </w:p>
          <w:p>
            <w:pPr>
              <w:pStyle w:val="13"/>
              <w:shd w:val="clear" w:fill="auto"/>
              <w:snapToGrid w:val="0"/>
              <w:spacing w:line="240" w:lineRule="auto"/>
              <w:ind w:left="0" w:leftChars="0" w:right="7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sz w:val="24"/>
                <w:highlight w:val="none"/>
              </w:rPr>
              <w:t>电话：</w:t>
            </w:r>
            <w:r>
              <w:rPr>
                <w:rFonts w:hint="eastAsia" w:ascii="仿宋_GB2312" w:hAnsi="仿宋_GB2312" w:eastAsia="仿宋_GB2312" w:cs="仿宋_GB2312"/>
                <w:iCs/>
                <w:color w:val="auto"/>
                <w:sz w:val="24"/>
                <w:szCs w:val="24"/>
                <w:highlight w:val="none"/>
                <w:lang w:val="en-US" w:eastAsia="zh-CN" w:bidi="ar-SA"/>
              </w:rPr>
              <w:t>0756-2297373-817、</w:t>
            </w:r>
            <w:r>
              <w:rPr>
                <w:rFonts w:hint="eastAsia" w:ascii="仿宋_GB2312" w:hAnsi="仿宋_GB2312" w:eastAsia="仿宋_GB2312" w:cs="仿宋_GB2312"/>
                <w:iCs/>
                <w:color w:val="auto"/>
                <w:sz w:val="24"/>
                <w:szCs w:val="24"/>
                <w:highlight w:val="none"/>
                <w:lang w:val="en-US" w:eastAsia="zh-CN"/>
              </w:rPr>
              <w:t>18128145239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05" w:type="dxa"/>
            <w:shd w:val="clear" w:color="auto" w:fill="auto"/>
            <w:vAlign w:val="center"/>
          </w:tcPr>
          <w:p>
            <w:pPr>
              <w:shd w:val="clear" w:fill="auto"/>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sz w:val="24"/>
                <w:highlight w:val="none"/>
              </w:rPr>
              <w:t>3.2</w:t>
            </w:r>
          </w:p>
        </w:tc>
        <w:tc>
          <w:tcPr>
            <w:tcW w:w="8377" w:type="dxa"/>
            <w:shd w:val="clear" w:color="auto" w:fill="auto"/>
            <w:vAlign w:val="center"/>
          </w:tcPr>
          <w:p>
            <w:pPr>
              <w:shd w:val="clear" w:fill="auto"/>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sz w:val="24"/>
                <w:highlight w:val="none"/>
                <w:lang w:eastAsia="zh-CN"/>
              </w:rPr>
              <w:t>响应人</w:t>
            </w:r>
            <w:r>
              <w:rPr>
                <w:rFonts w:hint="eastAsia" w:ascii="仿宋_GB2312" w:hAnsi="仿宋_GB2312" w:eastAsia="仿宋_GB2312" w:cs="仿宋_GB2312"/>
                <w:color w:val="auto"/>
                <w:spacing w:val="0"/>
                <w:sz w:val="24"/>
                <w:highlight w:val="none"/>
              </w:rPr>
              <w:t>资格要求：详见第一章招标公告“</w:t>
            </w:r>
            <w:r>
              <w:rPr>
                <w:rFonts w:hint="eastAsia" w:ascii="仿宋_GB2312" w:hAnsi="仿宋_GB2312" w:eastAsia="仿宋_GB2312" w:cs="仿宋_GB2312"/>
                <w:color w:val="auto"/>
                <w:spacing w:val="0"/>
                <w:sz w:val="24"/>
                <w:highlight w:val="none"/>
                <w:lang w:eastAsia="zh-CN"/>
              </w:rPr>
              <w:t>响应人</w:t>
            </w:r>
            <w:r>
              <w:rPr>
                <w:rFonts w:hint="eastAsia" w:ascii="仿宋_GB2312" w:hAnsi="仿宋_GB2312" w:eastAsia="仿宋_GB2312" w:cs="仿宋_GB2312"/>
                <w:color w:val="auto"/>
                <w:spacing w:val="0"/>
                <w:sz w:val="24"/>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05" w:type="dxa"/>
            <w:shd w:val="clear" w:color="auto" w:fill="auto"/>
            <w:vAlign w:val="center"/>
          </w:tcPr>
          <w:p>
            <w:pPr>
              <w:shd w:val="clear" w:fill="auto"/>
              <w:spacing w:line="360" w:lineRule="auto"/>
              <w:jc w:val="center"/>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4</w:t>
            </w:r>
          </w:p>
        </w:tc>
        <w:tc>
          <w:tcPr>
            <w:tcW w:w="8377" w:type="dxa"/>
            <w:shd w:val="clear" w:color="auto" w:fill="auto"/>
            <w:vAlign w:val="center"/>
          </w:tcPr>
          <w:p>
            <w:pPr>
              <w:shd w:val="clear" w:fill="auto"/>
              <w:spacing w:line="360" w:lineRule="auto"/>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合格的货物和服务的要求：能够提供与本项目相关的货物和服务，符合并履行本</w:t>
            </w:r>
            <w:r>
              <w:rPr>
                <w:rFonts w:hint="eastAsia" w:ascii="仿宋_GB2312" w:hAnsi="仿宋_GB2312" w:eastAsia="仿宋_GB2312" w:cs="仿宋_GB2312"/>
                <w:color w:val="auto"/>
                <w:spacing w:val="0"/>
                <w:sz w:val="24"/>
                <w:highlight w:val="none"/>
                <w:lang w:val="en-US" w:eastAsia="zh-CN"/>
              </w:rPr>
              <w:t>磋商</w:t>
            </w:r>
            <w:r>
              <w:rPr>
                <w:rFonts w:hint="eastAsia" w:ascii="仿宋_GB2312" w:hAnsi="仿宋_GB2312" w:eastAsia="仿宋_GB2312" w:cs="仿宋_GB2312"/>
                <w:color w:val="auto"/>
                <w:spacing w:val="0"/>
                <w:sz w:val="24"/>
                <w:highlight w:val="none"/>
              </w:rPr>
              <w:t>文件中的各项规定和要求。具体要求详见第五章用户需求书。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282" w:type="dxa"/>
            <w:gridSpan w:val="2"/>
            <w:shd w:val="clear" w:color="auto" w:fill="auto"/>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05" w:type="dxa"/>
            <w:shd w:val="clear" w:color="auto" w:fill="auto"/>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10.1</w:t>
            </w:r>
          </w:p>
        </w:tc>
        <w:tc>
          <w:tcPr>
            <w:tcW w:w="8377" w:type="dxa"/>
            <w:shd w:val="clear" w:color="auto" w:fill="auto"/>
            <w:vAlign w:val="center"/>
          </w:tcPr>
          <w:p>
            <w:pPr>
              <w:pStyle w:val="13"/>
              <w:snapToGrid w:val="0"/>
              <w:spacing w:line="360" w:lineRule="auto"/>
              <w:ind w:left="0" w:leftChars="0" w:right="69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集中答疑会或现场考察：不举行。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9282" w:type="dxa"/>
            <w:gridSpan w:val="2"/>
            <w:shd w:val="clear" w:color="auto" w:fill="auto"/>
            <w:vAlign w:val="center"/>
          </w:tcPr>
          <w:p>
            <w:pPr>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三、响应文件的编制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12.1</w:t>
            </w:r>
          </w:p>
        </w:tc>
        <w:tc>
          <w:tcPr>
            <w:tcW w:w="8377" w:type="dxa"/>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iCs/>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响应报价：</w:t>
            </w:r>
            <w:r>
              <w:rPr>
                <w:rFonts w:hint="eastAsia" w:ascii="仿宋_GB2312" w:hAnsi="仿宋_GB2312" w:eastAsia="仿宋_GB2312" w:cs="仿宋_GB2312"/>
                <w:iCs/>
                <w:color w:val="auto"/>
                <w:sz w:val="24"/>
                <w:szCs w:val="24"/>
                <w:highlight w:val="none"/>
                <w:lang w:val="en-US" w:eastAsia="zh-CN" w:bidi="ar-SA"/>
              </w:rPr>
              <w:t>最高投标限价为250000.00元，报价高于最高上限的，将作为无效响应文件处理。</w:t>
            </w:r>
          </w:p>
          <w:p>
            <w:pPr>
              <w:pStyle w:val="71"/>
              <w:numPr>
                <w:ilvl w:val="0"/>
                <w:numId w:val="0"/>
              </w:numPr>
              <w:tabs>
                <w:tab w:val="left" w:pos="341"/>
              </w:tabs>
              <w:spacing w:before="91" w:after="0" w:line="321" w:lineRule="auto"/>
              <w:ind w:left="24" w:leftChars="0" w:right="-15" w:rightChars="0"/>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报价：包括但不限于完成本设计服务所发生的方案设计费、施工图纸设计费、现场勘查费、人工费、协调费、设计修改费、估算费、估算修改费、审查费、材料费及递送费、场地办公费、设备费、交通费、管理费、考察费、专家咨询费、加班费、专利技术使用费（包括自有专利技术以及使用他人的专利技术）、其他知识产权使用费（包括自有知识产权以及使用他人的知识产权）、利润、税金等各项应有费用。除非双方另有约定，采购人无需就合同所述的供应商服务向其他人员或任何第三方支付任何其他费用。</w:t>
            </w:r>
          </w:p>
          <w:p>
            <w:pPr>
              <w:pStyle w:val="71"/>
              <w:numPr>
                <w:ilvl w:val="0"/>
                <w:numId w:val="0"/>
              </w:numPr>
              <w:tabs>
                <w:tab w:val="left" w:pos="341"/>
              </w:tabs>
              <w:spacing w:before="91" w:after="0" w:line="321" w:lineRule="auto"/>
              <w:ind w:left="24" w:leftChars="0" w:right="-15" w:rightChars="0"/>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 xml:space="preserve">注：磋商小组认为，响应人的报价明显不合理或者明显低于其他响应报价，有可能影响服务质量和不能诚信履约的，应当要求该响应人作出书面说明并提供相关证明材料。响应人不能合理说明或者不能提供相关证明材料的，由磋商小组认定该响应人以低于成本报价，磋商无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14.9</w:t>
            </w:r>
          </w:p>
        </w:tc>
        <w:tc>
          <w:tcPr>
            <w:tcW w:w="8377" w:type="dxa"/>
            <w:vAlign w:val="center"/>
          </w:tcPr>
          <w:p>
            <w:pPr>
              <w:pStyle w:val="13"/>
              <w:snapToGrid w:val="0"/>
              <w:spacing w:after="0" w:line="360" w:lineRule="auto"/>
              <w:ind w:left="0" w:leftChars="0" w:right="-40" w:right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所报的</w:t>
            </w:r>
            <w:r>
              <w:rPr>
                <w:rFonts w:hint="eastAsia" w:ascii="仿宋_GB2312" w:hAnsi="仿宋_GB2312" w:eastAsia="仿宋_GB2312" w:cs="仿宋_GB2312"/>
                <w:color w:val="auto"/>
                <w:sz w:val="24"/>
                <w:szCs w:val="24"/>
                <w:highlight w:val="none"/>
                <w:lang w:val="en-US" w:eastAsia="zh-CN"/>
              </w:rPr>
              <w:t>响应报</w:t>
            </w:r>
            <w:r>
              <w:rPr>
                <w:rFonts w:hint="eastAsia" w:ascii="仿宋_GB2312" w:hAnsi="仿宋_GB2312" w:eastAsia="仿宋_GB2312" w:cs="仿宋_GB2312"/>
                <w:color w:val="auto"/>
                <w:sz w:val="24"/>
                <w:szCs w:val="24"/>
                <w:highlight w:val="none"/>
              </w:rPr>
              <w:t>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14.10</w:t>
            </w:r>
          </w:p>
        </w:tc>
        <w:tc>
          <w:tcPr>
            <w:tcW w:w="8377" w:type="dxa"/>
            <w:vAlign w:val="center"/>
          </w:tcPr>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不允许有备选方案。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14.11</w:t>
            </w:r>
          </w:p>
        </w:tc>
        <w:tc>
          <w:tcPr>
            <w:tcW w:w="8377" w:type="dxa"/>
            <w:vAlign w:val="center"/>
          </w:tcPr>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不允许附加条件报价。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20.1</w:t>
            </w:r>
          </w:p>
        </w:tc>
        <w:tc>
          <w:tcPr>
            <w:tcW w:w="8377" w:type="dxa"/>
            <w:vAlign w:val="center"/>
          </w:tcPr>
          <w:p>
            <w:pPr>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磋商有效期：开标之日起</w:t>
            </w:r>
            <w:r>
              <w:rPr>
                <w:rFonts w:hint="eastAsia" w:ascii="仿宋_GB2312" w:hAnsi="仿宋_GB2312" w:eastAsia="仿宋_GB2312" w:cs="仿宋_GB2312"/>
                <w:color w:val="auto"/>
                <w:sz w:val="24"/>
                <w:szCs w:val="24"/>
                <w:highlight w:val="none"/>
                <w:lang w:val="en-US" w:eastAsia="zh-CN"/>
              </w:rPr>
              <w:t>90</w:t>
            </w:r>
            <w:r>
              <w:rPr>
                <w:rFonts w:hint="eastAsia" w:ascii="仿宋_GB2312" w:hAnsi="仿宋_GB2312" w:eastAsia="仿宋_GB2312" w:cs="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w:t>
            </w:r>
          </w:p>
        </w:tc>
        <w:tc>
          <w:tcPr>
            <w:tcW w:w="8377" w:type="dxa"/>
            <w:vAlign w:val="center"/>
          </w:tcPr>
          <w:p>
            <w:pPr>
              <w:spacing w:line="360" w:lineRule="auto"/>
              <w:rPr>
                <w:rFonts w:hint="eastAsia" w:ascii="仿宋_GB2312" w:hAnsi="仿宋_GB2312" w:eastAsia="仿宋_GB2312" w:cs="仿宋_GB2312"/>
                <w:color w:val="auto"/>
                <w:spacing w:val="0"/>
                <w:sz w:val="24"/>
                <w:highlight w:val="none"/>
              </w:rPr>
            </w:pPr>
            <w:r>
              <w:rPr>
                <w:rFonts w:hint="eastAsia" w:ascii="仿宋_GB2312" w:hAnsi="仿宋_GB2312" w:eastAsia="仿宋_GB2312" w:cs="仿宋_GB2312"/>
                <w:color w:val="auto"/>
                <w:spacing w:val="0"/>
                <w:sz w:val="24"/>
                <w:highlight w:val="none"/>
              </w:rPr>
              <w:t>正本一份，副本</w:t>
            </w:r>
            <w:r>
              <w:rPr>
                <w:rFonts w:hint="eastAsia" w:ascii="仿宋_GB2312" w:hAnsi="仿宋_GB2312" w:eastAsia="仿宋_GB2312" w:cs="仿宋_GB2312"/>
                <w:color w:val="auto"/>
                <w:spacing w:val="0"/>
                <w:sz w:val="24"/>
                <w:highlight w:val="none"/>
                <w:lang w:eastAsia="zh-CN"/>
              </w:rPr>
              <w:t>二</w:t>
            </w:r>
            <w:r>
              <w:rPr>
                <w:rFonts w:hint="eastAsia" w:ascii="仿宋_GB2312" w:hAnsi="仿宋_GB2312" w:eastAsia="仿宋_GB2312" w:cs="仿宋_GB2312"/>
                <w:color w:val="auto"/>
                <w:spacing w:val="0"/>
                <w:sz w:val="24"/>
                <w:highlight w:val="none"/>
              </w:rPr>
              <w:t>份，单独密封在一个密封袋中；电子文件一份，单独密封在一个密封袋中；</w:t>
            </w:r>
            <w:r>
              <w:rPr>
                <w:rFonts w:hint="eastAsia" w:ascii="仿宋_GB2312" w:hAnsi="仿宋_GB2312" w:eastAsia="仿宋_GB2312" w:cs="仿宋_GB2312"/>
                <w:color w:val="auto"/>
                <w:spacing w:val="0"/>
                <w:sz w:val="24"/>
                <w:highlight w:val="none"/>
                <w:lang w:eastAsia="zh-CN"/>
              </w:rPr>
              <w:t>首次报价</w:t>
            </w:r>
            <w:r>
              <w:rPr>
                <w:rFonts w:hint="eastAsia" w:ascii="仿宋_GB2312" w:hAnsi="仿宋_GB2312" w:eastAsia="仿宋_GB2312" w:cs="仿宋_GB2312"/>
                <w:color w:val="auto"/>
                <w:spacing w:val="0"/>
                <w:sz w:val="24"/>
                <w:highlight w:val="none"/>
              </w:rPr>
              <w:t>信封一份，单独密封在一个密封袋中</w:t>
            </w:r>
            <w:r>
              <w:rPr>
                <w:rFonts w:hint="eastAsia" w:ascii="仿宋_GB2312" w:hAnsi="仿宋_GB2312" w:eastAsia="仿宋_GB2312" w:cs="仿宋_GB2312"/>
                <w:color w:val="auto"/>
                <w:spacing w:val="0"/>
                <w:sz w:val="24"/>
                <w:highlight w:val="none"/>
                <w:lang w:eastAsia="zh-CN"/>
              </w:rPr>
              <w:t>。</w:t>
            </w:r>
          </w:p>
          <w:p>
            <w:pPr>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0"/>
                <w:sz w:val="24"/>
                <w:highlight w:val="none"/>
              </w:rPr>
              <w:t>说明：1、电子文件：</w:t>
            </w:r>
            <w:r>
              <w:rPr>
                <w:rFonts w:hint="eastAsia" w:ascii="仿宋_GB2312" w:hAnsi="仿宋_GB2312" w:eastAsia="仿宋_GB2312" w:cs="仿宋_GB2312"/>
                <w:b/>
                <w:bCs/>
                <w:color w:val="auto"/>
                <w:spacing w:val="0"/>
                <w:sz w:val="24"/>
                <w:highlight w:val="none"/>
                <w:lang w:eastAsia="zh-CN"/>
              </w:rPr>
              <w:t>响应人</w:t>
            </w:r>
            <w:r>
              <w:rPr>
                <w:rFonts w:hint="eastAsia" w:ascii="仿宋_GB2312" w:hAnsi="仿宋_GB2312" w:eastAsia="仿宋_GB2312" w:cs="仿宋_GB2312"/>
                <w:b/>
                <w:bCs/>
                <w:color w:val="auto"/>
                <w:spacing w:val="0"/>
                <w:sz w:val="24"/>
                <w:highlight w:val="none"/>
              </w:rPr>
              <w:t>将所有</w:t>
            </w:r>
            <w:r>
              <w:rPr>
                <w:rFonts w:hint="eastAsia" w:ascii="仿宋_GB2312" w:hAnsi="仿宋_GB2312" w:eastAsia="仿宋_GB2312" w:cs="仿宋_GB2312"/>
                <w:b/>
                <w:bCs/>
                <w:color w:val="auto"/>
                <w:spacing w:val="0"/>
                <w:sz w:val="24"/>
                <w:highlight w:val="none"/>
                <w:lang w:eastAsia="zh-CN"/>
              </w:rPr>
              <w:t>响应</w:t>
            </w:r>
            <w:r>
              <w:rPr>
                <w:rFonts w:hint="eastAsia" w:ascii="仿宋_GB2312" w:hAnsi="仿宋_GB2312" w:eastAsia="仿宋_GB2312" w:cs="仿宋_GB2312"/>
                <w:b/>
                <w:bCs/>
                <w:color w:val="auto"/>
                <w:spacing w:val="0"/>
                <w:sz w:val="24"/>
                <w:highlight w:val="none"/>
              </w:rPr>
              <w:t>文件签章完毕后扫描正本文件并制作成pdf格式，存储在U盘中，单独密封在一个密封袋中。2、副本可用正本的复印件。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82" w:type="dxa"/>
            <w:gridSpan w:val="2"/>
            <w:vAlign w:val="center"/>
          </w:tcPr>
          <w:p>
            <w:pPr>
              <w:snapToGrid w:val="0"/>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23.1</w:t>
            </w:r>
          </w:p>
        </w:tc>
        <w:tc>
          <w:tcPr>
            <w:tcW w:w="8377" w:type="dxa"/>
            <w:vAlign w:val="center"/>
          </w:tcPr>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响应文件递交截止日期、时间和地点：按竞争性磋商文件第一章规定。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82" w:type="dxa"/>
            <w:gridSpan w:val="2"/>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五、竞争性磋商流程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26.1</w:t>
            </w:r>
          </w:p>
        </w:tc>
        <w:tc>
          <w:tcPr>
            <w:tcW w:w="8377" w:type="dxa"/>
            <w:vAlign w:val="center"/>
          </w:tcPr>
          <w:p>
            <w:pPr>
              <w:snapToGrid w:val="0"/>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本项目磋商由依法组建的磋商小组负责，其成员由技术、经济等方面的专家</w:t>
            </w: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人组成。其中采购人代表1人</w:t>
            </w:r>
            <w:r>
              <w:rPr>
                <w:rFonts w:hint="eastAsia" w:ascii="仿宋_GB2312" w:hAnsi="仿宋_GB2312" w:eastAsia="仿宋_GB2312" w:cs="仿宋_GB2312"/>
                <w:bCs/>
                <w:color w:val="auto"/>
                <w:sz w:val="24"/>
                <w:szCs w:val="24"/>
                <w:highlight w:val="none"/>
                <w:lang w:eastAsia="zh-CN"/>
              </w:rPr>
              <w:t>，技术、经济方面</w:t>
            </w:r>
            <w:r>
              <w:rPr>
                <w:rFonts w:hint="eastAsia" w:ascii="仿宋_GB2312" w:hAnsi="仿宋_GB2312" w:eastAsia="仿宋_GB2312" w:cs="仿宋_GB2312"/>
                <w:bCs/>
                <w:color w:val="auto"/>
                <w:sz w:val="24"/>
                <w:szCs w:val="24"/>
                <w:highlight w:val="none"/>
              </w:rPr>
              <w:t>专家</w:t>
            </w:r>
            <w:r>
              <w:rPr>
                <w:rFonts w:hint="eastAsia" w:ascii="仿宋_GB2312" w:hAnsi="仿宋_GB2312" w:eastAsia="仿宋_GB2312" w:cs="仿宋_GB2312"/>
                <w:bCs/>
                <w:color w:val="auto"/>
                <w:sz w:val="24"/>
                <w:szCs w:val="24"/>
                <w:highlight w:val="none"/>
                <w:lang w:val="en-US" w:eastAsia="zh-CN"/>
              </w:rPr>
              <w:t>2人。专家</w:t>
            </w:r>
            <w:r>
              <w:rPr>
                <w:rFonts w:hint="eastAsia" w:ascii="仿宋_GB2312" w:hAnsi="仿宋_GB2312" w:eastAsia="仿宋_GB2312" w:cs="仿宋_GB2312"/>
                <w:bCs/>
                <w:color w:val="auto"/>
                <w:sz w:val="24"/>
                <w:szCs w:val="24"/>
                <w:highlight w:val="none"/>
              </w:rPr>
              <w:t>在</w:t>
            </w:r>
            <w:r>
              <w:rPr>
                <w:rFonts w:hint="eastAsia" w:ascii="仿宋_GB2312" w:hAnsi="仿宋_GB2312" w:eastAsia="仿宋_GB2312" w:cs="仿宋_GB2312"/>
                <w:bCs/>
                <w:color w:val="auto"/>
                <w:sz w:val="24"/>
                <w:szCs w:val="24"/>
                <w:highlight w:val="none"/>
                <w:lang w:val="en-US" w:eastAsia="zh-CN"/>
              </w:rPr>
              <w:t>代理机构</w:t>
            </w:r>
            <w:r>
              <w:rPr>
                <w:rFonts w:hint="eastAsia" w:ascii="仿宋_GB2312" w:hAnsi="仿宋_GB2312" w:eastAsia="仿宋_GB2312" w:cs="仿宋_GB2312"/>
                <w:bCs/>
                <w:color w:val="auto"/>
                <w:sz w:val="24"/>
                <w:szCs w:val="24"/>
                <w:highlight w:val="none"/>
              </w:rPr>
              <w:t>专家库中随机抽取，采购代理机构工作人员不作为磋商小组成员。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28.1</w:t>
            </w:r>
          </w:p>
        </w:tc>
        <w:tc>
          <w:tcPr>
            <w:tcW w:w="8377" w:type="dxa"/>
            <w:vAlign w:val="center"/>
          </w:tcPr>
          <w:p>
            <w:pPr>
              <w:snapToGrid w:val="0"/>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如在磋商中磋商小组没有对磋商文件作实质性变动增加新的需求，后一轮报价不得高于前一轮报价，否则视为无效报价，该供应商不再参与下轮磋商和报价，也不被推荐为成交候选人。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28.2</w:t>
            </w:r>
          </w:p>
        </w:tc>
        <w:tc>
          <w:tcPr>
            <w:tcW w:w="8377" w:type="dxa"/>
            <w:vAlign w:val="center"/>
          </w:tcPr>
          <w:p>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一</w:t>
            </w:r>
            <w:r>
              <w:rPr>
                <w:rFonts w:hint="eastAsia" w:ascii="仿宋_GB2312" w:hAnsi="仿宋_GB2312" w:eastAsia="仿宋_GB2312" w:cs="仿宋_GB2312"/>
                <w:color w:val="auto"/>
                <w:sz w:val="24"/>
                <w:szCs w:val="24"/>
                <w:highlight w:val="none"/>
              </w:rPr>
              <w:t>、本评标办法采用综合评分法。经磋商确定最终采购需求和提交最后报价的供应商后，由磋商小组采用综合评分法对提交最后报价的供应商的响应文件和最后报价进行综合评分。</w:t>
            </w:r>
          </w:p>
          <w:p>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、通过资格和符合性审查的有效供应商方有资格提交最后报价及进行技术商务及价格的详细评审，最后磋商小组出具评标报告。</w:t>
            </w:r>
          </w:p>
          <w:p>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、评分及其统计：按照</w:t>
            </w:r>
            <w:r>
              <w:rPr>
                <w:rFonts w:hint="eastAsia" w:ascii="仿宋_GB2312" w:hAnsi="仿宋_GB2312" w:eastAsia="仿宋_GB2312" w:cs="仿宋_GB2312"/>
                <w:color w:val="auto"/>
                <w:sz w:val="24"/>
                <w:szCs w:val="24"/>
                <w:highlight w:val="none"/>
                <w:lang w:val="en-US" w:eastAsia="zh-CN"/>
              </w:rPr>
              <w:t>评审</w:t>
            </w:r>
            <w:r>
              <w:rPr>
                <w:rFonts w:hint="eastAsia" w:ascii="仿宋_GB2312" w:hAnsi="仿宋_GB2312" w:eastAsia="仿宋_GB2312" w:cs="仿宋_GB2312"/>
                <w:color w:val="auto"/>
                <w:sz w:val="24"/>
                <w:szCs w:val="24"/>
                <w:highlight w:val="none"/>
              </w:rPr>
              <w:t>程序、评审标准以及权重分配的规定，磋商小组各成员分别就各个有效供应商的技术状况、商务状况及其对磋商文件要求的响应情况进行评议和比较，评出其技术评分和商务评分、价格评分相加得出其综合得分。</w:t>
            </w:r>
          </w:p>
          <w:p>
            <w:pPr>
              <w:pStyle w:val="2"/>
              <w:shd w:val="clea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说明：评审标准、具体评审因素及权重分配详见本章“资格和符合性审查表”</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28.3</w:t>
            </w:r>
          </w:p>
        </w:tc>
        <w:tc>
          <w:tcPr>
            <w:tcW w:w="8377" w:type="dxa"/>
            <w:vAlign w:val="center"/>
          </w:tcPr>
          <w:p>
            <w:pPr>
              <w:shd w:val="clear"/>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根据综合评分情况按照评审得分由高到低推荐三名成交候选人。</w:t>
            </w:r>
          </w:p>
          <w:p>
            <w:pPr>
              <w:shd w:val="clear"/>
              <w:snapToGrid w:val="0"/>
              <w:spacing w:line="360" w:lineRule="auto"/>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rPr>
              <w:t>推荐综合得分排名第一的</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为第一成交候选人，排名第二</w:t>
            </w:r>
            <w:r>
              <w:rPr>
                <w:rFonts w:hint="eastAsia" w:ascii="仿宋_GB2312" w:hAnsi="仿宋_GB2312" w:eastAsia="仿宋_GB2312" w:cs="仿宋_GB2312"/>
                <w:color w:val="auto"/>
                <w:kern w:val="2"/>
                <w:sz w:val="24"/>
                <w:szCs w:val="24"/>
                <w:highlight w:val="none"/>
              </w:rPr>
              <w:t>、第三</w:t>
            </w:r>
            <w:r>
              <w:rPr>
                <w:rFonts w:hint="eastAsia" w:ascii="仿宋_GB2312" w:hAnsi="仿宋_GB2312" w:eastAsia="仿宋_GB2312" w:cs="仿宋_GB2312"/>
                <w:bCs/>
                <w:color w:val="auto"/>
                <w:sz w:val="24"/>
                <w:szCs w:val="24"/>
                <w:highlight w:val="none"/>
              </w:rPr>
              <w:t>的</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pacing w:val="0"/>
                <w:sz w:val="24"/>
                <w:highlight w:val="none"/>
                <w:lang w:val="en-US" w:eastAsia="zh-CN"/>
              </w:rPr>
              <w:t>30</w:t>
            </w:r>
          </w:p>
        </w:tc>
        <w:tc>
          <w:tcPr>
            <w:tcW w:w="8377" w:type="dxa"/>
            <w:vAlign w:val="center"/>
          </w:tcPr>
          <w:p>
            <w:pPr>
              <w:shd w:val="clear"/>
              <w:spacing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供应商认为采购文件、采购过程、成交结果使自己的权益受到损害的，可以在知道或者应知其权益受到损害之日起7个工作日内，以书面形式向采购人、采购代理机构提出质疑。</w:t>
            </w:r>
          </w:p>
          <w:p>
            <w:pPr>
              <w:shd w:val="clear"/>
              <w:spacing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供应商在法定质疑期内一次性提出针对同一采购程序环节的质疑。</w:t>
            </w:r>
          </w:p>
          <w:p>
            <w:pPr>
              <w:shd w:val="clear"/>
              <w:snapToGrid/>
              <w:spacing w:line="360" w:lineRule="auto"/>
              <w:ind w:firstLine="480" w:firstLineChars="200"/>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kern w:val="0"/>
                <w:sz w:val="24"/>
                <w:highlight w:val="none"/>
              </w:rPr>
              <w:t>质疑函书面形式是指以纸质形式向采购人、采购代理机构当面递交，质疑函包括供应商的姓名或者名称、地址、邮编、联系人及联系电话等信息，格式详见</w:t>
            </w:r>
            <w:r>
              <w:rPr>
                <w:rFonts w:hint="eastAsia" w:ascii="仿宋_GB2312" w:hAnsi="仿宋_GB2312" w:eastAsia="仿宋_GB2312" w:cs="仿宋_GB2312"/>
                <w:color w:val="auto"/>
                <w:kern w:val="0"/>
                <w:sz w:val="24"/>
                <w:highlight w:val="none"/>
                <w:lang w:eastAsia="zh-CN"/>
              </w:rPr>
              <w:t>响应人</w:t>
            </w:r>
            <w:r>
              <w:rPr>
                <w:rFonts w:hint="eastAsia" w:ascii="仿宋_GB2312" w:hAnsi="仿宋_GB2312" w:eastAsia="仿宋_GB2312" w:cs="仿宋_GB2312"/>
                <w:color w:val="auto"/>
                <w:kern w:val="0"/>
                <w:sz w:val="24"/>
                <w:highlight w:val="none"/>
              </w:rPr>
              <w:t>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9282" w:type="dxa"/>
            <w:gridSpan w:val="2"/>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31.1</w:t>
            </w:r>
          </w:p>
        </w:tc>
        <w:tc>
          <w:tcPr>
            <w:tcW w:w="8377" w:type="dxa"/>
            <w:vAlign w:val="center"/>
          </w:tcPr>
          <w:p>
            <w:pPr>
              <w:snapToGrid w:val="0"/>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合同签订时间：自《成交通知书》发出之日起</w:t>
            </w:r>
            <w:r>
              <w:rPr>
                <w:rFonts w:hint="eastAsia" w:ascii="仿宋_GB2312" w:hAnsi="仿宋_GB2312" w:eastAsia="仿宋_GB2312" w:cs="仿宋_GB2312"/>
                <w:bCs/>
                <w:color w:val="auto"/>
                <w:sz w:val="24"/>
                <w:szCs w:val="24"/>
                <w:highlight w:val="none"/>
                <w:lang w:val="en-US" w:eastAsia="zh-CN"/>
              </w:rPr>
              <w:t>三</w:t>
            </w:r>
            <w:r>
              <w:rPr>
                <w:rFonts w:hint="eastAsia" w:ascii="仿宋_GB2312" w:hAnsi="仿宋_GB2312" w:eastAsia="仿宋_GB2312" w:cs="仿宋_GB2312"/>
                <w:bCs/>
                <w:color w:val="auto"/>
                <w:sz w:val="24"/>
                <w:szCs w:val="24"/>
                <w:highlight w:val="none"/>
              </w:rPr>
              <w:t>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Align w:val="center"/>
          </w:tcPr>
          <w:p>
            <w:pPr>
              <w:snapToGrid w:val="0"/>
              <w:spacing w:line="360" w:lineRule="auto"/>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33.1</w:t>
            </w:r>
          </w:p>
        </w:tc>
        <w:tc>
          <w:tcPr>
            <w:tcW w:w="8377" w:type="dxa"/>
            <w:vAlign w:val="center"/>
          </w:tcPr>
          <w:p>
            <w:pPr>
              <w:snapToGrid w:val="0"/>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5" w:type="dxa"/>
            <w:vAlign w:val="center"/>
          </w:tcPr>
          <w:p>
            <w:pPr>
              <w:snapToGri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w:t>
            </w:r>
          </w:p>
        </w:tc>
        <w:tc>
          <w:tcPr>
            <w:tcW w:w="8377" w:type="dxa"/>
            <w:vAlign w:val="center"/>
          </w:tcPr>
          <w:p>
            <w:pPr>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lang w:eastAsia="zh-CN"/>
              </w:rPr>
              <w:t>成交人</w:t>
            </w:r>
            <w:r>
              <w:rPr>
                <w:rFonts w:hint="eastAsia" w:ascii="仿宋_GB2312" w:hAnsi="仿宋_GB2312" w:eastAsia="仿宋_GB2312" w:cs="仿宋_GB2312"/>
                <w:bCs/>
                <w:color w:val="auto"/>
                <w:sz w:val="24"/>
                <w:szCs w:val="24"/>
                <w:highlight w:val="none"/>
              </w:rPr>
              <w:t>须向代理机构按如下标准和规定缴纳</w:t>
            </w:r>
            <w:r>
              <w:rPr>
                <w:rFonts w:hint="eastAsia" w:ascii="仿宋_GB2312" w:hAnsi="仿宋_GB2312" w:eastAsia="仿宋_GB2312" w:cs="仿宋_GB2312"/>
                <w:bCs/>
                <w:color w:val="auto"/>
                <w:sz w:val="24"/>
                <w:szCs w:val="24"/>
                <w:highlight w:val="none"/>
                <w:lang w:eastAsia="zh-CN"/>
              </w:rPr>
              <w:t>代理服务费</w:t>
            </w:r>
            <w:r>
              <w:rPr>
                <w:rFonts w:hint="eastAsia" w:ascii="仿宋_GB2312" w:hAnsi="仿宋_GB2312" w:eastAsia="仿宋_GB2312" w:cs="仿宋_GB2312"/>
                <w:bCs/>
                <w:color w:val="auto"/>
                <w:sz w:val="24"/>
                <w:szCs w:val="24"/>
                <w:highlight w:val="none"/>
              </w:rPr>
              <w:t>：</w:t>
            </w:r>
          </w:p>
          <w:p>
            <w:pPr>
              <w:snapToGrid w:val="0"/>
              <w:spacing w:line="360" w:lineRule="auto"/>
              <w:jc w:val="both"/>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t>1.1</w:t>
            </w:r>
            <w:r>
              <w:rPr>
                <w:rFonts w:hint="eastAsia" w:ascii="仿宋_GB2312" w:hAnsi="仿宋_GB2312" w:eastAsia="仿宋_GB2312" w:cs="仿宋_GB2312"/>
                <w:bCs/>
                <w:color w:val="auto"/>
                <w:sz w:val="24"/>
                <w:szCs w:val="24"/>
                <w:highlight w:val="none"/>
              </w:rPr>
              <w:tab/>
            </w:r>
            <w:r>
              <w:rPr>
                <w:rFonts w:hint="eastAsia" w:ascii="仿宋_GB2312" w:hAnsi="仿宋_GB2312" w:eastAsia="仿宋_GB2312" w:cs="仿宋_GB2312"/>
                <w:bCs/>
                <w:color w:val="auto"/>
                <w:sz w:val="24"/>
                <w:szCs w:val="24"/>
                <w:highlight w:val="none"/>
              </w:rPr>
              <w:t>以</w:t>
            </w:r>
            <w:r>
              <w:rPr>
                <w:rFonts w:hint="eastAsia" w:ascii="仿宋_GB2312" w:hAnsi="仿宋_GB2312" w:eastAsia="仿宋_GB2312" w:cs="仿宋_GB2312"/>
                <w:bCs/>
                <w:color w:val="auto"/>
                <w:sz w:val="24"/>
                <w:szCs w:val="24"/>
                <w:highlight w:val="none"/>
                <w:lang w:eastAsia="zh-CN"/>
              </w:rPr>
              <w:t>成交</w:t>
            </w:r>
            <w:r>
              <w:rPr>
                <w:rFonts w:hint="eastAsia" w:ascii="仿宋_GB2312" w:hAnsi="仿宋_GB2312" w:eastAsia="仿宋_GB2312" w:cs="仿宋_GB2312"/>
                <w:bCs/>
                <w:color w:val="auto"/>
                <w:sz w:val="24"/>
                <w:szCs w:val="24"/>
                <w:highlight w:val="none"/>
              </w:rPr>
              <w:t>通知书中的</w:t>
            </w:r>
            <w:r>
              <w:rPr>
                <w:rFonts w:hint="eastAsia" w:ascii="仿宋_GB2312" w:hAnsi="仿宋_GB2312" w:eastAsia="仿宋_GB2312" w:cs="仿宋_GB2312"/>
                <w:bCs/>
                <w:color w:val="auto"/>
                <w:sz w:val="24"/>
                <w:szCs w:val="24"/>
                <w:highlight w:val="none"/>
                <w:lang w:val="en-US" w:eastAsia="zh-CN"/>
              </w:rPr>
              <w:t>成交</w:t>
            </w:r>
            <w:r>
              <w:rPr>
                <w:rFonts w:hint="eastAsia" w:ascii="仿宋_GB2312" w:hAnsi="仿宋_GB2312" w:eastAsia="仿宋_GB2312" w:cs="仿宋_GB2312"/>
                <w:bCs/>
                <w:color w:val="auto"/>
                <w:sz w:val="24"/>
                <w:szCs w:val="24"/>
                <w:highlight w:val="none"/>
              </w:rPr>
              <w:t>金额作为</w:t>
            </w:r>
            <w:r>
              <w:rPr>
                <w:rFonts w:hint="eastAsia" w:ascii="仿宋_GB2312" w:hAnsi="仿宋_GB2312" w:eastAsia="仿宋_GB2312" w:cs="仿宋_GB2312"/>
                <w:bCs/>
                <w:color w:val="auto"/>
                <w:sz w:val="24"/>
                <w:szCs w:val="24"/>
                <w:highlight w:val="none"/>
                <w:lang w:eastAsia="zh-CN"/>
              </w:rPr>
              <w:t>代理服务费</w:t>
            </w:r>
            <w:r>
              <w:rPr>
                <w:rFonts w:hint="eastAsia" w:ascii="仿宋_GB2312" w:hAnsi="仿宋_GB2312" w:eastAsia="仿宋_GB2312" w:cs="仿宋_GB2312"/>
                <w:bCs/>
                <w:color w:val="auto"/>
                <w:sz w:val="24"/>
                <w:szCs w:val="24"/>
                <w:highlight w:val="none"/>
              </w:rPr>
              <w:t>的计算基数。</w:t>
            </w:r>
            <w:r>
              <w:rPr>
                <w:rFonts w:hint="eastAsia" w:ascii="仿宋_GB2312" w:hAnsi="仿宋_GB2312" w:eastAsia="仿宋_GB2312" w:cs="仿宋_GB2312"/>
                <w:bCs/>
                <w:color w:val="auto"/>
                <w:sz w:val="24"/>
                <w:szCs w:val="24"/>
                <w:highlight w:val="none"/>
                <w:lang w:eastAsia="zh-CN"/>
              </w:rPr>
              <w:t>代理服务费</w:t>
            </w:r>
            <w:r>
              <w:rPr>
                <w:rFonts w:hint="eastAsia" w:ascii="仿宋_GB2312" w:hAnsi="仿宋_GB2312" w:eastAsia="仿宋_GB2312" w:cs="仿宋_GB2312"/>
                <w:bCs/>
                <w:color w:val="auto"/>
                <w:sz w:val="24"/>
                <w:szCs w:val="24"/>
                <w:highlight w:val="none"/>
                <w:lang w:val="en-US" w:eastAsia="zh-CN"/>
              </w:rPr>
              <w:t>参考</w:t>
            </w:r>
            <w:r>
              <w:rPr>
                <w:rFonts w:hint="eastAsia" w:ascii="仿宋_GB2312" w:hAnsi="仿宋_GB2312" w:eastAsia="仿宋_GB2312" w:cs="仿宋_GB2312"/>
                <w:bCs/>
                <w:color w:val="auto"/>
                <w:sz w:val="24"/>
                <w:szCs w:val="24"/>
                <w:highlight w:val="none"/>
              </w:rPr>
              <w:t>计价格[2002]1980号、发改办价格[2003]857号、发改价格[2011]534号标准规定的“服务”类计算，收费按差额定率累进法计算，低于</w:t>
            </w:r>
            <w:r>
              <w:rPr>
                <w:rFonts w:hint="eastAsia" w:ascii="仿宋_GB2312" w:hAnsi="仿宋_GB2312" w:eastAsia="仿宋_GB2312" w:cs="仿宋_GB2312"/>
                <w:bCs/>
                <w:color w:val="auto"/>
                <w:sz w:val="24"/>
                <w:szCs w:val="24"/>
                <w:highlight w:val="none"/>
                <w:lang w:eastAsia="zh-CN"/>
              </w:rPr>
              <w:t>伍</w:t>
            </w:r>
            <w:r>
              <w:rPr>
                <w:rFonts w:hint="eastAsia" w:ascii="仿宋_GB2312" w:hAnsi="仿宋_GB2312" w:eastAsia="仿宋_GB2312" w:cs="仿宋_GB2312"/>
                <w:bCs/>
                <w:color w:val="auto"/>
                <w:sz w:val="24"/>
                <w:szCs w:val="24"/>
                <w:highlight w:val="none"/>
              </w:rPr>
              <w:t>仟元的，按</w:t>
            </w:r>
            <w:r>
              <w:rPr>
                <w:rFonts w:hint="eastAsia" w:ascii="仿宋_GB2312" w:hAnsi="仿宋_GB2312" w:eastAsia="仿宋_GB2312" w:cs="仿宋_GB2312"/>
                <w:bCs/>
                <w:color w:val="auto"/>
                <w:sz w:val="24"/>
                <w:szCs w:val="24"/>
                <w:highlight w:val="none"/>
                <w:lang w:eastAsia="zh-CN"/>
              </w:rPr>
              <w:t>伍</w:t>
            </w:r>
            <w:r>
              <w:rPr>
                <w:rFonts w:hint="eastAsia" w:ascii="仿宋_GB2312" w:hAnsi="仿宋_GB2312" w:eastAsia="仿宋_GB2312" w:cs="仿宋_GB2312"/>
                <w:bCs/>
                <w:color w:val="auto"/>
                <w:sz w:val="24"/>
                <w:szCs w:val="24"/>
                <w:highlight w:val="none"/>
              </w:rPr>
              <w:t>仟元收取</w:t>
            </w:r>
            <w:r>
              <w:rPr>
                <w:rFonts w:hint="eastAsia" w:ascii="仿宋_GB2312" w:hAnsi="仿宋_GB2312" w:eastAsia="仿宋_GB2312" w:cs="仿宋_GB2312"/>
                <w:bCs/>
                <w:color w:val="auto"/>
                <w:sz w:val="24"/>
                <w:szCs w:val="24"/>
                <w:highlight w:val="none"/>
                <w:lang w:eastAsia="zh-CN"/>
              </w:rPr>
              <w:t>。</w:t>
            </w:r>
          </w:p>
          <w:p>
            <w:pPr>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w:t>
            </w:r>
            <w:r>
              <w:rPr>
                <w:rFonts w:hint="eastAsia" w:ascii="仿宋_GB2312" w:hAnsi="仿宋_GB2312" w:eastAsia="仿宋_GB2312" w:cs="仿宋_GB2312"/>
                <w:bCs/>
                <w:color w:val="auto"/>
                <w:sz w:val="24"/>
                <w:szCs w:val="24"/>
                <w:highlight w:val="none"/>
              </w:rPr>
              <w:tab/>
            </w:r>
            <w:r>
              <w:rPr>
                <w:rFonts w:hint="eastAsia" w:ascii="仿宋_GB2312" w:hAnsi="仿宋_GB2312" w:eastAsia="仿宋_GB2312" w:cs="仿宋_GB2312"/>
                <w:bCs/>
                <w:color w:val="auto"/>
                <w:sz w:val="24"/>
                <w:szCs w:val="24"/>
                <w:highlight w:val="none"/>
                <w:lang w:eastAsia="zh-CN"/>
              </w:rPr>
              <w:t>代理服务费</w:t>
            </w:r>
            <w:r>
              <w:rPr>
                <w:rFonts w:hint="eastAsia" w:ascii="仿宋_GB2312" w:hAnsi="仿宋_GB2312" w:eastAsia="仿宋_GB2312" w:cs="仿宋_GB2312"/>
                <w:bCs/>
                <w:color w:val="auto"/>
                <w:sz w:val="24"/>
                <w:szCs w:val="24"/>
                <w:highlight w:val="none"/>
              </w:rPr>
              <w:t>的缴纳形式： 向采购代理机构直接缴纳代理服务费。以银行转账方式将代理服务费付至：</w:t>
            </w:r>
          </w:p>
          <w:p>
            <w:pPr>
              <w:pStyle w:val="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收款人名称：珠海华信达工程顾问有限公司  </w:t>
            </w:r>
          </w:p>
          <w:p>
            <w:pPr>
              <w:pStyle w:val="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开户银行：中国农业银行珠海梅华西支行</w:t>
            </w:r>
          </w:p>
          <w:p>
            <w:pPr>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    号：44354201040014710</w:t>
            </w:r>
          </w:p>
        </w:tc>
      </w:tr>
    </w:tbl>
    <w:p>
      <w:pPr>
        <w:widowControl/>
        <w:autoSpaceDE/>
        <w:autoSpaceDN/>
        <w:adjustRightInd/>
        <w:spacing w:line="240" w:lineRule="auto"/>
        <w:jc w:val="left"/>
        <w:rPr>
          <w:rFonts w:hint="eastAsia" w:ascii="仿宋_GB2312" w:hAnsi="仿宋_GB2312" w:eastAsia="仿宋_GB2312" w:cs="仿宋_GB2312"/>
          <w:b/>
          <w:color w:val="auto"/>
          <w:sz w:val="28"/>
          <w:szCs w:val="28"/>
          <w:highlight w:val="none"/>
        </w:rPr>
      </w:pPr>
      <w:bookmarkStart w:id="4" w:name="_Toc410736130"/>
      <w:bookmarkEnd w:id="4"/>
      <w:bookmarkStart w:id="5" w:name="_Toc410738930"/>
      <w:bookmarkEnd w:id="5"/>
      <w:r>
        <w:rPr>
          <w:rFonts w:hint="eastAsia" w:ascii="仿宋_GB2312" w:hAnsi="仿宋_GB2312" w:eastAsia="仿宋_GB2312" w:cs="仿宋_GB2312"/>
          <w:b/>
          <w:color w:val="auto"/>
          <w:sz w:val="28"/>
          <w:szCs w:val="28"/>
          <w:highlight w:val="none"/>
        </w:rPr>
        <w:br w:type="page"/>
      </w:r>
    </w:p>
    <w:p>
      <w:pPr>
        <w:widowControl w:val="0"/>
        <w:tabs>
          <w:tab w:val="left" w:pos="851"/>
        </w:tabs>
        <w:autoSpaceDE w:val="0"/>
        <w:autoSpaceDN w:val="0"/>
        <w:adjustRightInd w:val="0"/>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一、资格和符合性审查表</w:t>
      </w:r>
    </w:p>
    <w:tbl>
      <w:tblPr>
        <w:tblStyle w:val="27"/>
        <w:tblW w:w="9208"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996"/>
        <w:gridCol w:w="6212"/>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_GB2312" w:hAnsi="仿宋_GB2312" w:eastAsia="仿宋_GB2312" w:cs="仿宋_GB2312"/>
                <w:color w:val="auto"/>
                <w:szCs w:val="21"/>
                <w:highlight w:val="none"/>
              </w:rPr>
            </w:pPr>
            <w:r>
              <w:rPr>
                <w:rStyle w:val="30"/>
                <w:rFonts w:hint="eastAsia" w:ascii="仿宋_GB2312" w:hAnsi="仿宋_GB2312" w:eastAsia="仿宋_GB2312" w:cs="仿宋_GB2312"/>
                <w:color w:val="auto"/>
                <w:szCs w:val="21"/>
                <w:highlight w:val="none"/>
              </w:rPr>
              <w:t>审查项目</w:t>
            </w:r>
          </w:p>
        </w:tc>
        <w:tc>
          <w:tcPr>
            <w:tcW w:w="6212"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_GB2312" w:hAnsi="仿宋_GB2312" w:eastAsia="仿宋_GB2312" w:cs="仿宋_GB2312"/>
                <w:color w:val="auto"/>
                <w:szCs w:val="21"/>
                <w:highlight w:val="none"/>
              </w:rPr>
            </w:pPr>
            <w:r>
              <w:rPr>
                <w:rStyle w:val="30"/>
                <w:rFonts w:hint="eastAsia" w:ascii="仿宋_GB2312" w:hAnsi="仿宋_GB2312" w:eastAsia="仿宋_GB2312" w:cs="仿宋_GB2312"/>
                <w:color w:val="auto"/>
                <w:szCs w:val="21"/>
                <w:highlight w:val="none"/>
                <w:lang w:val="en-US" w:eastAsia="zh-CN"/>
              </w:rPr>
              <w:t>内地响应人</w:t>
            </w:r>
            <w:r>
              <w:rPr>
                <w:rStyle w:val="30"/>
                <w:rFonts w:hint="eastAsia" w:ascii="仿宋_GB2312" w:hAnsi="仿宋_GB2312" w:eastAsia="仿宋_GB2312" w:cs="仿宋_GB2312"/>
                <w:color w:val="auto"/>
                <w:szCs w:val="21"/>
                <w:highlight w:val="none"/>
              </w:rPr>
              <w:t>要求</w:t>
            </w:r>
            <w:r>
              <w:rPr>
                <w:rFonts w:hint="eastAsia" w:ascii="仿宋_GB2312" w:hAnsi="仿宋_GB2312" w:eastAsia="仿宋_GB2312" w:cs="仿宋_GB2312"/>
                <w:color w:val="auto"/>
                <w:szCs w:val="21"/>
                <w:highlight w:val="none"/>
              </w:rPr>
              <w:t>（与公告中</w:t>
            </w: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资格要求一致）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具有独立承担民事责任的能力</w:t>
            </w: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在中华人民共和国境内注册的法人或其他组织或自然人，响应时提交有效的营业执照（或事业法人登记证或身份证等相关证明） 副本复印件。分支机构</w:t>
            </w:r>
            <w:r>
              <w:rPr>
                <w:rFonts w:hint="eastAsia" w:ascii="仿宋_GB2312" w:hAnsi="仿宋_GB2312" w:eastAsia="仿宋_GB2312" w:cs="仿宋_GB2312"/>
                <w:color w:val="auto"/>
                <w:szCs w:val="21"/>
                <w:highlight w:val="none"/>
                <w:lang w:val="en-US" w:eastAsia="zh-CN"/>
              </w:rPr>
              <w:t>参与磋商</w:t>
            </w:r>
            <w:r>
              <w:rPr>
                <w:rFonts w:hint="eastAsia" w:ascii="仿宋_GB2312" w:hAnsi="仿宋_GB2312" w:eastAsia="仿宋_GB2312" w:cs="仿宋_GB2312"/>
                <w:color w:val="auto"/>
                <w:szCs w:val="21"/>
                <w:highlight w:val="none"/>
              </w:rPr>
              <w:t>的，须提供总公司和分公司营业执照副本复印件，总公司出具给分支机构的授权书。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88"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rPr>
              <w:t>有依法缴纳税收和社会保障资金的良好记录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 w:val="21"/>
                <w:szCs w:val="21"/>
                <w:highlight w:val="none"/>
                <w:lang w:val="en-US" w:eastAsia="zh-CN"/>
              </w:rPr>
              <w:t>响应</w:t>
            </w:r>
            <w:r>
              <w:rPr>
                <w:rFonts w:hint="eastAsia" w:ascii="仿宋_GB2312" w:hAnsi="仿宋_GB2312" w:eastAsia="仿宋_GB2312" w:cs="仿宋_GB2312"/>
                <w:color w:val="auto"/>
                <w:sz w:val="21"/>
                <w:szCs w:val="21"/>
                <w:highlight w:val="none"/>
              </w:rPr>
              <w:t>文件中提供《资格条件承诺函》。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05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具有良好的商业信誉和健全的财务会计制度</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lang w:eastAsia="zh-CN"/>
              </w:rPr>
              <w:t>响应文件</w:t>
            </w:r>
            <w:r>
              <w:rPr>
                <w:rFonts w:hint="eastAsia" w:ascii="仿宋_GB2312" w:hAnsi="仿宋_GB2312" w:eastAsia="仿宋_GB2312" w:cs="仿宋_GB2312"/>
                <w:iCs w:val="0"/>
                <w:color w:val="auto"/>
                <w:sz w:val="21"/>
                <w:szCs w:val="21"/>
                <w:highlight w:val="none"/>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rPr>
              <w:t>履行合同所必需的设备和专业技术能力</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lang w:eastAsia="zh-CN"/>
              </w:rPr>
              <w:t>响应文件</w:t>
            </w:r>
            <w:r>
              <w:rPr>
                <w:rFonts w:hint="eastAsia" w:ascii="仿宋_GB2312" w:hAnsi="仿宋_GB2312" w:eastAsia="仿宋_GB2312" w:cs="仿宋_GB2312"/>
                <w:iCs w:val="0"/>
                <w:color w:val="auto"/>
                <w:sz w:val="21"/>
                <w:szCs w:val="21"/>
                <w:highlight w:val="none"/>
              </w:rPr>
              <w:t>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rPr>
              <w:t>参加采购活动前3年内，在经营活动中没有重大违法记录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Cs w:val="0"/>
                <w:color w:val="auto"/>
                <w:sz w:val="21"/>
                <w:szCs w:val="21"/>
                <w:highlight w:val="none"/>
                <w:lang w:eastAsia="zh-CN"/>
              </w:rPr>
              <w:t>响应文件</w:t>
            </w:r>
            <w:r>
              <w:rPr>
                <w:rFonts w:hint="eastAsia" w:ascii="仿宋_GB2312" w:hAnsi="仿宋_GB2312" w:eastAsia="仿宋_GB2312" w:cs="仿宋_GB2312"/>
                <w:iCs w:val="0"/>
                <w:color w:val="auto"/>
                <w:sz w:val="21"/>
                <w:szCs w:val="21"/>
                <w:highlight w:val="none"/>
              </w:rPr>
              <w:t>中提供《资格条件承诺函》。重大违法记录，是指</w:t>
            </w:r>
            <w:r>
              <w:rPr>
                <w:rFonts w:hint="eastAsia" w:ascii="仿宋_GB2312" w:hAnsi="仿宋_GB2312" w:eastAsia="仿宋_GB2312" w:cs="仿宋_GB2312"/>
                <w:iCs w:val="0"/>
                <w:color w:val="auto"/>
                <w:sz w:val="21"/>
                <w:szCs w:val="21"/>
                <w:highlight w:val="none"/>
                <w:lang w:eastAsia="zh-CN"/>
              </w:rPr>
              <w:t>响应人</w:t>
            </w:r>
            <w:r>
              <w:rPr>
                <w:rFonts w:hint="eastAsia" w:ascii="仿宋_GB2312" w:hAnsi="仿宋_GB2312" w:eastAsia="仿宋_GB2312" w:cs="仿宋_GB2312"/>
                <w:iCs w:val="0"/>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rPr>
            </w:pPr>
            <w:r>
              <w:rPr>
                <w:rFonts w:hint="eastAsia" w:ascii="仿宋_GB2312" w:hAnsi="仿宋_GB2312" w:eastAsia="仿宋_GB2312" w:cs="仿宋_GB2312"/>
                <w:color w:val="auto"/>
                <w:sz w:val="21"/>
                <w:szCs w:val="21"/>
                <w:highlight w:val="none"/>
              </w:rPr>
              <w:t>信用记录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rPr>
            </w:pPr>
            <w:r>
              <w:rPr>
                <w:rFonts w:hint="eastAsia" w:ascii="仿宋_GB2312" w:hAnsi="仿宋_GB2312" w:eastAsia="仿宋_GB2312" w:cs="仿宋_GB2312"/>
                <w:iCs w:val="0"/>
                <w:color w:val="auto"/>
                <w:sz w:val="21"/>
                <w:szCs w:val="21"/>
                <w:highlight w:val="none"/>
              </w:rPr>
              <w:t>响应人未被列入“信用中国”网站(www.creditchina.gov.cn)以下任意记录名单之一：①失信被执行人；②税收违法黑名单；③政府采购严重违法失信行为。同时，不处于中国政府采购网(www.ccgp.gov.cn)“政府采购严重违法失信行为信息记录”中的禁止参加政府采购活动期间。说明：①由负责资格审查人员于资格审查时在“信用中国”网站（www.creditchina.gov.cn）及中国政府采购网(www.ccgp.gov.cn)查询结果为准。上述网站查询页面不能显示响应人相关查询信息的,视为响应人满足上述要求。响应人分支机构不满足信用信息相关要求的,也视为响应人不满足要求。②采购代理机构同时对信用信息查询记录和证据截图或下载存档。</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rPr>
            </w:pPr>
            <w:r>
              <w:rPr>
                <w:rFonts w:hint="eastAsia" w:ascii="仿宋_GB2312" w:hAnsi="仿宋_GB2312" w:eastAsia="仿宋_GB2312" w:cs="仿宋_GB2312"/>
                <w:iCs w:val="0"/>
                <w:color w:val="auto"/>
                <w:sz w:val="21"/>
                <w:szCs w:val="21"/>
                <w:highlight w:val="none"/>
                <w:lang w:val="en-US" w:eastAsia="zh-CN"/>
              </w:rPr>
              <w:t>响应人必须符合法律、行政法规规定的其他条件</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rPr>
            </w:pPr>
            <w:r>
              <w:rPr>
                <w:rFonts w:hint="eastAsia" w:ascii="仿宋_GB2312" w:hAnsi="仿宋_GB2312" w:eastAsia="仿宋_GB2312" w:cs="仿宋_GB2312"/>
                <w:iCs w:val="0"/>
                <w:color w:val="auto"/>
                <w:sz w:val="21"/>
                <w:szCs w:val="21"/>
                <w:highlight w:val="none"/>
                <w:lang w:val="en-US" w:eastAsia="zh-CN"/>
              </w:rPr>
              <w:t>为本项目提供整体设计、规范编制或者项目管理、监理、检测等服务的响应人，不得再参加该采购项目同一合同项下的其他采购活动；单位负责人为同一人或者存在直接控股、管理关系的不同响应人，不得参加同一合同项下的政府采购活动；响应人符合法律、行政法规规定的其他条件；提供《磋商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default"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资质证书</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响应人具有建设行政主管部门颁发的建筑装饰工程专项设计丙级或以上资质。（响应文件中须提供证书复印件加盖响应人公章）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jc w:val="both"/>
              <w:rPr>
                <w:rFonts w:hint="eastAsia" w:ascii="仿宋_GB2312" w:hAnsi="仿宋_GB2312" w:eastAsia="仿宋_GB2312" w:cs="仿宋_GB2312"/>
                <w:iCs w:val="0"/>
                <w:color w:val="auto"/>
                <w:sz w:val="21"/>
                <w:szCs w:val="21"/>
                <w:highlight w:val="none"/>
                <w:lang w:val="en-US" w:eastAsia="zh-CN"/>
              </w:rPr>
            </w:pPr>
            <w:r>
              <w:rPr>
                <w:rStyle w:val="29"/>
                <w:rFonts w:hint="eastAsia" w:ascii="仿宋_GB2312" w:hAnsi="仿宋_GB2312" w:eastAsia="仿宋_GB2312" w:cs="仿宋_GB2312"/>
                <w:b/>
                <w:bCs/>
                <w:color w:val="auto"/>
                <w:szCs w:val="21"/>
                <w:highlight w:val="none"/>
              </w:rPr>
              <w:t>审查项目</w:t>
            </w:r>
          </w:p>
        </w:tc>
        <w:tc>
          <w:tcPr>
            <w:tcW w:w="6212" w:type="dxa"/>
            <w:tcBorders>
              <w:top w:val="outset" w:color="111111" w:sz="6" w:space="0"/>
              <w:left w:val="outset" w:color="111111" w:sz="6" w:space="0"/>
              <w:bottom w:val="outset" w:color="111111" w:sz="6" w:space="0"/>
              <w:right w:val="outset" w:color="111111" w:sz="6" w:space="0"/>
            </w:tcBorders>
            <w:vAlign w:val="center"/>
          </w:tcPr>
          <w:p>
            <w:pPr>
              <w:jc w:val="both"/>
              <w:rPr>
                <w:rFonts w:hint="eastAsia" w:ascii="仿宋_GB2312" w:hAnsi="仿宋_GB2312" w:eastAsia="仿宋_GB2312" w:cs="仿宋_GB2312"/>
                <w:iCs w:val="0"/>
                <w:color w:val="auto"/>
                <w:sz w:val="21"/>
                <w:szCs w:val="21"/>
                <w:highlight w:val="none"/>
                <w:lang w:val="en-US" w:eastAsia="zh-CN"/>
              </w:rPr>
            </w:pPr>
            <w:r>
              <w:rPr>
                <w:rStyle w:val="29"/>
                <w:rFonts w:hint="eastAsia" w:ascii="仿宋_GB2312" w:hAnsi="仿宋_GB2312" w:eastAsia="仿宋_GB2312" w:cs="仿宋_GB2312"/>
                <w:b/>
                <w:bCs/>
                <w:color w:val="auto"/>
                <w:szCs w:val="21"/>
                <w:highlight w:val="none"/>
                <w:lang w:val="en-US" w:eastAsia="zh-CN"/>
              </w:rPr>
              <w:t>港澳响应人</w:t>
            </w:r>
            <w:r>
              <w:rPr>
                <w:rStyle w:val="29"/>
                <w:rFonts w:hint="eastAsia" w:ascii="仿宋_GB2312" w:hAnsi="仿宋_GB2312" w:eastAsia="仿宋_GB2312" w:cs="仿宋_GB2312"/>
                <w:b/>
                <w:bCs/>
                <w:color w:val="auto"/>
                <w:szCs w:val="21"/>
                <w:highlight w:val="none"/>
              </w:rPr>
              <w:t>要求</w:t>
            </w:r>
            <w:r>
              <w:rPr>
                <w:rFonts w:hint="eastAsia" w:ascii="仿宋_GB2312" w:hAnsi="仿宋_GB2312" w:eastAsia="仿宋_GB2312" w:cs="仿宋_GB2312"/>
                <w:b/>
                <w:bCs/>
                <w:color w:val="auto"/>
                <w:szCs w:val="21"/>
                <w:highlight w:val="none"/>
              </w:rPr>
              <w:t>（与公告中</w:t>
            </w:r>
            <w:r>
              <w:rPr>
                <w:rFonts w:hint="eastAsia" w:ascii="仿宋_GB2312" w:hAnsi="仿宋_GB2312" w:eastAsia="仿宋_GB2312" w:cs="仿宋_GB2312"/>
                <w:b/>
                <w:bCs/>
                <w:color w:val="auto"/>
                <w:szCs w:val="21"/>
                <w:highlight w:val="none"/>
                <w:lang w:eastAsia="zh-CN"/>
              </w:rPr>
              <w:t>响应人</w:t>
            </w:r>
            <w:r>
              <w:rPr>
                <w:rFonts w:hint="eastAsia" w:ascii="仿宋_GB2312" w:hAnsi="仿宋_GB2312" w:eastAsia="仿宋_GB2312" w:cs="仿宋_GB2312"/>
                <w:b/>
                <w:bCs/>
                <w:color w:val="auto"/>
                <w:szCs w:val="21"/>
                <w:highlight w:val="none"/>
              </w:rPr>
              <w:t>资格要求一致）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具有独立承担民事责任的能力</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港澳响应人需提供商事登记证明文件复印件并加盖公章。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有依法缴纳税收和社会保障资金的良好记录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响应文件中提供《资格条件承诺函》。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具有良好的商业信誉和健全的财务会计制度</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响应文件中提供《资格条件承诺函》。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履行合同所必需的设备和专业技术能力</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响应文件中提供《资格条件承诺函》。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参加采购活动前3年内，在经营活动中没有重大违法记录</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响应文件中提供《资格条件承诺函》。重大违法记录，是指响应人因违法经营受到刑事处罚或者责令停产停业、吊销许可证或者执照、较大数额罚款等行政处罚。</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供应商必须符合法律、行政法规规定的其他条件</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为本项目提供整体设计、规范编制或者项目管理、监理、检测等服务的供应商，不得再参加该采购项目同一合同项下的其他采购活动；单位负责人为同一人或者存在直接控股、管理关系的不同供应商，不得参加同一合同项下的采购活动；符合法律、行政法规规定的其他条件；提供磋商函。</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473" w:hRule="atLeast"/>
          <w:jc w:val="center"/>
        </w:trPr>
        <w:tc>
          <w:tcPr>
            <w:tcW w:w="2996" w:type="dxa"/>
            <w:tcBorders>
              <w:top w:val="outset" w:color="111111" w:sz="6" w:space="0"/>
              <w:left w:val="outset" w:color="111111" w:sz="6" w:space="0"/>
              <w:right w:val="outset" w:color="111111" w:sz="6" w:space="0"/>
            </w:tcBorders>
            <w:vAlign w:val="center"/>
          </w:tcPr>
          <w:p>
            <w:pPr>
              <w:pStyle w:val="23"/>
              <w:jc w:val="left"/>
              <w:rPr>
                <w:rFonts w:hint="default"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资质证书</w:t>
            </w:r>
          </w:p>
        </w:tc>
        <w:tc>
          <w:tcPr>
            <w:tcW w:w="6212" w:type="dxa"/>
            <w:tcBorders>
              <w:top w:val="outset" w:color="111111" w:sz="6" w:space="0"/>
              <w:left w:val="outset" w:color="111111" w:sz="6" w:space="0"/>
              <w:bottom w:val="outset" w:color="111111" w:sz="6" w:space="0"/>
              <w:right w:val="outset" w:color="111111" w:sz="6" w:space="0"/>
            </w:tcBorders>
            <w:vAlign w:val="center"/>
          </w:tcPr>
          <w:p>
            <w:pPr>
              <w:pStyle w:val="23"/>
              <w:spacing w:before="0" w:beforeAutospacing="0" w:after="0" w:afterAutospacing="0"/>
              <w:jc w:val="left"/>
              <w:rPr>
                <w:rFonts w:hint="eastAsia" w:ascii="仿宋_GB2312" w:hAnsi="仿宋_GB2312" w:eastAsia="仿宋_GB2312" w:cs="仿宋_GB2312"/>
                <w:iCs w:val="0"/>
                <w:color w:val="auto"/>
                <w:sz w:val="21"/>
                <w:szCs w:val="21"/>
                <w:highlight w:val="none"/>
                <w:lang w:val="en-US" w:eastAsia="zh-CN"/>
              </w:rPr>
            </w:pPr>
            <w:r>
              <w:rPr>
                <w:rFonts w:hint="eastAsia" w:ascii="仿宋_GB2312" w:hAnsi="仿宋_GB2312" w:eastAsia="仿宋_GB2312" w:cs="仿宋_GB2312"/>
                <w:iCs w:val="0"/>
                <w:color w:val="auto"/>
                <w:sz w:val="21"/>
                <w:szCs w:val="21"/>
                <w:highlight w:val="none"/>
                <w:lang w:val="en-US" w:eastAsia="zh-CN"/>
              </w:rPr>
              <w:t>响应人具有横琴粤澳深度合作区城市规划和建设局颁发的香港/澳门建筑及相关工程咨询企业备案认可书，备案业务范围为[建筑装饰工程设计]。或具有在广东省住房和城乡建设厅备案认可的证明文件，备案业务范围为[建筑装饰工程设计]。</w:t>
            </w:r>
            <w:r>
              <w:rPr>
                <w:rFonts w:hint="eastAsia" w:ascii="仿宋_GB2312" w:hAnsi="仿宋_GB2312" w:eastAsia="仿宋_GB2312" w:cs="仿宋_GB2312"/>
                <w:b w:val="0"/>
                <w:iCs w:val="0"/>
                <w:color w:val="auto"/>
                <w:sz w:val="21"/>
                <w:szCs w:val="21"/>
                <w:highlight w:val="none"/>
              </w:rPr>
              <w:t>（响应文件中须提供证书复印件加盖响应人公章）。</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9208" w:type="dxa"/>
            <w:gridSpan w:val="2"/>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不能通过资格性审查的</w:t>
            </w: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，不需进行以下内容的审查。</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restart"/>
            <w:tcBorders>
              <w:top w:val="outset" w:color="111111" w:sz="6" w:space="0"/>
              <w:left w:val="outset" w:color="111111" w:sz="6" w:space="0"/>
              <w:right w:val="outset" w:color="111111" w:sz="6" w:space="0"/>
            </w:tcBorders>
            <w:vAlign w:val="center"/>
          </w:tcPr>
          <w:p>
            <w:pPr>
              <w:pStyle w:val="23"/>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bidi="ar-SA"/>
              </w:rPr>
              <w:t>符合性审查</w:t>
            </w: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最终</w:t>
            </w:r>
            <w:r>
              <w:rPr>
                <w:rFonts w:hint="eastAsia" w:ascii="仿宋_GB2312" w:hAnsi="仿宋_GB2312" w:eastAsia="仿宋_GB2312" w:cs="仿宋_GB2312"/>
                <w:color w:val="auto"/>
                <w:szCs w:val="21"/>
                <w:highlight w:val="none"/>
              </w:rPr>
              <w:t>报价未超过本项目的最高限价。</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b w:val="0"/>
                <w:bCs w:val="0"/>
                <w:color w:val="auto"/>
                <w:szCs w:val="21"/>
                <w:highlight w:val="none"/>
              </w:rPr>
              <w:t>磋商函</w:t>
            </w:r>
            <w:r>
              <w:rPr>
                <w:rFonts w:hint="eastAsia" w:ascii="仿宋_GB2312" w:hAnsi="仿宋_GB2312" w:eastAsia="仿宋_GB2312" w:cs="仿宋_GB2312"/>
                <w:color w:val="auto"/>
                <w:szCs w:val="21"/>
                <w:highlight w:val="none"/>
              </w:rPr>
              <w:t>已提交并符合竞争性磋商文件要求的。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3、磋商有效期为</w:t>
            </w:r>
            <w:r>
              <w:rPr>
                <w:rFonts w:hint="default" w:ascii="仿宋_GB2312" w:hAnsi="仿宋_GB2312" w:eastAsia="仿宋_GB2312" w:cs="仿宋_GB2312"/>
                <w:color w:val="auto"/>
                <w:szCs w:val="21"/>
                <w:highlight w:val="none"/>
              </w:rPr>
              <w:t>开标之日起</w:t>
            </w:r>
            <w:r>
              <w:rPr>
                <w:rFonts w:hint="eastAsia" w:ascii="仿宋_GB2312" w:hAnsi="仿宋_GB2312" w:eastAsia="仿宋_GB2312" w:cs="仿宋_GB2312"/>
                <w:color w:val="auto"/>
                <w:szCs w:val="21"/>
                <w:highlight w:val="none"/>
                <w:lang w:val="en-US" w:eastAsia="zh-CN"/>
              </w:rPr>
              <w:t>90</w:t>
            </w:r>
            <w:r>
              <w:rPr>
                <w:rFonts w:hint="default" w:ascii="仿宋_GB2312" w:hAnsi="仿宋_GB2312" w:eastAsia="仿宋_GB2312" w:cs="仿宋_GB2312"/>
                <w:color w:val="auto"/>
                <w:szCs w:val="21"/>
                <w:highlight w:val="none"/>
              </w:rPr>
              <w:t>日历天</w:t>
            </w:r>
            <w:r>
              <w:rPr>
                <w:rFonts w:hint="eastAsia" w:ascii="仿宋_GB2312" w:hAnsi="仿宋_GB2312" w:eastAsia="仿宋_GB2312" w:cs="仿宋_GB2312"/>
                <w:color w:val="auto"/>
                <w:szCs w:val="21"/>
                <w:highlight w:val="none"/>
              </w:rPr>
              <w:t>。</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4、商务文本已提交（无重大偏离或保留）。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5、没有其他未实质性响应文件要求的。</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2996" w:type="dxa"/>
            <w:vMerge w:val="continue"/>
            <w:tcBorders>
              <w:left w:val="outset" w:color="111111" w:sz="6" w:space="0"/>
              <w:bottom w:val="outset" w:color="111111" w:sz="6" w:space="0"/>
              <w:right w:val="outset" w:color="111111" w:sz="6" w:space="0"/>
            </w:tcBorders>
            <w:vAlign w:val="center"/>
          </w:tcPr>
          <w:p>
            <w:pPr>
              <w:rPr>
                <w:rFonts w:hint="eastAsia" w:ascii="仿宋_GB2312" w:hAnsi="仿宋_GB2312" w:eastAsia="仿宋_GB2312" w:cs="仿宋_GB2312"/>
                <w:color w:val="auto"/>
                <w:szCs w:val="21"/>
                <w:highlight w:val="none"/>
              </w:rPr>
            </w:pPr>
          </w:p>
        </w:tc>
        <w:tc>
          <w:tcPr>
            <w:tcW w:w="6212" w:type="dxa"/>
            <w:tcBorders>
              <w:top w:val="outset" w:color="111111" w:sz="6" w:space="0"/>
              <w:left w:val="outset" w:color="111111" w:sz="6" w:space="0"/>
              <w:bottom w:val="outset" w:color="111111" w:sz="6" w:space="0"/>
              <w:right w:val="outset" w:color="111111" w:sz="6" w:space="0"/>
            </w:tcBorders>
            <w:vAlign w:val="center"/>
          </w:tcPr>
          <w:p>
            <w:pP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6、★条款需满足磋商文件要求。</w:t>
            </w:r>
          </w:p>
        </w:tc>
      </w:tr>
    </w:tbl>
    <w:p>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注：1. 每一项符合的打“√”，不符合的打“×”。</w:t>
      </w:r>
    </w:p>
    <w:p>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 “结论”一栏填写“通过”或“不通过”；任何一项出现“×”的，结论为不通过；不通过的为无效投标。</w:t>
      </w:r>
    </w:p>
    <w:p>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汇总时出现不同意见的，磋商小组按简单多数原则表决决定。</w:t>
      </w:r>
    </w:p>
    <w:p>
      <w:pPr>
        <w:widowControl w:val="0"/>
        <w:tabs>
          <w:tab w:val="left" w:pos="851"/>
        </w:tabs>
        <w:autoSpaceDE w:val="0"/>
        <w:autoSpaceDN w:val="0"/>
        <w:adjustRightInd w:val="0"/>
        <w:spacing w:line="36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t>4. 如果磋商小组发现</w:t>
      </w: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的报价明显低于其他</w:t>
      </w:r>
      <w:r>
        <w:rPr>
          <w:rFonts w:hint="eastAsia" w:ascii="仿宋_GB2312" w:hAnsi="仿宋_GB2312" w:eastAsia="仿宋_GB2312" w:cs="仿宋_GB2312"/>
          <w:color w:val="auto"/>
          <w:szCs w:val="21"/>
          <w:highlight w:val="none"/>
          <w:lang w:eastAsia="zh-CN"/>
        </w:rPr>
        <w:t>响应报价</w:t>
      </w:r>
      <w:r>
        <w:rPr>
          <w:rFonts w:hint="eastAsia" w:ascii="仿宋_GB2312" w:hAnsi="仿宋_GB2312" w:eastAsia="仿宋_GB2312" w:cs="仿宋_GB2312"/>
          <w:color w:val="auto"/>
          <w:szCs w:val="21"/>
          <w:highlight w:val="none"/>
        </w:rPr>
        <w:t>，使得其</w:t>
      </w:r>
      <w:r>
        <w:rPr>
          <w:rFonts w:hint="eastAsia" w:ascii="仿宋_GB2312" w:hAnsi="仿宋_GB2312" w:eastAsia="仿宋_GB2312" w:cs="仿宋_GB2312"/>
          <w:color w:val="auto"/>
          <w:szCs w:val="21"/>
          <w:highlight w:val="none"/>
          <w:lang w:eastAsia="zh-CN"/>
        </w:rPr>
        <w:t>响应报价</w:t>
      </w:r>
      <w:r>
        <w:rPr>
          <w:rFonts w:hint="eastAsia" w:ascii="仿宋_GB2312" w:hAnsi="仿宋_GB2312" w:eastAsia="仿宋_GB2312" w:cs="仿宋_GB2312"/>
          <w:color w:val="auto"/>
          <w:szCs w:val="21"/>
          <w:highlight w:val="none"/>
        </w:rPr>
        <w:t>可能低于其个别成本的，将要求该</w:t>
      </w: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作书面说明并提供相关证明材料。</w:t>
      </w:r>
    </w:p>
    <w:p>
      <w:pPr>
        <w:jc w:val="both"/>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pStyle w:val="2"/>
        <w:rPr>
          <w:rFonts w:hint="eastAsia" w:ascii="仿宋_GB2312" w:hAnsi="仿宋_GB2312" w:eastAsia="仿宋_GB2312" w:cs="仿宋_GB2312"/>
          <w:color w:val="auto"/>
          <w:sz w:val="36"/>
          <w:szCs w:val="36"/>
          <w:highlight w:val="none"/>
          <w:lang w:eastAsia="zh-CN"/>
        </w:rPr>
      </w:pPr>
    </w:p>
    <w:p>
      <w:pPr>
        <w:jc w:val="center"/>
        <w:rPr>
          <w:rFonts w:hint="eastAsia" w:ascii="仿宋_GB2312" w:hAnsi="仿宋_GB2312" w:eastAsia="仿宋_GB2312" w:cs="仿宋_GB2312"/>
          <w:color w:val="auto"/>
          <w:sz w:val="36"/>
          <w:szCs w:val="36"/>
          <w:highlight w:val="none"/>
          <w:lang w:eastAsia="zh-CN"/>
        </w:rPr>
      </w:pPr>
      <w:r>
        <w:rPr>
          <w:rFonts w:hint="eastAsia" w:ascii="仿宋_GB2312" w:hAnsi="仿宋_GB2312" w:eastAsia="仿宋_GB2312" w:cs="仿宋_GB2312"/>
          <w:color w:val="auto"/>
          <w:sz w:val="36"/>
          <w:szCs w:val="36"/>
          <w:highlight w:val="none"/>
          <w:lang w:eastAsia="zh-CN"/>
        </w:rPr>
        <w:t>评分细则</w:t>
      </w:r>
    </w:p>
    <w:p>
      <w:pPr>
        <w:keepNext/>
        <w:keepLines/>
        <w:widowControl w:val="0"/>
        <w:spacing w:before="100" w:after="0" w:line="360" w:lineRule="auto"/>
        <w:ind w:firstLine="482" w:firstLineChars="200"/>
        <w:jc w:val="center"/>
        <w:outlineLvl w:val="2"/>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1、技术部分（55分）</w:t>
      </w:r>
    </w:p>
    <w:tbl>
      <w:tblPr>
        <w:tblStyle w:val="27"/>
        <w:tblW w:w="8752" w:type="dxa"/>
        <w:tblInd w:w="93" w:type="dxa"/>
        <w:shd w:val="clear" w:color="auto" w:fill="auto"/>
        <w:tblLayout w:type="fixed"/>
        <w:tblCellMar>
          <w:top w:w="0" w:type="dxa"/>
          <w:left w:w="108" w:type="dxa"/>
          <w:bottom w:w="0" w:type="dxa"/>
          <w:right w:w="108" w:type="dxa"/>
        </w:tblCellMar>
      </w:tblPr>
      <w:tblGrid>
        <w:gridCol w:w="521"/>
        <w:gridCol w:w="1430"/>
        <w:gridCol w:w="6801"/>
      </w:tblGrid>
      <w:tr>
        <w:tblPrEx>
          <w:shd w:val="clear" w:color="auto" w:fill="auto"/>
          <w:tblCellMar>
            <w:top w:w="0" w:type="dxa"/>
            <w:left w:w="108" w:type="dxa"/>
            <w:bottom w:w="0" w:type="dxa"/>
            <w:right w:w="108" w:type="dxa"/>
          </w:tblCellMar>
        </w:tblPrEx>
        <w:trPr>
          <w:trHeight w:val="28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序号</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评分标准</w:t>
            </w:r>
          </w:p>
        </w:tc>
      </w:tr>
      <w:tr>
        <w:tblPrEx>
          <w:shd w:val="clear" w:color="auto" w:fill="auto"/>
          <w:tblCellMar>
            <w:top w:w="0" w:type="dxa"/>
            <w:left w:w="108" w:type="dxa"/>
            <w:bottom w:w="0" w:type="dxa"/>
            <w:right w:w="108" w:type="dxa"/>
          </w:tblCellMar>
        </w:tblPrEx>
        <w:trPr>
          <w:trHeight w:val="94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对项目的理解</w:t>
            </w:r>
            <w:r>
              <w:rPr>
                <w:rFonts w:hint="eastAsia" w:ascii="仿宋" w:hAnsi="仿宋" w:eastAsia="仿宋" w:cs="仿宋"/>
                <w:color w:val="000000"/>
                <w:sz w:val="22"/>
                <w:szCs w:val="22"/>
                <w:highlight w:val="none"/>
                <w:lang w:eastAsia="zh-CN"/>
              </w:rPr>
              <w:t>与认识</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 w:hAnsi="仿宋" w:eastAsia="仿宋" w:cs="仿宋"/>
                <w:color w:val="000000"/>
                <w:sz w:val="22"/>
                <w:szCs w:val="22"/>
                <w:highlight w:val="none"/>
              </w:rPr>
              <w:t>（</w:t>
            </w:r>
            <w:r>
              <w:rPr>
                <w:rFonts w:hint="eastAsia" w:ascii="仿宋" w:hAnsi="仿宋" w:eastAsia="仿宋" w:cs="仿宋"/>
                <w:color w:val="000000"/>
                <w:sz w:val="22"/>
                <w:szCs w:val="22"/>
                <w:highlight w:val="none"/>
                <w:lang w:val="en-US" w:eastAsia="zh-CN"/>
              </w:rPr>
              <w:t>15</w:t>
            </w:r>
            <w:r>
              <w:rPr>
                <w:rFonts w:hint="eastAsia" w:ascii="仿宋" w:hAnsi="仿宋" w:eastAsia="仿宋" w:cs="仿宋"/>
                <w:color w:val="000000"/>
                <w:sz w:val="22"/>
                <w:szCs w:val="22"/>
                <w:highlight w:val="none"/>
              </w:rPr>
              <w:t>分）</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评委根据</w:t>
            </w:r>
            <w:r>
              <w:rPr>
                <w:rFonts w:hint="eastAsia" w:ascii="仿宋_GB2312" w:hAnsi="仿宋_GB2312" w:eastAsia="仿宋_GB2312" w:cs="仿宋_GB2312"/>
                <w:i w:val="0"/>
                <w:iCs w:val="0"/>
                <w:color w:val="auto"/>
                <w:sz w:val="24"/>
                <w:szCs w:val="24"/>
                <w:highlight w:val="none"/>
                <w:u w:val="none"/>
                <w:lang w:eastAsia="zh-CN"/>
              </w:rPr>
              <w:t>响应人</w:t>
            </w:r>
            <w:r>
              <w:rPr>
                <w:rFonts w:hint="eastAsia" w:ascii="仿宋_GB2312" w:hAnsi="仿宋_GB2312" w:eastAsia="仿宋_GB2312" w:cs="仿宋_GB2312"/>
                <w:i w:val="0"/>
                <w:iCs w:val="0"/>
                <w:color w:val="auto"/>
                <w:sz w:val="24"/>
                <w:szCs w:val="24"/>
                <w:highlight w:val="none"/>
                <w:u w:val="none"/>
              </w:rPr>
              <w:t>对港澳大道3号地下人行通道区域功能、</w:t>
            </w:r>
            <w:r>
              <w:rPr>
                <w:rFonts w:hint="eastAsia" w:ascii="仿宋_GB2312" w:hAnsi="仿宋_GB2312" w:eastAsia="仿宋_GB2312" w:cs="仿宋_GB2312"/>
                <w:i w:val="0"/>
                <w:iCs w:val="0"/>
                <w:color w:val="auto"/>
                <w:sz w:val="24"/>
                <w:szCs w:val="24"/>
                <w:highlight w:val="none"/>
                <w:u w:val="none"/>
                <w:lang w:eastAsia="zh-CN"/>
              </w:rPr>
              <w:t>设计要求</w:t>
            </w:r>
            <w:r>
              <w:rPr>
                <w:rFonts w:hint="eastAsia" w:ascii="仿宋_GB2312" w:hAnsi="仿宋_GB2312" w:eastAsia="仿宋_GB2312" w:cs="仿宋_GB2312"/>
                <w:i w:val="0"/>
                <w:iCs w:val="0"/>
                <w:color w:val="auto"/>
                <w:sz w:val="24"/>
                <w:szCs w:val="24"/>
                <w:highlight w:val="none"/>
                <w:u w:val="none"/>
              </w:rPr>
              <w:t xml:space="preserve">的认识与理解程度进行综合评审：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1.对港澳大道3号地下人行通道的区域功能、</w:t>
            </w:r>
            <w:r>
              <w:rPr>
                <w:rFonts w:hint="eastAsia" w:ascii="仿宋_GB2312" w:hAnsi="仿宋_GB2312" w:eastAsia="仿宋_GB2312" w:cs="仿宋_GB2312"/>
                <w:i w:val="0"/>
                <w:iCs w:val="0"/>
                <w:color w:val="auto"/>
                <w:sz w:val="24"/>
                <w:szCs w:val="24"/>
                <w:highlight w:val="none"/>
                <w:u w:val="none"/>
                <w:lang w:val="en-US" w:eastAsia="zh-CN"/>
              </w:rPr>
              <w:t>设计要求</w:t>
            </w:r>
            <w:r>
              <w:rPr>
                <w:rFonts w:hint="eastAsia" w:ascii="仿宋_GB2312" w:hAnsi="仿宋_GB2312" w:eastAsia="仿宋_GB2312" w:cs="仿宋_GB2312"/>
                <w:i w:val="0"/>
                <w:iCs w:val="0"/>
                <w:color w:val="auto"/>
                <w:sz w:val="24"/>
                <w:szCs w:val="24"/>
                <w:highlight w:val="none"/>
                <w:u w:val="none"/>
              </w:rPr>
              <w:t>等方面理解深刻的，得1</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 xml:space="preserve">分；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2.对港澳大道3号地下人行通道的区域功能、</w:t>
            </w:r>
            <w:r>
              <w:rPr>
                <w:rFonts w:hint="eastAsia" w:ascii="仿宋_GB2312" w:hAnsi="仿宋_GB2312" w:eastAsia="仿宋_GB2312" w:cs="仿宋_GB2312"/>
                <w:i w:val="0"/>
                <w:iCs w:val="0"/>
                <w:color w:val="auto"/>
                <w:sz w:val="24"/>
                <w:szCs w:val="24"/>
                <w:highlight w:val="none"/>
                <w:u w:val="none"/>
                <w:lang w:val="en-US" w:eastAsia="zh-CN"/>
              </w:rPr>
              <w:t>设计要求</w:t>
            </w:r>
            <w:r>
              <w:rPr>
                <w:rFonts w:hint="eastAsia" w:ascii="仿宋_GB2312" w:hAnsi="仿宋_GB2312" w:eastAsia="仿宋_GB2312" w:cs="仿宋_GB2312"/>
                <w:i w:val="0"/>
                <w:iCs w:val="0"/>
                <w:color w:val="auto"/>
                <w:sz w:val="24"/>
                <w:szCs w:val="24"/>
                <w:highlight w:val="none"/>
                <w:u w:val="none"/>
              </w:rPr>
              <w:t>等方面理解</w:t>
            </w:r>
            <w:r>
              <w:rPr>
                <w:rFonts w:hint="eastAsia" w:ascii="仿宋_GB2312" w:hAnsi="仿宋_GB2312" w:eastAsia="仿宋_GB2312" w:cs="仿宋_GB2312"/>
                <w:i w:val="0"/>
                <w:iCs w:val="0"/>
                <w:color w:val="auto"/>
                <w:sz w:val="24"/>
                <w:szCs w:val="24"/>
                <w:highlight w:val="none"/>
                <w:u w:val="none"/>
                <w:lang w:val="en-US" w:eastAsia="zh-CN"/>
              </w:rPr>
              <w:t>比较</w:t>
            </w:r>
            <w:r>
              <w:rPr>
                <w:rFonts w:hint="eastAsia" w:ascii="仿宋_GB2312" w:hAnsi="仿宋_GB2312" w:eastAsia="仿宋_GB2312" w:cs="仿宋_GB2312"/>
                <w:i w:val="0"/>
                <w:iCs w:val="0"/>
                <w:color w:val="auto"/>
                <w:sz w:val="24"/>
                <w:szCs w:val="24"/>
                <w:highlight w:val="none"/>
                <w:u w:val="none"/>
              </w:rPr>
              <w:t>深刻的</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得</w:t>
            </w:r>
            <w:r>
              <w:rPr>
                <w:rFonts w:hint="eastAsia" w:ascii="仿宋_GB2312" w:hAnsi="仿宋_GB2312" w:eastAsia="仿宋_GB2312" w:cs="仿宋_GB2312"/>
                <w:i w:val="0"/>
                <w:iCs w:val="0"/>
                <w:color w:val="auto"/>
                <w:sz w:val="24"/>
                <w:szCs w:val="24"/>
                <w:highlight w:val="none"/>
                <w:u w:val="none"/>
                <w:lang w:val="en-US" w:eastAsia="zh-CN"/>
              </w:rPr>
              <w:t>10</w:t>
            </w:r>
            <w:r>
              <w:rPr>
                <w:rFonts w:hint="eastAsia" w:ascii="仿宋_GB2312" w:hAnsi="仿宋_GB2312" w:eastAsia="仿宋_GB2312" w:cs="仿宋_GB2312"/>
                <w:i w:val="0"/>
                <w:iCs w:val="0"/>
                <w:color w:val="auto"/>
                <w:sz w:val="24"/>
                <w:szCs w:val="24"/>
                <w:highlight w:val="none"/>
                <w:u w:val="none"/>
              </w:rPr>
              <w:t xml:space="preserve">分； </w:t>
            </w:r>
          </w:p>
          <w:p>
            <w:pPr>
              <w:widowControl/>
              <w:numPr>
                <w:ilvl w:val="0"/>
                <w:numId w:val="0"/>
              </w:numPr>
              <w:ind w:firstLine="0" w:firstLineChars="0"/>
              <w:jc w:val="left"/>
              <w:textAlignment w:val="center"/>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对港澳大道3号地下人行通道的区域功能、</w:t>
            </w:r>
            <w:r>
              <w:rPr>
                <w:rFonts w:hint="eastAsia" w:ascii="仿宋_GB2312" w:hAnsi="仿宋_GB2312" w:eastAsia="仿宋_GB2312" w:cs="仿宋_GB2312"/>
                <w:i w:val="0"/>
                <w:iCs w:val="0"/>
                <w:color w:val="auto"/>
                <w:sz w:val="24"/>
                <w:szCs w:val="24"/>
                <w:highlight w:val="none"/>
                <w:u w:val="none"/>
                <w:lang w:val="en-US" w:eastAsia="zh-CN"/>
              </w:rPr>
              <w:t>设计要求</w:t>
            </w:r>
            <w:r>
              <w:rPr>
                <w:rFonts w:hint="eastAsia" w:ascii="仿宋_GB2312" w:hAnsi="仿宋_GB2312" w:eastAsia="仿宋_GB2312" w:cs="仿宋_GB2312"/>
                <w:i w:val="0"/>
                <w:iCs w:val="0"/>
                <w:color w:val="auto"/>
                <w:sz w:val="24"/>
                <w:szCs w:val="24"/>
                <w:highlight w:val="none"/>
                <w:u w:val="none"/>
              </w:rPr>
              <w:t>等方面理解</w:t>
            </w:r>
            <w:r>
              <w:rPr>
                <w:rFonts w:hint="eastAsia" w:ascii="仿宋_GB2312" w:hAnsi="仿宋_GB2312" w:eastAsia="仿宋_GB2312" w:cs="仿宋_GB2312"/>
                <w:i w:val="0"/>
                <w:iCs w:val="0"/>
                <w:color w:val="auto"/>
                <w:sz w:val="24"/>
                <w:szCs w:val="24"/>
                <w:highlight w:val="none"/>
                <w:u w:val="none"/>
                <w:lang w:val="en-US" w:eastAsia="zh-CN"/>
              </w:rPr>
              <w:t>基本</w:t>
            </w:r>
            <w:r>
              <w:rPr>
                <w:rFonts w:hint="eastAsia" w:ascii="仿宋_GB2312" w:hAnsi="仿宋_GB2312" w:eastAsia="仿宋_GB2312" w:cs="仿宋_GB2312"/>
                <w:i w:val="0"/>
                <w:iCs w:val="0"/>
                <w:color w:val="auto"/>
                <w:sz w:val="24"/>
                <w:szCs w:val="24"/>
                <w:highlight w:val="none"/>
                <w:u w:val="none"/>
              </w:rPr>
              <w:t>深刻的，得</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4</w:t>
            </w:r>
            <w:r>
              <w:rPr>
                <w:rFonts w:hint="eastAsia" w:ascii="仿宋_GB2312" w:hAnsi="仿宋_GB2312" w:eastAsia="仿宋_GB2312" w:cs="仿宋_GB2312"/>
                <w:i w:val="0"/>
                <w:iCs w:val="0"/>
                <w:color w:val="auto"/>
                <w:sz w:val="24"/>
                <w:szCs w:val="24"/>
                <w:highlight w:val="none"/>
                <w:u w:val="none"/>
              </w:rPr>
              <w:t>.对港澳大道3号地下人行通道的区域功能、</w:t>
            </w:r>
            <w:r>
              <w:rPr>
                <w:rFonts w:hint="eastAsia" w:ascii="仿宋_GB2312" w:hAnsi="仿宋_GB2312" w:eastAsia="仿宋_GB2312" w:cs="仿宋_GB2312"/>
                <w:i w:val="0"/>
                <w:iCs w:val="0"/>
                <w:color w:val="auto"/>
                <w:sz w:val="24"/>
                <w:szCs w:val="24"/>
                <w:highlight w:val="none"/>
                <w:u w:val="none"/>
                <w:lang w:val="en-US" w:eastAsia="zh-CN"/>
              </w:rPr>
              <w:t>设计要求</w:t>
            </w:r>
            <w:r>
              <w:rPr>
                <w:rFonts w:hint="eastAsia" w:ascii="仿宋_GB2312" w:hAnsi="仿宋_GB2312" w:eastAsia="仿宋_GB2312" w:cs="仿宋_GB2312"/>
                <w:i w:val="0"/>
                <w:iCs w:val="0"/>
                <w:color w:val="auto"/>
                <w:sz w:val="24"/>
                <w:szCs w:val="24"/>
                <w:highlight w:val="none"/>
                <w:u w:val="none"/>
              </w:rPr>
              <w:t>等方面理解</w:t>
            </w:r>
            <w:r>
              <w:rPr>
                <w:rFonts w:hint="eastAsia" w:ascii="仿宋_GB2312" w:hAnsi="仿宋_GB2312" w:eastAsia="仿宋_GB2312" w:cs="仿宋_GB2312"/>
                <w:i w:val="0"/>
                <w:iCs w:val="0"/>
                <w:color w:val="auto"/>
                <w:sz w:val="24"/>
                <w:szCs w:val="24"/>
                <w:highlight w:val="none"/>
                <w:u w:val="none"/>
                <w:lang w:val="en-US" w:eastAsia="zh-CN"/>
              </w:rPr>
              <w:t>不够</w:t>
            </w:r>
            <w:r>
              <w:rPr>
                <w:rFonts w:hint="eastAsia" w:ascii="仿宋_GB2312" w:hAnsi="仿宋_GB2312" w:eastAsia="仿宋_GB2312" w:cs="仿宋_GB2312"/>
                <w:i w:val="0"/>
                <w:iCs w:val="0"/>
                <w:color w:val="auto"/>
                <w:sz w:val="24"/>
                <w:szCs w:val="24"/>
                <w:highlight w:val="none"/>
                <w:u w:val="none"/>
              </w:rPr>
              <w:t xml:space="preserve">深刻的，得1分；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.未提供方案不得分。</w:t>
            </w:r>
          </w:p>
        </w:tc>
      </w:tr>
      <w:tr>
        <w:tblPrEx>
          <w:shd w:val="clear" w:color="auto" w:fill="auto"/>
          <w:tblCellMar>
            <w:top w:w="0" w:type="dxa"/>
            <w:left w:w="108" w:type="dxa"/>
            <w:bottom w:w="0" w:type="dxa"/>
            <w:right w:w="108" w:type="dxa"/>
          </w:tblCellMar>
        </w:tblPrEx>
        <w:trPr>
          <w:trHeight w:val="107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项目</w:t>
            </w:r>
            <w:r>
              <w:rPr>
                <w:rFonts w:hint="eastAsia" w:ascii="仿宋_GB2312" w:hAnsi="仿宋_GB2312" w:eastAsia="仿宋_GB2312" w:cs="仿宋_GB2312"/>
                <w:i w:val="0"/>
                <w:iCs w:val="0"/>
                <w:color w:val="auto"/>
                <w:sz w:val="24"/>
                <w:szCs w:val="24"/>
                <w:highlight w:val="none"/>
                <w:u w:val="none"/>
                <w:lang w:eastAsia="zh-CN"/>
              </w:rPr>
              <w:t>设计</w:t>
            </w:r>
            <w:r>
              <w:rPr>
                <w:rFonts w:hint="eastAsia" w:ascii="仿宋_GB2312" w:hAnsi="仿宋_GB2312" w:eastAsia="仿宋_GB2312" w:cs="仿宋_GB2312"/>
                <w:i w:val="0"/>
                <w:iCs w:val="0"/>
                <w:color w:val="auto"/>
                <w:sz w:val="24"/>
                <w:szCs w:val="24"/>
                <w:highlight w:val="none"/>
                <w:u w:val="none"/>
              </w:rPr>
              <w:t>方案</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25</w:t>
            </w:r>
            <w:r>
              <w:rPr>
                <w:rFonts w:hint="eastAsia" w:ascii="仿宋_GB2312" w:hAnsi="仿宋_GB2312" w:eastAsia="仿宋_GB2312" w:cs="仿宋_GB2312"/>
                <w:i w:val="0"/>
                <w:iCs w:val="0"/>
                <w:color w:val="auto"/>
                <w:sz w:val="24"/>
                <w:szCs w:val="24"/>
                <w:highlight w:val="none"/>
                <w:u w:val="none"/>
              </w:rPr>
              <w:t>分）</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评委根据</w:t>
            </w:r>
            <w:r>
              <w:rPr>
                <w:rFonts w:hint="eastAsia" w:ascii="仿宋_GB2312" w:hAnsi="仿宋_GB2312" w:eastAsia="仿宋_GB2312" w:cs="仿宋_GB2312"/>
                <w:i w:val="0"/>
                <w:iCs w:val="0"/>
                <w:color w:val="auto"/>
                <w:sz w:val="24"/>
                <w:szCs w:val="24"/>
                <w:highlight w:val="none"/>
                <w:u w:val="none"/>
                <w:lang w:eastAsia="zh-CN"/>
              </w:rPr>
              <w:t>响应人</w:t>
            </w:r>
            <w:r>
              <w:rPr>
                <w:rFonts w:hint="eastAsia" w:ascii="仿宋_GB2312" w:hAnsi="仿宋_GB2312" w:eastAsia="仿宋_GB2312" w:cs="仿宋_GB2312"/>
                <w:i w:val="0"/>
                <w:iCs w:val="0"/>
                <w:color w:val="auto"/>
                <w:sz w:val="24"/>
                <w:szCs w:val="24"/>
                <w:highlight w:val="none"/>
                <w:u w:val="none"/>
              </w:rPr>
              <w:t>对港澳大道3号地下人行通道项目</w:t>
            </w:r>
            <w:r>
              <w:rPr>
                <w:rFonts w:hint="eastAsia" w:ascii="仿宋_GB2312" w:hAnsi="仿宋_GB2312" w:eastAsia="仿宋_GB2312" w:cs="仿宋_GB2312"/>
                <w:i w:val="0"/>
                <w:iCs w:val="0"/>
                <w:color w:val="auto"/>
                <w:sz w:val="24"/>
                <w:szCs w:val="24"/>
                <w:highlight w:val="none"/>
                <w:u w:val="none"/>
                <w:lang w:eastAsia="zh-CN"/>
              </w:rPr>
              <w:t>设计</w:t>
            </w:r>
            <w:r>
              <w:rPr>
                <w:rFonts w:hint="eastAsia" w:ascii="仿宋_GB2312" w:hAnsi="仿宋_GB2312" w:eastAsia="仿宋_GB2312" w:cs="仿宋_GB2312"/>
                <w:i w:val="0"/>
                <w:iCs w:val="0"/>
                <w:color w:val="auto"/>
                <w:sz w:val="24"/>
                <w:szCs w:val="24"/>
                <w:highlight w:val="none"/>
                <w:u w:val="none"/>
              </w:rPr>
              <w:t xml:space="preserve">方案进行综合评审：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1.深刻了解项目需求及现场特点，</w:t>
            </w:r>
            <w:r>
              <w:rPr>
                <w:rFonts w:hint="eastAsia" w:ascii="仿宋_GB2312" w:hAnsi="仿宋_GB2312" w:eastAsia="仿宋_GB2312" w:cs="仿宋_GB2312"/>
                <w:i w:val="0"/>
                <w:iCs w:val="0"/>
                <w:color w:val="auto"/>
                <w:sz w:val="24"/>
                <w:szCs w:val="24"/>
                <w:highlight w:val="none"/>
                <w:u w:val="none"/>
                <w:lang w:eastAsia="zh-CN"/>
              </w:rPr>
              <w:t>能充分体现</w:t>
            </w:r>
            <w:r>
              <w:rPr>
                <w:rFonts w:hint="eastAsia" w:ascii="仿宋_GB2312" w:hAnsi="仿宋_GB2312" w:eastAsia="仿宋_GB2312" w:cs="仿宋_GB2312"/>
                <w:i w:val="0"/>
                <w:iCs w:val="0"/>
                <w:color w:val="auto"/>
                <w:sz w:val="24"/>
                <w:szCs w:val="24"/>
                <w:highlight w:val="none"/>
                <w:u w:val="none"/>
              </w:rPr>
              <w:t>横琴粤澳深度合作区文化特征与风格，且能有机融合</w:t>
            </w:r>
            <w:r>
              <w:rPr>
                <w:rFonts w:hint="eastAsia" w:ascii="仿宋_GB2312" w:hAnsi="仿宋_GB2312" w:eastAsia="仿宋_GB2312" w:cs="仿宋_GB2312"/>
                <w:i w:val="0"/>
                <w:iCs w:val="0"/>
                <w:color w:val="auto"/>
                <w:sz w:val="24"/>
                <w:szCs w:val="24"/>
                <w:highlight w:val="none"/>
                <w:u w:val="none"/>
                <w:lang w:eastAsia="zh-CN"/>
              </w:rPr>
              <w:t>澳门元素</w:t>
            </w:r>
            <w:r>
              <w:rPr>
                <w:rFonts w:hint="eastAsia" w:ascii="仿宋_GB2312" w:hAnsi="仿宋_GB2312" w:eastAsia="仿宋_GB2312" w:cs="仿宋_GB2312"/>
                <w:i w:val="0"/>
                <w:iCs w:val="0"/>
                <w:color w:val="auto"/>
                <w:sz w:val="24"/>
                <w:szCs w:val="24"/>
                <w:highlight w:val="none"/>
                <w:u w:val="none"/>
              </w:rPr>
              <w:t>进行创意</w:t>
            </w:r>
            <w:r>
              <w:rPr>
                <w:rFonts w:hint="eastAsia" w:ascii="仿宋_GB2312" w:hAnsi="仿宋_GB2312" w:eastAsia="仿宋_GB2312" w:cs="仿宋_GB2312"/>
                <w:i w:val="0"/>
                <w:iCs w:val="0"/>
                <w:color w:val="auto"/>
                <w:sz w:val="24"/>
                <w:szCs w:val="24"/>
                <w:highlight w:val="none"/>
                <w:u w:val="none"/>
                <w:lang w:eastAsia="zh-CN"/>
              </w:rPr>
              <w:t>和</w:t>
            </w:r>
            <w:r>
              <w:rPr>
                <w:rFonts w:hint="eastAsia" w:ascii="仿宋_GB2312" w:hAnsi="仿宋_GB2312" w:eastAsia="仿宋_GB2312" w:cs="仿宋_GB2312"/>
                <w:i w:val="0"/>
                <w:iCs w:val="0"/>
                <w:color w:val="auto"/>
                <w:sz w:val="24"/>
                <w:szCs w:val="24"/>
                <w:highlight w:val="none"/>
                <w:u w:val="none"/>
              </w:rPr>
              <w:t>设计，亮点突出，设计</w:t>
            </w:r>
            <w:r>
              <w:rPr>
                <w:rFonts w:hint="eastAsia" w:ascii="仿宋_GB2312" w:hAnsi="仿宋_GB2312" w:eastAsia="仿宋_GB2312" w:cs="仿宋_GB2312"/>
                <w:i w:val="0"/>
                <w:iCs w:val="0"/>
                <w:color w:val="auto"/>
                <w:sz w:val="24"/>
                <w:szCs w:val="24"/>
                <w:highlight w:val="none"/>
                <w:u w:val="none"/>
                <w:lang w:eastAsia="zh-CN"/>
              </w:rPr>
              <w:t>方案</w:t>
            </w:r>
            <w:r>
              <w:rPr>
                <w:rFonts w:hint="eastAsia" w:ascii="仿宋_GB2312" w:hAnsi="仿宋_GB2312" w:eastAsia="仿宋_GB2312" w:cs="仿宋_GB2312"/>
                <w:i w:val="0"/>
                <w:iCs w:val="0"/>
                <w:color w:val="auto"/>
                <w:sz w:val="24"/>
                <w:szCs w:val="24"/>
                <w:highlight w:val="none"/>
                <w:u w:val="none"/>
              </w:rPr>
              <w:t>详细规范，</w:t>
            </w:r>
            <w:r>
              <w:rPr>
                <w:rFonts w:hint="eastAsia" w:ascii="仿宋_GB2312" w:hAnsi="仿宋_GB2312" w:eastAsia="仿宋_GB2312" w:cs="仿宋_GB2312"/>
                <w:i w:val="0"/>
                <w:iCs w:val="0"/>
                <w:color w:val="auto"/>
                <w:sz w:val="24"/>
                <w:szCs w:val="24"/>
                <w:highlight w:val="none"/>
                <w:u w:val="none"/>
                <w:lang w:eastAsia="zh-CN"/>
              </w:rPr>
              <w:t>可操作性强</w:t>
            </w:r>
            <w:r>
              <w:rPr>
                <w:rFonts w:hint="eastAsia" w:ascii="仿宋_GB2312" w:hAnsi="仿宋_GB2312" w:eastAsia="仿宋_GB2312" w:cs="仿宋_GB2312"/>
                <w:i w:val="0"/>
                <w:iCs w:val="0"/>
                <w:color w:val="auto"/>
                <w:sz w:val="24"/>
                <w:szCs w:val="24"/>
                <w:highlight w:val="none"/>
                <w:u w:val="none"/>
              </w:rPr>
              <w:t>，得</w:t>
            </w:r>
            <w:r>
              <w:rPr>
                <w:rFonts w:hint="eastAsia" w:ascii="仿宋_GB2312" w:hAnsi="仿宋_GB2312" w:eastAsia="仿宋_GB2312" w:cs="仿宋_GB2312"/>
                <w:i w:val="0"/>
                <w:iCs w:val="0"/>
                <w:color w:val="auto"/>
                <w:sz w:val="24"/>
                <w:szCs w:val="24"/>
                <w:highlight w:val="none"/>
                <w:u w:val="none"/>
                <w:lang w:val="en-US" w:eastAsia="zh-CN"/>
              </w:rPr>
              <w:t>25</w:t>
            </w:r>
            <w:r>
              <w:rPr>
                <w:rFonts w:hint="eastAsia" w:ascii="仿宋_GB2312" w:hAnsi="仿宋_GB2312" w:eastAsia="仿宋_GB2312" w:cs="仿宋_GB2312"/>
                <w:i w:val="0"/>
                <w:iCs w:val="0"/>
                <w:color w:val="auto"/>
                <w:sz w:val="24"/>
                <w:szCs w:val="24"/>
                <w:highlight w:val="none"/>
                <w:u w:val="none"/>
              </w:rPr>
              <w:t xml:space="preserve">分。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2.</w:t>
            </w:r>
            <w:r>
              <w:rPr>
                <w:rFonts w:hint="eastAsia" w:ascii="仿宋_GB2312" w:hAnsi="仿宋_GB2312" w:eastAsia="仿宋_GB2312" w:cs="仿宋_GB2312"/>
                <w:i w:val="0"/>
                <w:iCs w:val="0"/>
                <w:color w:val="auto"/>
                <w:sz w:val="24"/>
                <w:szCs w:val="24"/>
                <w:highlight w:val="none"/>
                <w:u w:val="none"/>
                <w:lang w:val="en-US" w:eastAsia="zh-CN"/>
              </w:rPr>
              <w:t>比较</w:t>
            </w:r>
            <w:r>
              <w:rPr>
                <w:rFonts w:hint="eastAsia" w:ascii="仿宋_GB2312" w:hAnsi="仿宋_GB2312" w:eastAsia="仿宋_GB2312" w:cs="仿宋_GB2312"/>
                <w:i w:val="0"/>
                <w:iCs w:val="0"/>
                <w:color w:val="auto"/>
                <w:sz w:val="24"/>
                <w:szCs w:val="24"/>
                <w:highlight w:val="none"/>
                <w:u w:val="none"/>
              </w:rPr>
              <w:t>了解项目需求及现场特点，</w:t>
            </w:r>
            <w:r>
              <w:rPr>
                <w:rFonts w:hint="eastAsia" w:ascii="仿宋_GB2312" w:hAnsi="仿宋_GB2312" w:eastAsia="仿宋_GB2312" w:cs="仿宋_GB2312"/>
                <w:i w:val="0"/>
                <w:iCs w:val="0"/>
                <w:color w:val="auto"/>
                <w:sz w:val="24"/>
                <w:szCs w:val="24"/>
                <w:highlight w:val="none"/>
                <w:u w:val="none"/>
                <w:lang w:val="en-US" w:eastAsia="zh-CN"/>
              </w:rPr>
              <w:t>体现</w:t>
            </w:r>
            <w:r>
              <w:rPr>
                <w:rFonts w:hint="eastAsia" w:ascii="仿宋_GB2312" w:hAnsi="仿宋_GB2312" w:eastAsia="仿宋_GB2312" w:cs="仿宋_GB2312"/>
                <w:i w:val="0"/>
                <w:iCs w:val="0"/>
                <w:color w:val="auto"/>
                <w:sz w:val="24"/>
                <w:szCs w:val="24"/>
                <w:highlight w:val="none"/>
                <w:u w:val="none"/>
              </w:rPr>
              <w:t>横琴粤澳深度合作区文化特征和风格，融</w:t>
            </w:r>
            <w:r>
              <w:rPr>
                <w:rFonts w:hint="eastAsia" w:ascii="仿宋_GB2312" w:hAnsi="仿宋_GB2312" w:eastAsia="仿宋_GB2312" w:cs="仿宋_GB2312"/>
                <w:i w:val="0"/>
                <w:iCs w:val="0"/>
                <w:color w:val="auto"/>
                <w:sz w:val="24"/>
                <w:szCs w:val="24"/>
                <w:highlight w:val="none"/>
                <w:u w:val="none"/>
                <w:lang w:eastAsia="zh-CN"/>
              </w:rPr>
              <w:t>合了一定的澳门元素</w:t>
            </w:r>
            <w:r>
              <w:rPr>
                <w:rFonts w:hint="eastAsia" w:ascii="仿宋_GB2312" w:hAnsi="仿宋_GB2312" w:eastAsia="仿宋_GB2312" w:cs="仿宋_GB2312"/>
                <w:i w:val="0"/>
                <w:iCs w:val="0"/>
                <w:color w:val="auto"/>
                <w:sz w:val="24"/>
                <w:szCs w:val="24"/>
                <w:highlight w:val="none"/>
                <w:u w:val="none"/>
              </w:rPr>
              <w:t>进行创意</w:t>
            </w:r>
            <w:r>
              <w:rPr>
                <w:rFonts w:hint="eastAsia" w:ascii="仿宋_GB2312" w:hAnsi="仿宋_GB2312" w:eastAsia="仿宋_GB2312" w:cs="仿宋_GB2312"/>
                <w:i w:val="0"/>
                <w:iCs w:val="0"/>
                <w:color w:val="auto"/>
                <w:sz w:val="24"/>
                <w:szCs w:val="24"/>
                <w:highlight w:val="none"/>
                <w:u w:val="none"/>
                <w:lang w:eastAsia="zh-CN"/>
              </w:rPr>
              <w:t>和</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val="en-US" w:eastAsia="zh-CN"/>
              </w:rPr>
              <w:t>有一定的</w:t>
            </w:r>
            <w:r>
              <w:rPr>
                <w:rFonts w:hint="eastAsia" w:ascii="仿宋_GB2312" w:hAnsi="仿宋_GB2312" w:eastAsia="仿宋_GB2312" w:cs="仿宋_GB2312"/>
                <w:i w:val="0"/>
                <w:iCs w:val="0"/>
                <w:color w:val="auto"/>
                <w:sz w:val="24"/>
                <w:szCs w:val="24"/>
                <w:highlight w:val="none"/>
                <w:u w:val="none"/>
              </w:rPr>
              <w:t>亮点，设计</w:t>
            </w:r>
            <w:r>
              <w:rPr>
                <w:rFonts w:hint="eastAsia" w:ascii="仿宋_GB2312" w:hAnsi="仿宋_GB2312" w:eastAsia="仿宋_GB2312" w:cs="仿宋_GB2312"/>
                <w:i w:val="0"/>
                <w:iCs w:val="0"/>
                <w:color w:val="auto"/>
                <w:sz w:val="24"/>
                <w:szCs w:val="24"/>
                <w:highlight w:val="none"/>
                <w:u w:val="none"/>
                <w:lang w:eastAsia="zh-CN"/>
              </w:rPr>
              <w:t>方案比较</w:t>
            </w:r>
            <w:r>
              <w:rPr>
                <w:rFonts w:hint="eastAsia" w:ascii="仿宋_GB2312" w:hAnsi="仿宋_GB2312" w:eastAsia="仿宋_GB2312" w:cs="仿宋_GB2312"/>
                <w:i w:val="0"/>
                <w:iCs w:val="0"/>
                <w:color w:val="auto"/>
                <w:sz w:val="24"/>
                <w:szCs w:val="24"/>
                <w:highlight w:val="none"/>
                <w:u w:val="none"/>
              </w:rPr>
              <w:t>详细规范，</w:t>
            </w:r>
            <w:r>
              <w:rPr>
                <w:rFonts w:hint="eastAsia" w:ascii="仿宋_GB2312" w:hAnsi="仿宋_GB2312" w:eastAsia="仿宋_GB2312" w:cs="仿宋_GB2312"/>
                <w:i w:val="0"/>
                <w:iCs w:val="0"/>
                <w:color w:val="auto"/>
                <w:sz w:val="24"/>
                <w:szCs w:val="24"/>
                <w:highlight w:val="none"/>
                <w:u w:val="none"/>
                <w:lang w:eastAsia="zh-CN"/>
              </w:rPr>
              <w:t>可操作性较强</w:t>
            </w:r>
            <w:r>
              <w:rPr>
                <w:rFonts w:hint="eastAsia" w:ascii="仿宋_GB2312" w:hAnsi="仿宋_GB2312" w:eastAsia="仿宋_GB2312" w:cs="仿宋_GB2312"/>
                <w:i w:val="0"/>
                <w:iCs w:val="0"/>
                <w:color w:val="auto"/>
                <w:sz w:val="24"/>
                <w:szCs w:val="24"/>
                <w:highlight w:val="none"/>
                <w:u w:val="none"/>
              </w:rPr>
              <w:t>，得</w:t>
            </w:r>
            <w:r>
              <w:rPr>
                <w:rFonts w:hint="eastAsia" w:ascii="仿宋_GB2312" w:hAnsi="仿宋_GB2312" w:eastAsia="仿宋_GB2312" w:cs="仿宋_GB2312"/>
                <w:i w:val="0"/>
                <w:iCs w:val="0"/>
                <w:color w:val="auto"/>
                <w:sz w:val="24"/>
                <w:szCs w:val="24"/>
                <w:highlight w:val="none"/>
                <w:u w:val="none"/>
                <w:lang w:val="en-US" w:eastAsia="zh-CN"/>
              </w:rPr>
              <w:t>15</w:t>
            </w:r>
            <w:r>
              <w:rPr>
                <w:rFonts w:hint="eastAsia" w:ascii="仿宋_GB2312" w:hAnsi="仿宋_GB2312" w:eastAsia="仿宋_GB2312" w:cs="仿宋_GB2312"/>
                <w:i w:val="0"/>
                <w:iCs w:val="0"/>
                <w:color w:val="auto"/>
                <w:sz w:val="24"/>
                <w:szCs w:val="24"/>
                <w:highlight w:val="none"/>
                <w:u w:val="none"/>
              </w:rPr>
              <w:t>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3.基本了解项目需求及现场特点，能基本</w:t>
            </w:r>
            <w:r>
              <w:rPr>
                <w:rFonts w:hint="eastAsia" w:ascii="仿宋_GB2312" w:hAnsi="仿宋_GB2312" w:eastAsia="仿宋_GB2312" w:cs="仿宋_GB2312"/>
                <w:i w:val="0"/>
                <w:iCs w:val="0"/>
                <w:color w:val="auto"/>
                <w:sz w:val="24"/>
                <w:szCs w:val="24"/>
                <w:highlight w:val="none"/>
                <w:u w:val="none"/>
                <w:lang w:eastAsia="zh-CN"/>
              </w:rPr>
              <w:t>体现</w:t>
            </w:r>
            <w:r>
              <w:rPr>
                <w:rFonts w:hint="eastAsia" w:ascii="仿宋_GB2312" w:hAnsi="仿宋_GB2312" w:eastAsia="仿宋_GB2312" w:cs="仿宋_GB2312"/>
                <w:i w:val="0"/>
                <w:iCs w:val="0"/>
                <w:color w:val="auto"/>
                <w:sz w:val="24"/>
                <w:szCs w:val="24"/>
                <w:highlight w:val="none"/>
                <w:u w:val="none"/>
              </w:rPr>
              <w:t>横琴粤澳深度合作区文化特征和风格，</w:t>
            </w:r>
            <w:r>
              <w:rPr>
                <w:rFonts w:hint="eastAsia" w:ascii="仿宋_GB2312" w:hAnsi="仿宋_GB2312" w:eastAsia="仿宋_GB2312" w:cs="仿宋_GB2312"/>
                <w:i w:val="0"/>
                <w:iCs w:val="0"/>
                <w:color w:val="auto"/>
                <w:sz w:val="24"/>
                <w:szCs w:val="24"/>
                <w:highlight w:val="none"/>
                <w:u w:val="none"/>
                <w:lang w:eastAsia="zh-CN"/>
              </w:rPr>
              <w:t>基本</w:t>
            </w:r>
            <w:r>
              <w:rPr>
                <w:rFonts w:hint="eastAsia" w:ascii="仿宋_GB2312" w:hAnsi="仿宋_GB2312" w:eastAsia="仿宋_GB2312" w:cs="仿宋_GB2312"/>
                <w:i w:val="0"/>
                <w:iCs w:val="0"/>
                <w:color w:val="auto"/>
                <w:sz w:val="24"/>
                <w:szCs w:val="24"/>
                <w:highlight w:val="none"/>
                <w:u w:val="none"/>
              </w:rPr>
              <w:t>融合</w:t>
            </w:r>
            <w:r>
              <w:rPr>
                <w:rFonts w:hint="eastAsia" w:ascii="仿宋_GB2312" w:hAnsi="仿宋_GB2312" w:eastAsia="仿宋_GB2312" w:cs="仿宋_GB2312"/>
                <w:i w:val="0"/>
                <w:iCs w:val="0"/>
                <w:color w:val="auto"/>
                <w:sz w:val="24"/>
                <w:szCs w:val="24"/>
                <w:highlight w:val="none"/>
                <w:u w:val="none"/>
                <w:lang w:eastAsia="zh-CN"/>
              </w:rPr>
              <w:t>了澳门元素澳门元素</w:t>
            </w:r>
            <w:r>
              <w:rPr>
                <w:rFonts w:hint="eastAsia" w:ascii="仿宋_GB2312" w:hAnsi="仿宋_GB2312" w:eastAsia="仿宋_GB2312" w:cs="仿宋_GB2312"/>
                <w:i w:val="0"/>
                <w:iCs w:val="0"/>
                <w:color w:val="auto"/>
                <w:sz w:val="24"/>
                <w:szCs w:val="24"/>
                <w:highlight w:val="none"/>
                <w:u w:val="none"/>
              </w:rPr>
              <w:t>进行创意</w:t>
            </w:r>
            <w:r>
              <w:rPr>
                <w:rFonts w:hint="eastAsia" w:ascii="仿宋_GB2312" w:hAnsi="仿宋_GB2312" w:eastAsia="仿宋_GB2312" w:cs="仿宋_GB2312"/>
                <w:i w:val="0"/>
                <w:iCs w:val="0"/>
                <w:color w:val="auto"/>
                <w:sz w:val="24"/>
                <w:szCs w:val="24"/>
                <w:highlight w:val="none"/>
                <w:u w:val="none"/>
                <w:lang w:eastAsia="zh-CN"/>
              </w:rPr>
              <w:t>和</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亮点一般，设计方案</w:t>
            </w:r>
            <w:r>
              <w:rPr>
                <w:rFonts w:hint="eastAsia" w:ascii="仿宋_GB2312" w:hAnsi="仿宋_GB2312" w:eastAsia="仿宋_GB2312" w:cs="仿宋_GB2312"/>
                <w:i w:val="0"/>
                <w:iCs w:val="0"/>
                <w:color w:val="auto"/>
                <w:sz w:val="24"/>
                <w:szCs w:val="24"/>
                <w:highlight w:val="none"/>
                <w:u w:val="none"/>
                <w:lang w:val="en-US" w:eastAsia="zh-CN"/>
              </w:rPr>
              <w:t>基本</w:t>
            </w:r>
            <w:r>
              <w:rPr>
                <w:rFonts w:hint="eastAsia" w:ascii="仿宋_GB2312" w:hAnsi="仿宋_GB2312" w:eastAsia="仿宋_GB2312" w:cs="仿宋_GB2312"/>
                <w:i w:val="0"/>
                <w:iCs w:val="0"/>
                <w:color w:val="auto"/>
                <w:sz w:val="24"/>
                <w:szCs w:val="24"/>
                <w:highlight w:val="none"/>
                <w:u w:val="none"/>
              </w:rPr>
              <w:t>详细规范，</w:t>
            </w:r>
            <w:r>
              <w:rPr>
                <w:rFonts w:hint="eastAsia" w:ascii="仿宋_GB2312" w:hAnsi="仿宋_GB2312" w:eastAsia="仿宋_GB2312" w:cs="仿宋_GB2312"/>
                <w:i w:val="0"/>
                <w:iCs w:val="0"/>
                <w:color w:val="auto"/>
                <w:sz w:val="24"/>
                <w:szCs w:val="24"/>
                <w:highlight w:val="none"/>
                <w:u w:val="none"/>
                <w:lang w:eastAsia="zh-CN"/>
              </w:rPr>
              <w:t>可操作性一般，</w:t>
            </w:r>
            <w:r>
              <w:rPr>
                <w:rFonts w:hint="eastAsia" w:ascii="仿宋_GB2312" w:hAnsi="仿宋_GB2312" w:eastAsia="仿宋_GB2312" w:cs="仿宋_GB2312"/>
                <w:i w:val="0"/>
                <w:iCs w:val="0"/>
                <w:color w:val="auto"/>
                <w:sz w:val="24"/>
                <w:szCs w:val="24"/>
                <w:highlight w:val="none"/>
                <w:u w:val="none"/>
              </w:rPr>
              <w:t>得5分。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4</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未深入</w:t>
            </w:r>
            <w:r>
              <w:rPr>
                <w:rFonts w:hint="eastAsia" w:ascii="仿宋_GB2312" w:hAnsi="仿宋_GB2312" w:eastAsia="仿宋_GB2312" w:cs="仿宋_GB2312"/>
                <w:i w:val="0"/>
                <w:iCs w:val="0"/>
                <w:color w:val="auto"/>
                <w:sz w:val="24"/>
                <w:szCs w:val="24"/>
                <w:highlight w:val="none"/>
                <w:u w:val="none"/>
              </w:rPr>
              <w:t>了解项目需求及现场特点，未能融合横琴粤澳深度合作区文化特征和风格，</w:t>
            </w:r>
            <w:r>
              <w:rPr>
                <w:rFonts w:hint="eastAsia" w:ascii="仿宋_GB2312" w:hAnsi="仿宋_GB2312" w:eastAsia="仿宋_GB2312" w:cs="仿宋_GB2312"/>
                <w:i w:val="0"/>
                <w:iCs w:val="0"/>
                <w:color w:val="auto"/>
                <w:sz w:val="24"/>
                <w:szCs w:val="24"/>
                <w:highlight w:val="none"/>
                <w:u w:val="none"/>
                <w:lang w:eastAsia="zh-CN"/>
              </w:rPr>
              <w:t>未融合澳门元素</w:t>
            </w:r>
            <w:r>
              <w:rPr>
                <w:rFonts w:hint="eastAsia" w:ascii="仿宋_GB2312" w:hAnsi="仿宋_GB2312" w:eastAsia="仿宋_GB2312" w:cs="仿宋_GB2312"/>
                <w:i w:val="0"/>
                <w:iCs w:val="0"/>
                <w:color w:val="auto"/>
                <w:sz w:val="24"/>
                <w:szCs w:val="24"/>
                <w:highlight w:val="none"/>
                <w:u w:val="none"/>
              </w:rPr>
              <w:t>进行创意</w:t>
            </w:r>
            <w:r>
              <w:rPr>
                <w:rFonts w:hint="eastAsia" w:ascii="仿宋_GB2312" w:hAnsi="仿宋_GB2312" w:eastAsia="仿宋_GB2312" w:cs="仿宋_GB2312"/>
                <w:i w:val="0"/>
                <w:iCs w:val="0"/>
                <w:color w:val="auto"/>
                <w:sz w:val="24"/>
                <w:szCs w:val="24"/>
                <w:highlight w:val="none"/>
                <w:u w:val="none"/>
                <w:lang w:eastAsia="zh-CN"/>
              </w:rPr>
              <w:t>和</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eastAsia="zh-CN"/>
              </w:rPr>
              <w:t>，无亮点，</w:t>
            </w:r>
            <w:r>
              <w:rPr>
                <w:rFonts w:hint="eastAsia" w:ascii="仿宋_GB2312" w:hAnsi="仿宋_GB2312" w:eastAsia="仿宋_GB2312" w:cs="仿宋_GB2312"/>
                <w:i w:val="0"/>
                <w:iCs w:val="0"/>
                <w:color w:val="auto"/>
                <w:sz w:val="24"/>
                <w:szCs w:val="24"/>
                <w:highlight w:val="none"/>
                <w:u w:val="none"/>
              </w:rPr>
              <w:t>设计方案粗略，</w:t>
            </w:r>
            <w:r>
              <w:rPr>
                <w:rFonts w:hint="eastAsia" w:ascii="仿宋_GB2312" w:hAnsi="仿宋_GB2312" w:eastAsia="仿宋_GB2312" w:cs="仿宋_GB2312"/>
                <w:i w:val="0"/>
                <w:iCs w:val="0"/>
                <w:color w:val="auto"/>
                <w:sz w:val="24"/>
                <w:szCs w:val="24"/>
                <w:highlight w:val="none"/>
                <w:u w:val="none"/>
                <w:lang w:eastAsia="zh-CN"/>
              </w:rPr>
              <w:t>可操作性不强</w:t>
            </w:r>
            <w:r>
              <w:rPr>
                <w:rFonts w:hint="eastAsia" w:ascii="仿宋_GB2312" w:hAnsi="仿宋_GB2312" w:eastAsia="仿宋_GB2312" w:cs="仿宋_GB2312"/>
                <w:i w:val="0"/>
                <w:iCs w:val="0"/>
                <w:color w:val="auto"/>
                <w:sz w:val="24"/>
                <w:szCs w:val="24"/>
                <w:highlight w:val="none"/>
                <w:u w:val="none"/>
              </w:rPr>
              <w:t xml:space="preserve">，得1分。 </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.未提供方案不得分。</w:t>
            </w:r>
          </w:p>
        </w:tc>
      </w:tr>
      <w:tr>
        <w:tblPrEx>
          <w:shd w:val="clear" w:color="auto" w:fill="auto"/>
          <w:tblCellMar>
            <w:top w:w="0" w:type="dxa"/>
            <w:left w:w="108" w:type="dxa"/>
            <w:bottom w:w="0" w:type="dxa"/>
            <w:right w:w="108" w:type="dxa"/>
          </w:tblCellMar>
        </w:tblPrEx>
        <w:trPr>
          <w:trHeight w:val="748"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及实施方案</w:t>
            </w:r>
            <w:r>
              <w:rPr>
                <w:rFonts w:hint="eastAsia" w:ascii="仿宋_GB2312" w:hAnsi="仿宋_GB2312" w:eastAsia="仿宋_GB2312" w:cs="仿宋_GB2312"/>
                <w:i w:val="0"/>
                <w:iCs w:val="0"/>
                <w:color w:val="auto"/>
                <w:sz w:val="24"/>
                <w:szCs w:val="24"/>
                <w:highlight w:val="none"/>
                <w:u w:val="none"/>
              </w:rPr>
              <w:t>（1</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p>
        </w:tc>
        <w:tc>
          <w:tcPr>
            <w:tcW w:w="6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评委根据</w:t>
            </w:r>
            <w:r>
              <w:rPr>
                <w:rFonts w:hint="eastAsia" w:ascii="仿宋_GB2312" w:hAnsi="仿宋_GB2312" w:eastAsia="仿宋_GB2312" w:cs="仿宋_GB2312"/>
                <w:i w:val="0"/>
                <w:iCs w:val="0"/>
                <w:color w:val="auto"/>
                <w:sz w:val="24"/>
                <w:szCs w:val="24"/>
                <w:highlight w:val="none"/>
                <w:u w:val="none"/>
                <w:lang w:eastAsia="zh-CN"/>
              </w:rPr>
              <w:t>响应人</w:t>
            </w:r>
            <w:r>
              <w:rPr>
                <w:rFonts w:hint="eastAsia" w:ascii="仿宋_GB2312" w:hAnsi="仿宋_GB2312" w:eastAsia="仿宋_GB2312" w:cs="仿宋_GB2312"/>
                <w:color w:val="auto"/>
                <w:sz w:val="24"/>
                <w:szCs w:val="24"/>
                <w:highlight w:val="none"/>
                <w:lang w:val="en-US"/>
              </w:rPr>
              <w:t>提供的</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方案进行评审：</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1.</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方案详细，进行施工图设计，配合预算编制、招标工作、跟踪验收等服务落实到位，质量控制措施合理</w:t>
            </w:r>
            <w:r>
              <w:rPr>
                <w:rFonts w:hint="eastAsia" w:ascii="仿宋_GB2312" w:hAnsi="仿宋_GB2312" w:eastAsia="仿宋_GB2312" w:cs="仿宋_GB2312"/>
                <w:color w:val="auto"/>
                <w:sz w:val="24"/>
                <w:szCs w:val="24"/>
                <w:highlight w:val="none"/>
                <w:lang w:val="en-US"/>
              </w:rPr>
              <w:t>，得1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rPr>
              <w:t>2.</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方案比较详细，进行施工图设计，配合预算编制、招标工作、跟踪验收等服务落实比较到位，质量控制措施比较合理</w:t>
            </w:r>
            <w:r>
              <w:rPr>
                <w:rFonts w:hint="eastAsia" w:ascii="仿宋_GB2312" w:hAnsi="仿宋_GB2312" w:eastAsia="仿宋_GB2312" w:cs="仿宋_GB2312"/>
                <w:color w:val="auto"/>
                <w:sz w:val="24"/>
                <w:szCs w:val="24"/>
                <w:highlight w:val="none"/>
                <w:lang w:val="en-US"/>
              </w:rPr>
              <w:t>，得</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val="en-US"/>
              </w:rPr>
              <w:t>分；</w:t>
            </w:r>
          </w:p>
          <w:p>
            <w:pPr>
              <w:pStyle w:val="22"/>
              <w:rPr>
                <w:rFonts w:hint="eastAsia"/>
                <w:lang w:val="en-US"/>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方案基本详细，进行施工图设计，配合预算编制、招标工作、跟踪验收等服务落实基本到位，质量控制措施基本合理</w:t>
            </w:r>
            <w:r>
              <w:rPr>
                <w:rFonts w:hint="eastAsia" w:ascii="仿宋_GB2312" w:hAnsi="仿宋_GB2312" w:eastAsia="仿宋_GB2312" w:cs="仿宋_GB2312"/>
                <w:color w:val="auto"/>
                <w:sz w:val="24"/>
                <w:szCs w:val="24"/>
                <w:highlight w:val="none"/>
                <w:lang w:val="en-US"/>
              </w:rPr>
              <w:t>，得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i w:val="0"/>
                <w:iCs w:val="0"/>
                <w:color w:val="auto"/>
                <w:sz w:val="24"/>
                <w:szCs w:val="24"/>
                <w:highlight w:val="none"/>
                <w:u w:val="none"/>
              </w:rPr>
              <w:t>质量管理</w:t>
            </w:r>
            <w:r>
              <w:rPr>
                <w:rFonts w:hint="eastAsia" w:ascii="仿宋_GB2312" w:hAnsi="仿宋_GB2312" w:eastAsia="仿宋_GB2312" w:cs="仿宋_GB2312"/>
                <w:i w:val="0"/>
                <w:iCs w:val="0"/>
                <w:color w:val="auto"/>
                <w:sz w:val="24"/>
                <w:szCs w:val="24"/>
                <w:highlight w:val="none"/>
                <w:u w:val="none"/>
                <w:lang w:val="en-US" w:eastAsia="zh-CN"/>
              </w:rPr>
              <w:t>及实施</w:t>
            </w:r>
            <w:r>
              <w:rPr>
                <w:rFonts w:hint="eastAsia" w:ascii="仿宋_GB2312" w:hAnsi="仿宋_GB2312" w:eastAsia="仿宋_GB2312" w:cs="仿宋_GB2312"/>
                <w:color w:val="auto"/>
                <w:sz w:val="24"/>
                <w:szCs w:val="24"/>
                <w:highlight w:val="none"/>
                <w:lang w:val="en-US" w:eastAsia="zh-CN"/>
              </w:rPr>
              <w:t>方案不够详细，进行施工图设计，配合预算编制、招标工作、跟踪验收等服务不够到位，质量控制措施不够合理</w:t>
            </w:r>
            <w:r>
              <w:rPr>
                <w:rFonts w:hint="eastAsia" w:ascii="仿宋_GB2312" w:hAnsi="仿宋_GB2312" w:eastAsia="仿宋_GB2312" w:cs="仿宋_GB2312"/>
                <w:color w:val="auto"/>
                <w:sz w:val="24"/>
                <w:szCs w:val="24"/>
                <w:highlight w:val="none"/>
                <w:lang w:val="en-US"/>
              </w:rPr>
              <w:t>，得1分；</w:t>
            </w:r>
          </w:p>
          <w:p>
            <w:pPr>
              <w:keepNext w:val="0"/>
              <w:keepLines w:val="0"/>
              <w:widowControl/>
              <w:numPr>
                <w:ilvl w:val="-1"/>
                <w:numId w:val="0"/>
              </w:numPr>
              <w:suppressLineNumbers w:val="0"/>
              <w:ind w:left="0" w:leftChars="0" w:firstLine="0" w:firstLineChars="0"/>
              <w:jc w:val="left"/>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rPr>
              <w:t>.未提供方案不得分。</w:t>
            </w:r>
          </w:p>
        </w:tc>
      </w:tr>
    </w:tbl>
    <w:p>
      <w:pPr>
        <w:keepNext/>
        <w:keepLines/>
        <w:widowControl w:val="0"/>
        <w:spacing w:before="100" w:after="0" w:line="360" w:lineRule="auto"/>
        <w:ind w:firstLine="0" w:firstLineChars="0"/>
        <w:jc w:val="center"/>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2"/>
          <w:sz w:val="24"/>
          <w:szCs w:val="24"/>
          <w:highlight w:val="none"/>
          <w:lang w:val="en-US" w:eastAsia="zh-CN" w:bidi="ar-SA"/>
        </w:rPr>
        <w:t>2、商务部分（35分）</w:t>
      </w:r>
    </w:p>
    <w:tbl>
      <w:tblPr>
        <w:tblStyle w:val="27"/>
        <w:tblW w:w="8743" w:type="dxa"/>
        <w:tblInd w:w="93" w:type="dxa"/>
        <w:shd w:val="clear" w:color="auto" w:fill="auto"/>
        <w:tblLayout w:type="fixed"/>
        <w:tblCellMar>
          <w:top w:w="0" w:type="dxa"/>
          <w:left w:w="108" w:type="dxa"/>
          <w:bottom w:w="0" w:type="dxa"/>
          <w:right w:w="108" w:type="dxa"/>
        </w:tblCellMar>
      </w:tblPr>
      <w:tblGrid>
        <w:gridCol w:w="688"/>
        <w:gridCol w:w="1173"/>
        <w:gridCol w:w="6882"/>
      </w:tblGrid>
      <w:tr>
        <w:tblPrEx>
          <w:shd w:val="clear" w:color="auto" w:fill="auto"/>
          <w:tblCellMar>
            <w:top w:w="0" w:type="dxa"/>
            <w:left w:w="108" w:type="dxa"/>
            <w:bottom w:w="0" w:type="dxa"/>
            <w:right w:w="108" w:type="dxa"/>
          </w:tblCellMar>
        </w:tblPrEx>
        <w:trPr>
          <w:trHeight w:val="119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企业业绩</w:t>
            </w:r>
          </w:p>
          <w:p>
            <w:pPr>
              <w:pStyle w:val="15"/>
              <w:jc w:val="center"/>
              <w:rPr>
                <w:rFonts w:hint="eastAsia" w:ascii="仿宋_GB2312" w:hAnsi="仿宋_GB2312" w:eastAsia="仿宋_GB2312" w:cs="仿宋_GB2312"/>
                <w:color w:val="auto"/>
                <w:sz w:val="24"/>
                <w:szCs w:val="24"/>
                <w:highlight w:val="yellow"/>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响应人近5年（以</w:t>
            </w:r>
            <w:r>
              <w:rPr>
                <w:rFonts w:hint="eastAsia" w:ascii="仿宋_GB2312" w:hAnsi="仿宋_GB2312" w:eastAsia="仿宋_GB2312" w:cs="仿宋_GB2312"/>
                <w:i w:val="0"/>
                <w:iCs w:val="0"/>
                <w:color w:val="auto"/>
                <w:sz w:val="24"/>
                <w:szCs w:val="24"/>
                <w:highlight w:val="none"/>
                <w:u w:val="none"/>
                <w:lang w:val="en-US" w:eastAsia="zh-CN"/>
              </w:rPr>
              <w:t>磋商</w:t>
            </w:r>
            <w:r>
              <w:rPr>
                <w:rFonts w:hint="eastAsia" w:ascii="仿宋_GB2312" w:hAnsi="仿宋_GB2312" w:eastAsia="仿宋_GB2312" w:cs="仿宋_GB2312"/>
                <w:i w:val="0"/>
                <w:iCs w:val="0"/>
                <w:color w:val="auto"/>
                <w:sz w:val="24"/>
                <w:szCs w:val="24"/>
                <w:highlight w:val="none"/>
                <w:u w:val="none"/>
              </w:rPr>
              <w:t>时间往前推算，以合同签订时间为准）以来承担过</w:t>
            </w:r>
            <w:r>
              <w:rPr>
                <w:rFonts w:hint="eastAsia" w:ascii="仿宋_GB2312" w:hAnsi="仿宋_GB2312" w:eastAsia="仿宋_GB2312" w:cs="仿宋_GB2312"/>
                <w:i w:val="0"/>
                <w:iCs w:val="0"/>
                <w:color w:val="auto"/>
                <w:sz w:val="24"/>
                <w:szCs w:val="24"/>
                <w:highlight w:val="none"/>
                <w:u w:val="none"/>
                <w:lang w:val="en-US" w:eastAsia="zh-CN"/>
              </w:rPr>
              <w:t>建筑装饰装修</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val="en-US" w:eastAsia="zh-CN"/>
              </w:rPr>
              <w:t>项目</w:t>
            </w:r>
            <w:r>
              <w:rPr>
                <w:rFonts w:hint="eastAsia" w:ascii="仿宋_GB2312" w:hAnsi="仿宋_GB2312" w:eastAsia="仿宋_GB2312" w:cs="仿宋_GB2312"/>
                <w:i w:val="0"/>
                <w:iCs w:val="0"/>
                <w:color w:val="auto"/>
                <w:sz w:val="24"/>
                <w:szCs w:val="24"/>
                <w:highlight w:val="none"/>
                <w:u w:val="none"/>
              </w:rPr>
              <w:t>的：每项得5分，最高得2</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val="en-US" w:eastAsia="zh-CN"/>
              </w:rPr>
              <w:t>注：</w:t>
            </w:r>
            <w:r>
              <w:rPr>
                <w:rFonts w:hint="eastAsia" w:ascii="仿宋_GB2312" w:hAnsi="仿宋_GB2312" w:eastAsia="仿宋_GB2312" w:cs="仿宋_GB2312"/>
                <w:i w:val="0"/>
                <w:iCs w:val="0"/>
                <w:color w:val="auto"/>
                <w:sz w:val="24"/>
                <w:szCs w:val="24"/>
                <w:highlight w:val="none"/>
                <w:u w:val="none"/>
              </w:rPr>
              <w:t>项目业绩需提供项目设计合同关键页的复印件加盖响应人公章。</w:t>
            </w:r>
          </w:p>
        </w:tc>
      </w:tr>
      <w:tr>
        <w:tblPrEx>
          <w:shd w:val="clear" w:color="auto" w:fill="auto"/>
          <w:tblCellMar>
            <w:top w:w="0" w:type="dxa"/>
            <w:left w:w="108" w:type="dxa"/>
            <w:bottom w:w="0" w:type="dxa"/>
            <w:right w:w="108" w:type="dxa"/>
          </w:tblCellMar>
        </w:tblPrEx>
        <w:trPr>
          <w:trHeight w:val="3613"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项目负责人</w:t>
            </w:r>
            <w:r>
              <w:rPr>
                <w:rFonts w:hint="eastAsia" w:ascii="仿宋_GB2312" w:hAnsi="仿宋_GB2312" w:eastAsia="仿宋_GB2312" w:cs="仿宋_GB2312"/>
                <w:color w:val="auto"/>
                <w:sz w:val="24"/>
                <w:szCs w:val="24"/>
                <w:highlight w:val="none"/>
                <w:lang w:val="en-US" w:eastAsia="zh-CN"/>
              </w:rPr>
              <w:t>业绩</w:t>
            </w:r>
          </w:p>
          <w:p>
            <w:pPr>
              <w:pStyle w:val="15"/>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10分</w:t>
            </w:r>
            <w:r>
              <w:rPr>
                <w:rFonts w:hint="eastAsia" w:ascii="仿宋_GB2312" w:hAnsi="仿宋_GB2312" w:eastAsia="仿宋_GB2312" w:cs="仿宋_GB2312"/>
                <w:color w:val="auto"/>
                <w:sz w:val="24"/>
                <w:szCs w:val="24"/>
                <w:highlight w:val="none"/>
                <w:lang w:eastAsia="zh-CN"/>
              </w:rPr>
              <w:t>）</w:t>
            </w:r>
          </w:p>
        </w:tc>
        <w:tc>
          <w:tcPr>
            <w:tcW w:w="688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numPr>
                <w:ilvl w:val="0"/>
                <w:numId w:val="0"/>
              </w:numPr>
              <w:snapToGrid w:val="0"/>
              <w:spacing w:before="60" w:after="0" w:line="24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lang w:eastAsia="zh-CN"/>
              </w:rPr>
            </w:pPr>
            <w:r>
              <w:rPr>
                <w:rFonts w:hint="eastAsia" w:ascii="仿宋_GB2312" w:hAnsi="仿宋_GB2312" w:eastAsia="仿宋_GB2312" w:cs="仿宋_GB2312"/>
                <w:i w:val="0"/>
                <w:iCs w:val="0"/>
                <w:color w:val="auto"/>
                <w:sz w:val="24"/>
                <w:szCs w:val="24"/>
                <w:highlight w:val="none"/>
                <w:u w:val="none"/>
              </w:rPr>
              <w:t>拟派项目负责人</w:t>
            </w:r>
            <w:r>
              <w:rPr>
                <w:rFonts w:hint="eastAsia" w:ascii="仿宋_GB2312" w:hAnsi="仿宋_GB2312" w:eastAsia="仿宋_GB2312" w:cs="仿宋_GB2312"/>
                <w:i w:val="0"/>
                <w:iCs w:val="0"/>
                <w:color w:val="auto"/>
                <w:sz w:val="24"/>
                <w:szCs w:val="24"/>
                <w:highlight w:val="none"/>
                <w:u w:val="none"/>
                <w:lang w:val="en-US" w:eastAsia="zh-CN"/>
              </w:rPr>
              <w:t>近</w:t>
            </w:r>
            <w:r>
              <w:rPr>
                <w:rFonts w:hint="eastAsia" w:ascii="仿宋_GB2312" w:hAnsi="仿宋_GB2312" w:eastAsia="仿宋_GB2312" w:cs="仿宋_GB2312"/>
                <w:i w:val="0"/>
                <w:iCs w:val="0"/>
                <w:color w:val="auto"/>
                <w:sz w:val="24"/>
                <w:szCs w:val="24"/>
                <w:highlight w:val="none"/>
                <w:u w:val="none"/>
              </w:rPr>
              <w:t>5年（以</w:t>
            </w:r>
            <w:r>
              <w:rPr>
                <w:rFonts w:hint="eastAsia" w:ascii="仿宋_GB2312" w:hAnsi="仿宋_GB2312" w:eastAsia="仿宋_GB2312" w:cs="仿宋_GB2312"/>
                <w:i w:val="0"/>
                <w:iCs w:val="0"/>
                <w:color w:val="auto"/>
                <w:sz w:val="24"/>
                <w:szCs w:val="24"/>
                <w:highlight w:val="none"/>
                <w:u w:val="none"/>
                <w:lang w:val="en-US" w:eastAsia="zh-CN"/>
              </w:rPr>
              <w:t>磋商</w:t>
            </w:r>
            <w:r>
              <w:rPr>
                <w:rFonts w:hint="eastAsia" w:ascii="仿宋_GB2312" w:hAnsi="仿宋_GB2312" w:eastAsia="仿宋_GB2312" w:cs="仿宋_GB2312"/>
                <w:i w:val="0"/>
                <w:iCs w:val="0"/>
                <w:color w:val="auto"/>
                <w:sz w:val="24"/>
                <w:szCs w:val="24"/>
                <w:highlight w:val="none"/>
                <w:u w:val="none"/>
              </w:rPr>
              <w:t>时间往前推算，以合同签订时间为准）以来</w:t>
            </w:r>
            <w:r>
              <w:rPr>
                <w:rFonts w:hint="eastAsia" w:ascii="仿宋_GB2312" w:hAnsi="仿宋_GB2312" w:eastAsia="仿宋_GB2312" w:cs="仿宋_GB2312"/>
                <w:i w:val="0"/>
                <w:iCs w:val="0"/>
                <w:color w:val="auto"/>
                <w:sz w:val="24"/>
                <w:szCs w:val="24"/>
                <w:highlight w:val="none"/>
                <w:u w:val="none"/>
                <w:lang w:eastAsia="zh-CN"/>
              </w:rPr>
              <w:t>：</w:t>
            </w:r>
          </w:p>
          <w:p>
            <w:pPr>
              <w:pStyle w:val="13"/>
              <w:numPr>
                <w:ilvl w:val="-1"/>
                <w:numId w:val="0"/>
              </w:numPr>
              <w:snapToGrid w:val="0"/>
              <w:spacing w:before="60" w:after="0" w:line="24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1.作为项目负责人</w:t>
            </w:r>
            <w:r>
              <w:rPr>
                <w:rFonts w:hint="eastAsia" w:ascii="仿宋_GB2312" w:hAnsi="仿宋_GB2312" w:eastAsia="仿宋_GB2312" w:cs="仿宋_GB2312"/>
                <w:i w:val="0"/>
                <w:iCs w:val="0"/>
                <w:color w:val="auto"/>
                <w:sz w:val="24"/>
                <w:szCs w:val="24"/>
                <w:highlight w:val="none"/>
                <w:u w:val="none"/>
              </w:rPr>
              <w:t>承担过</w:t>
            </w:r>
            <w:r>
              <w:rPr>
                <w:rFonts w:hint="eastAsia" w:ascii="仿宋_GB2312" w:hAnsi="仿宋_GB2312" w:eastAsia="仿宋_GB2312" w:cs="仿宋_GB2312"/>
                <w:i w:val="0"/>
                <w:iCs w:val="0"/>
                <w:color w:val="auto"/>
                <w:sz w:val="24"/>
                <w:szCs w:val="24"/>
                <w:highlight w:val="none"/>
                <w:u w:val="none"/>
                <w:lang w:val="en-US" w:eastAsia="zh-CN"/>
              </w:rPr>
              <w:t>建筑装饰装修</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val="en-US" w:eastAsia="zh-CN"/>
              </w:rPr>
              <w:t>项目</w:t>
            </w:r>
            <w:r>
              <w:rPr>
                <w:rFonts w:hint="eastAsia" w:ascii="仿宋_GB2312" w:hAnsi="仿宋_GB2312" w:eastAsia="仿宋_GB2312" w:cs="仿宋_GB2312"/>
                <w:i w:val="0"/>
                <w:iCs w:val="0"/>
                <w:color w:val="auto"/>
                <w:sz w:val="24"/>
                <w:szCs w:val="24"/>
                <w:highlight w:val="none"/>
                <w:u w:val="none"/>
              </w:rPr>
              <w:t>的</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每项得</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最高得</w:t>
            </w:r>
            <w:r>
              <w:rPr>
                <w:rFonts w:hint="eastAsia" w:ascii="仿宋_GB2312" w:hAnsi="仿宋_GB2312" w:eastAsia="仿宋_GB2312" w:cs="仿宋_GB2312"/>
                <w:i w:val="0"/>
                <w:iCs w:val="0"/>
                <w:color w:val="auto"/>
                <w:sz w:val="24"/>
                <w:szCs w:val="24"/>
                <w:highlight w:val="none"/>
                <w:u w:val="none"/>
                <w:lang w:val="en-US" w:eastAsia="zh-CN"/>
              </w:rPr>
              <w:t>10</w:t>
            </w:r>
            <w:r>
              <w:rPr>
                <w:rFonts w:hint="eastAsia" w:ascii="仿宋_GB2312" w:hAnsi="仿宋_GB2312" w:eastAsia="仿宋_GB2312" w:cs="仿宋_GB2312"/>
                <w:i w:val="0"/>
                <w:iCs w:val="0"/>
                <w:color w:val="auto"/>
                <w:sz w:val="24"/>
                <w:szCs w:val="24"/>
                <w:highlight w:val="none"/>
                <w:u w:val="none"/>
              </w:rPr>
              <w:t xml:space="preserve">分。 </w:t>
            </w:r>
          </w:p>
          <w:p>
            <w:pPr>
              <w:pStyle w:val="13"/>
              <w:numPr>
                <w:ilvl w:val="-1"/>
                <w:numId w:val="0"/>
              </w:numPr>
              <w:snapToGrid w:val="0"/>
              <w:spacing w:before="60" w:after="0" w:line="24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2.作为成员参与</w:t>
            </w:r>
            <w:r>
              <w:rPr>
                <w:rFonts w:hint="eastAsia" w:ascii="仿宋_GB2312" w:hAnsi="仿宋_GB2312" w:eastAsia="仿宋_GB2312" w:cs="仿宋_GB2312"/>
                <w:i w:val="0"/>
                <w:iCs w:val="0"/>
                <w:color w:val="auto"/>
                <w:sz w:val="24"/>
                <w:szCs w:val="24"/>
                <w:highlight w:val="none"/>
                <w:u w:val="none"/>
              </w:rPr>
              <w:t>过</w:t>
            </w:r>
            <w:r>
              <w:rPr>
                <w:rFonts w:hint="eastAsia" w:ascii="仿宋_GB2312" w:hAnsi="仿宋_GB2312" w:eastAsia="仿宋_GB2312" w:cs="仿宋_GB2312"/>
                <w:i w:val="0"/>
                <w:iCs w:val="0"/>
                <w:color w:val="auto"/>
                <w:sz w:val="24"/>
                <w:szCs w:val="24"/>
                <w:highlight w:val="none"/>
                <w:u w:val="none"/>
                <w:lang w:val="en-US" w:eastAsia="zh-CN"/>
              </w:rPr>
              <w:t>建筑装饰装修</w:t>
            </w:r>
            <w:r>
              <w:rPr>
                <w:rFonts w:hint="eastAsia" w:ascii="仿宋_GB2312" w:hAnsi="仿宋_GB2312" w:eastAsia="仿宋_GB2312" w:cs="仿宋_GB2312"/>
                <w:i w:val="0"/>
                <w:iCs w:val="0"/>
                <w:color w:val="auto"/>
                <w:sz w:val="24"/>
                <w:szCs w:val="24"/>
                <w:highlight w:val="none"/>
                <w:u w:val="none"/>
              </w:rPr>
              <w:t>设计</w:t>
            </w:r>
            <w:r>
              <w:rPr>
                <w:rFonts w:hint="eastAsia" w:ascii="仿宋_GB2312" w:hAnsi="仿宋_GB2312" w:eastAsia="仿宋_GB2312" w:cs="仿宋_GB2312"/>
                <w:i w:val="0"/>
                <w:iCs w:val="0"/>
                <w:color w:val="auto"/>
                <w:sz w:val="24"/>
                <w:szCs w:val="24"/>
                <w:highlight w:val="none"/>
                <w:u w:val="none"/>
                <w:lang w:val="en-US" w:eastAsia="zh-CN"/>
              </w:rPr>
              <w:t>项目</w:t>
            </w:r>
            <w:r>
              <w:rPr>
                <w:rFonts w:hint="eastAsia" w:ascii="仿宋_GB2312" w:hAnsi="仿宋_GB2312" w:eastAsia="仿宋_GB2312" w:cs="仿宋_GB2312"/>
                <w:i w:val="0"/>
                <w:iCs w:val="0"/>
                <w:color w:val="auto"/>
                <w:sz w:val="24"/>
                <w:szCs w:val="24"/>
                <w:highlight w:val="none"/>
                <w:u w:val="none"/>
              </w:rPr>
              <w:t>的</w:t>
            </w:r>
            <w:r>
              <w:rPr>
                <w:rFonts w:hint="eastAsia" w:ascii="仿宋_GB2312" w:hAnsi="仿宋_GB2312" w:eastAsia="仿宋_GB2312" w:cs="仿宋_GB2312"/>
                <w:i w:val="0"/>
                <w:iCs w:val="0"/>
                <w:color w:val="auto"/>
                <w:sz w:val="24"/>
                <w:szCs w:val="24"/>
                <w:highlight w:val="none"/>
                <w:u w:val="none"/>
                <w:lang w:eastAsia="zh-CN"/>
              </w:rPr>
              <w:t>，</w:t>
            </w:r>
            <w:r>
              <w:rPr>
                <w:rFonts w:hint="eastAsia" w:ascii="仿宋_GB2312" w:hAnsi="仿宋_GB2312" w:eastAsia="仿宋_GB2312" w:cs="仿宋_GB2312"/>
                <w:i w:val="0"/>
                <w:iCs w:val="0"/>
                <w:color w:val="auto"/>
                <w:sz w:val="24"/>
                <w:szCs w:val="24"/>
                <w:highlight w:val="none"/>
                <w:u w:val="none"/>
              </w:rPr>
              <w:t>每项得</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分</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最高得</w:t>
            </w:r>
            <w:r>
              <w:rPr>
                <w:rFonts w:hint="eastAsia" w:ascii="仿宋_GB2312" w:hAnsi="仿宋_GB2312" w:eastAsia="仿宋_GB2312" w:cs="仿宋_GB2312"/>
                <w:i w:val="0"/>
                <w:iCs w:val="0"/>
                <w:color w:val="auto"/>
                <w:sz w:val="24"/>
                <w:szCs w:val="24"/>
                <w:highlight w:val="none"/>
                <w:u w:val="none"/>
                <w:lang w:val="en-US" w:eastAsia="zh-CN"/>
              </w:rPr>
              <w:t>5</w:t>
            </w:r>
            <w:r>
              <w:rPr>
                <w:rFonts w:hint="eastAsia" w:ascii="仿宋_GB2312" w:hAnsi="仿宋_GB2312" w:eastAsia="仿宋_GB2312" w:cs="仿宋_GB2312"/>
                <w:i w:val="0"/>
                <w:iCs w:val="0"/>
                <w:color w:val="auto"/>
                <w:sz w:val="24"/>
                <w:szCs w:val="24"/>
                <w:highlight w:val="none"/>
                <w:u w:val="none"/>
              </w:rPr>
              <w:t>分。</w:t>
            </w:r>
          </w:p>
          <w:p>
            <w:pPr>
              <w:pStyle w:val="13"/>
              <w:keepNext w:val="0"/>
              <w:keepLines w:val="0"/>
              <w:widowControl/>
              <w:numPr>
                <w:ilvl w:val="0"/>
                <w:numId w:val="0"/>
              </w:numPr>
              <w:suppressLineNumbers w:val="0"/>
              <w:snapToGrid w:val="0"/>
              <w:spacing w:before="60" w:line="360" w:lineRule="auto"/>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注：</w:t>
            </w:r>
            <w:r>
              <w:rPr>
                <w:rFonts w:hint="eastAsia" w:ascii="仿宋_GB2312" w:hAnsi="仿宋_GB2312" w:eastAsia="仿宋_GB2312" w:cs="仿宋_GB2312"/>
                <w:i w:val="0"/>
                <w:iCs w:val="0"/>
                <w:color w:val="auto"/>
                <w:sz w:val="24"/>
                <w:szCs w:val="24"/>
                <w:highlight w:val="none"/>
                <w:u w:val="none"/>
              </w:rPr>
              <w:t>拟派项目负责人业绩需提供项目设计合同关键页</w:t>
            </w:r>
            <w:r>
              <w:rPr>
                <w:rFonts w:hint="eastAsia" w:ascii="仿宋_GB2312" w:hAnsi="仿宋_GB2312" w:eastAsia="仿宋_GB2312" w:cs="仿宋_GB2312"/>
                <w:i w:val="0"/>
                <w:iCs w:val="0"/>
                <w:color w:val="auto"/>
                <w:sz w:val="24"/>
                <w:szCs w:val="24"/>
                <w:highlight w:val="none"/>
                <w:u w:val="none"/>
                <w:lang w:val="en-US" w:eastAsia="zh-CN"/>
              </w:rPr>
              <w:t>或成果文件关键页</w:t>
            </w:r>
            <w:r>
              <w:rPr>
                <w:rFonts w:hint="eastAsia" w:ascii="仿宋_GB2312" w:hAnsi="仿宋_GB2312" w:eastAsia="仿宋_GB2312" w:cs="仿宋_GB2312"/>
                <w:i w:val="0"/>
                <w:iCs w:val="0"/>
                <w:color w:val="auto"/>
                <w:sz w:val="24"/>
                <w:szCs w:val="24"/>
                <w:highlight w:val="none"/>
                <w:u w:val="none"/>
              </w:rPr>
              <w:t>的复印件加盖响应人公章。</w:t>
            </w:r>
          </w:p>
        </w:tc>
      </w:tr>
    </w:tbl>
    <w:p>
      <w:pPr>
        <w:jc w:val="center"/>
        <w:rPr>
          <w:rFonts w:hint="eastAsia" w:ascii="仿宋_GB2312" w:hAnsi="仿宋_GB2312" w:eastAsia="仿宋_GB2312" w:cs="仿宋_GB2312"/>
          <w:b/>
          <w:bCs/>
          <w:color w:val="auto"/>
          <w:sz w:val="24"/>
          <w:szCs w:val="24"/>
          <w:highlight w:val="none"/>
          <w:lang w:val="en-US" w:eastAsia="zh-CN"/>
        </w:rPr>
      </w:pPr>
    </w:p>
    <w:p>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、经济标评分表（</w:t>
      </w:r>
      <w:r>
        <w:rPr>
          <w:rFonts w:hint="eastAsia" w:ascii="仿宋_GB2312" w:hAnsi="仿宋_GB2312" w:eastAsia="仿宋_GB2312" w:cs="仿宋_GB2312"/>
          <w:b/>
          <w:bCs/>
          <w:color w:val="auto"/>
          <w:sz w:val="24"/>
          <w:szCs w:val="24"/>
          <w:highlight w:val="none"/>
          <w:lang w:val="en-US" w:eastAsia="zh-CN"/>
        </w:rPr>
        <w:t>10</w:t>
      </w:r>
      <w:r>
        <w:rPr>
          <w:rFonts w:hint="eastAsia" w:ascii="仿宋_GB2312" w:hAnsi="仿宋_GB2312" w:eastAsia="仿宋_GB2312" w:cs="仿宋_GB2312"/>
          <w:b/>
          <w:bCs/>
          <w:color w:val="auto"/>
          <w:sz w:val="24"/>
          <w:szCs w:val="24"/>
          <w:highlight w:val="none"/>
        </w:rPr>
        <w:t>分）</w:t>
      </w:r>
    </w:p>
    <w:tbl>
      <w:tblPr>
        <w:tblStyle w:val="27"/>
        <w:tblW w:w="8737" w:type="dxa"/>
        <w:tblInd w:w="93" w:type="dxa"/>
        <w:shd w:val="clear" w:color="auto" w:fill="auto"/>
        <w:tblLayout w:type="fixed"/>
        <w:tblCellMar>
          <w:top w:w="0" w:type="dxa"/>
          <w:left w:w="108" w:type="dxa"/>
          <w:bottom w:w="0" w:type="dxa"/>
          <w:right w:w="108" w:type="dxa"/>
        </w:tblCellMar>
      </w:tblPr>
      <w:tblGrid>
        <w:gridCol w:w="675"/>
        <w:gridCol w:w="1191"/>
        <w:gridCol w:w="6871"/>
      </w:tblGrid>
      <w:tr>
        <w:tblPrEx>
          <w:tblCellMar>
            <w:top w:w="0" w:type="dxa"/>
            <w:left w:w="108" w:type="dxa"/>
            <w:bottom w:w="0" w:type="dxa"/>
            <w:right w:w="108" w:type="dxa"/>
          </w:tblCellMar>
        </w:tblPrEx>
        <w:trPr>
          <w:trHeight w:val="239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价格部分</w:t>
            </w:r>
            <w:r>
              <w:rPr>
                <w:rFonts w:hint="eastAsia" w:ascii="仿宋_GB2312" w:hAnsi="仿宋_GB2312" w:eastAsia="仿宋_GB2312" w:cs="仿宋_GB2312"/>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i w:val="0"/>
                <w:iCs w:val="0"/>
                <w:color w:val="auto"/>
                <w:kern w:val="0"/>
                <w:sz w:val="24"/>
                <w:szCs w:val="24"/>
                <w:highlight w:val="none"/>
                <w:u w:val="none"/>
                <w:lang w:val="en-US" w:eastAsia="zh-CN" w:bidi="ar"/>
              </w:rPr>
              <w:t>（10分）</w:t>
            </w:r>
          </w:p>
        </w:tc>
        <w:tc>
          <w:tcPr>
            <w:tcW w:w="6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Style w:val="66"/>
                <w:rFonts w:ascii="仿宋_GB2312" w:hAnsi="仿宋_GB2312" w:eastAsia="仿宋_GB2312" w:cs="仿宋_GB2312"/>
                <w:color w:val="auto"/>
                <w:highlight w:val="none"/>
                <w:lang w:val="en-US" w:eastAsia="zh-CN" w:bidi="ar"/>
              </w:rPr>
              <w:t>各响应人的响应报价得分按以下公式进行计算：</w:t>
            </w:r>
            <w:r>
              <w:rPr>
                <w:rStyle w:val="66"/>
                <w:rFonts w:ascii="仿宋_GB2312" w:hAnsi="仿宋_GB2312" w:eastAsia="仿宋_GB2312" w:cs="仿宋_GB2312"/>
                <w:color w:val="auto"/>
                <w:highlight w:val="none"/>
                <w:lang w:val="en-US" w:eastAsia="zh-CN" w:bidi="ar"/>
              </w:rPr>
              <w:br w:type="textWrapping"/>
            </w:r>
            <w:r>
              <w:rPr>
                <w:rStyle w:val="66"/>
                <w:rFonts w:ascii="仿宋_GB2312" w:hAnsi="仿宋_GB2312" w:eastAsia="仿宋_GB2312" w:cs="仿宋_GB2312"/>
                <w:color w:val="auto"/>
                <w:highlight w:val="none"/>
                <w:lang w:val="en-US" w:eastAsia="zh-CN" w:bidi="ar"/>
              </w:rPr>
              <w:t>响应报价得分= (评标基准价/响应报价)×</w:t>
            </w:r>
            <w:r>
              <w:rPr>
                <w:rStyle w:val="66"/>
                <w:rFonts w:hint="eastAsia" w:ascii="仿宋_GB2312" w:hAnsi="仿宋_GB2312" w:eastAsia="仿宋_GB2312" w:cs="仿宋_GB2312"/>
                <w:color w:val="auto"/>
                <w:highlight w:val="none"/>
                <w:lang w:val="en-US" w:eastAsia="zh-CN" w:bidi="ar"/>
              </w:rPr>
              <w:t>10</w:t>
            </w:r>
            <w:r>
              <w:rPr>
                <w:rStyle w:val="66"/>
                <w:rFonts w:ascii="仿宋_GB2312" w:hAnsi="仿宋_GB2312" w:eastAsia="仿宋_GB2312" w:cs="仿宋_GB2312"/>
                <w:color w:val="auto"/>
                <w:highlight w:val="none"/>
                <w:lang w:val="en-US" w:eastAsia="zh-CN" w:bidi="ar"/>
              </w:rPr>
              <w:t>%×100。</w:t>
            </w:r>
            <w:r>
              <w:rPr>
                <w:rStyle w:val="66"/>
                <w:rFonts w:ascii="仿宋_GB2312" w:hAnsi="仿宋_GB2312" w:eastAsia="仿宋_GB2312" w:cs="仿宋_GB2312"/>
                <w:color w:val="auto"/>
                <w:highlight w:val="none"/>
                <w:lang w:val="en-US" w:eastAsia="zh-CN" w:bidi="ar"/>
              </w:rPr>
              <w:br w:type="textWrapping"/>
            </w:r>
            <w:r>
              <w:rPr>
                <w:rStyle w:val="66"/>
                <w:rFonts w:ascii="仿宋_GB2312" w:hAnsi="仿宋_GB2312" w:eastAsia="仿宋_GB2312" w:cs="仿宋_GB2312"/>
                <w:color w:val="auto"/>
                <w:highlight w:val="none"/>
                <w:lang w:val="en-US" w:eastAsia="zh-CN" w:bidi="ar"/>
              </w:rPr>
              <w:t>评标基准价为满足</w:t>
            </w:r>
            <w:r>
              <w:rPr>
                <w:rStyle w:val="68"/>
                <w:rFonts w:ascii="仿宋_GB2312" w:hAnsi="仿宋_GB2312" w:eastAsia="仿宋_GB2312" w:cs="仿宋_GB2312"/>
                <w:color w:val="auto"/>
                <w:highlight w:val="none"/>
                <w:lang w:val="en-US" w:eastAsia="zh-CN" w:bidi="ar"/>
              </w:rPr>
              <w:t>磋商文件</w:t>
            </w:r>
            <w:r>
              <w:rPr>
                <w:rStyle w:val="66"/>
                <w:rFonts w:ascii="仿宋_GB2312" w:hAnsi="仿宋_GB2312" w:eastAsia="仿宋_GB2312" w:cs="仿宋_GB2312"/>
                <w:color w:val="auto"/>
                <w:highlight w:val="none"/>
                <w:lang w:val="en-US" w:eastAsia="zh-CN" w:bidi="ar"/>
              </w:rPr>
              <w:t>要求最低的响应报价，其价格分为满分。若响应报价高于报价上限，则其响应文件按无效响应文件处理。（保留小数点后二位）</w:t>
            </w:r>
          </w:p>
        </w:tc>
      </w:tr>
    </w:tbl>
    <w:p>
      <w:pPr>
        <w:ind w:left="0" w:leftChars="0" w:firstLine="0" w:firstLineChars="0"/>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br w:type="page"/>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第三章</w:t>
      </w:r>
    </w:p>
    <w:p>
      <w:pPr>
        <w:spacing w:line="360" w:lineRule="auto"/>
        <w:jc w:val="center"/>
        <w:rPr>
          <w:rFonts w:hint="eastAsia" w:ascii="仿宋_GB2312" w:hAnsi="仿宋_GB2312" w:eastAsia="仿宋_GB2312" w:cs="仿宋_GB2312"/>
          <w:b/>
          <w:color w:val="auto"/>
          <w:sz w:val="44"/>
          <w:highlight w:val="none"/>
        </w:rPr>
      </w:pPr>
    </w:p>
    <w:p>
      <w:pPr>
        <w:spacing w:line="360" w:lineRule="auto"/>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color w:val="auto"/>
          <w:sz w:val="44"/>
          <w:highlight w:val="none"/>
        </w:rPr>
        <w:t>响应人须知</w:t>
      </w:r>
      <w:bookmarkStart w:id="6" w:name="_Toc416771321"/>
      <w:bookmarkStart w:id="7" w:name="_Toc410736132"/>
      <w:bookmarkStart w:id="8" w:name="_Toc410738932"/>
      <w:bookmarkStart w:id="9" w:name="_Toc2593"/>
      <w:bookmarkStart w:id="10" w:name="_Toc416770211"/>
      <w:bookmarkStart w:id="11" w:name="_Toc293674590"/>
    </w:p>
    <w:p>
      <w:pPr>
        <w:pStyle w:val="26"/>
        <w:rPr>
          <w:rFonts w:hint="eastAsia" w:ascii="仿宋_GB2312" w:hAnsi="仿宋_GB2312" w:eastAsia="仿宋_GB2312" w:cs="仿宋_GB2312"/>
          <w:b/>
          <w:bCs/>
          <w:color w:val="auto"/>
          <w:sz w:val="30"/>
          <w:szCs w:val="30"/>
          <w:highlight w:val="none"/>
        </w:rPr>
      </w:pPr>
    </w:p>
    <w:p>
      <w:pPr>
        <w:snapToGrid w:val="0"/>
        <w:spacing w:line="360" w:lineRule="auto"/>
        <w:jc w:val="both"/>
        <w:outlineLvl w:val="0"/>
        <w:rPr>
          <w:rFonts w:hint="eastAsia" w:ascii="仿宋_GB2312" w:hAnsi="仿宋_GB2312" w:eastAsia="仿宋_GB2312" w:cs="仿宋_GB2312"/>
          <w:b/>
          <w:bCs/>
          <w:color w:val="auto"/>
          <w:sz w:val="30"/>
          <w:szCs w:val="30"/>
          <w:highlight w:val="none"/>
        </w:rPr>
      </w:pPr>
    </w:p>
    <w:p>
      <w:pPr>
        <w:snapToGrid w:val="0"/>
        <w:spacing w:line="360" w:lineRule="auto"/>
        <w:jc w:val="center"/>
        <w:outlineLvl w:val="0"/>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一、说 明</w:t>
      </w:r>
      <w:bookmarkEnd w:id="6"/>
      <w:bookmarkEnd w:id="7"/>
      <w:bookmarkEnd w:id="8"/>
      <w:bookmarkEnd w:id="9"/>
      <w:bookmarkEnd w:id="10"/>
      <w:bookmarkEnd w:id="11"/>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 w:name="_Toc410736133"/>
      <w:bookmarkStart w:id="13" w:name="_Toc416770212"/>
      <w:bookmarkStart w:id="14" w:name="_Toc410738933"/>
      <w:bookmarkStart w:id="15" w:name="_Toc416771322"/>
      <w:r>
        <w:rPr>
          <w:rFonts w:hint="eastAsia" w:ascii="仿宋_GB2312" w:hAnsi="仿宋_GB2312" w:eastAsia="仿宋_GB2312" w:cs="仿宋_GB2312"/>
          <w:b/>
          <w:bCs/>
          <w:color w:val="auto"/>
          <w:sz w:val="24"/>
          <w:szCs w:val="24"/>
          <w:highlight w:val="none"/>
        </w:rPr>
        <w:t>适用范围</w:t>
      </w:r>
      <w:bookmarkEnd w:id="12"/>
      <w:bookmarkEnd w:id="13"/>
      <w:bookmarkEnd w:id="14"/>
      <w:bookmarkEnd w:id="15"/>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本竞争性磋商文件适用于本磋商邀请中所述项目的采购。</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6" w:name="_Toc410736134"/>
      <w:bookmarkStart w:id="17" w:name="_Toc416770213"/>
      <w:bookmarkStart w:id="18" w:name="_Toc416771323"/>
      <w:bookmarkStart w:id="19" w:name="_Toc410738934"/>
      <w:r>
        <w:rPr>
          <w:rFonts w:hint="eastAsia" w:ascii="仿宋_GB2312" w:hAnsi="仿宋_GB2312" w:eastAsia="仿宋_GB2312" w:cs="仿宋_GB2312"/>
          <w:b/>
          <w:bCs/>
          <w:color w:val="auto"/>
          <w:sz w:val="24"/>
          <w:szCs w:val="24"/>
          <w:highlight w:val="none"/>
        </w:rPr>
        <w:t>监管部门及</w:t>
      </w:r>
      <w:bookmarkEnd w:id="16"/>
      <w:bookmarkEnd w:id="17"/>
      <w:bookmarkEnd w:id="18"/>
      <w:bookmarkEnd w:id="19"/>
      <w:r>
        <w:rPr>
          <w:rFonts w:hint="eastAsia" w:ascii="仿宋_GB2312" w:hAnsi="仿宋_GB2312" w:eastAsia="仿宋_GB2312" w:cs="仿宋_GB2312"/>
          <w:b/>
          <w:bCs/>
          <w:color w:val="auto"/>
          <w:sz w:val="24"/>
          <w:szCs w:val="24"/>
          <w:highlight w:val="none"/>
          <w:lang w:eastAsia="zh-CN"/>
        </w:rPr>
        <w:t>代理机构</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监管部门指</w:t>
      </w:r>
      <w:r>
        <w:rPr>
          <w:rFonts w:hint="eastAsia" w:ascii="仿宋_GB2312" w:hAnsi="仿宋_GB2312" w:eastAsia="仿宋_GB2312" w:cs="仿宋_GB2312"/>
          <w:color w:val="auto"/>
          <w:sz w:val="24"/>
          <w:szCs w:val="24"/>
          <w:highlight w:val="none"/>
          <w:lang w:eastAsia="zh-TW"/>
        </w:rPr>
        <w:t>同级人民政府财政部门</w:t>
      </w:r>
      <w:r>
        <w:rPr>
          <w:rFonts w:hint="eastAsia" w:ascii="仿宋_GB2312" w:hAnsi="仿宋_GB2312" w:eastAsia="仿宋_GB2312" w:cs="仿宋_GB2312"/>
          <w:color w:val="auto"/>
          <w:sz w:val="24"/>
          <w:szCs w:val="24"/>
          <w:highlight w:val="none"/>
        </w:rPr>
        <w:t>。</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指采购人及采购代理机构。</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采购人指依法进行采购的国家机关、事业单位和团体组织。</w:t>
      </w:r>
      <w:r>
        <w:rPr>
          <w:rFonts w:hint="eastAsia" w:ascii="仿宋_GB2312" w:hAnsi="仿宋_GB2312" w:eastAsia="仿宋_GB2312" w:cs="仿宋_GB2312"/>
          <w:color w:val="auto"/>
          <w:sz w:val="24"/>
          <w:szCs w:val="24"/>
          <w:highlight w:val="none"/>
          <w:lang w:eastAsia="zh-TW"/>
        </w:rPr>
        <w:t>本竞争性磋商文件第</w:t>
      </w: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TW"/>
        </w:rPr>
        <w:t>章</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中所述的采购人已拥有一笔</w:t>
      </w:r>
      <w:r>
        <w:rPr>
          <w:rFonts w:hint="eastAsia" w:ascii="仿宋_GB2312" w:hAnsi="仿宋_GB2312" w:eastAsia="仿宋_GB2312" w:cs="仿宋_GB2312"/>
          <w:color w:val="auto"/>
          <w:sz w:val="24"/>
          <w:szCs w:val="24"/>
          <w:highlight w:val="none"/>
        </w:rPr>
        <w:t>财政性</w:t>
      </w:r>
      <w:r>
        <w:rPr>
          <w:rFonts w:hint="eastAsia" w:ascii="仿宋_GB2312" w:hAnsi="仿宋_GB2312" w:eastAsia="仿宋_GB2312" w:cs="仿宋_GB2312"/>
          <w:color w:val="auto"/>
          <w:sz w:val="24"/>
          <w:szCs w:val="24"/>
          <w:highlight w:val="none"/>
          <w:lang w:eastAsia="zh-TW"/>
        </w:rPr>
        <w:t>资金</w:t>
      </w:r>
      <w:r>
        <w:rPr>
          <w:rFonts w:hint="eastAsia" w:ascii="仿宋_GB2312" w:hAnsi="仿宋_GB2312" w:eastAsia="仿宋_GB2312" w:cs="仿宋_GB2312"/>
          <w:color w:val="auto"/>
          <w:sz w:val="24"/>
          <w:szCs w:val="24"/>
          <w:highlight w:val="none"/>
        </w:rPr>
        <w:t>或资金来源已落实</w:t>
      </w:r>
      <w:r>
        <w:rPr>
          <w:rFonts w:hint="eastAsia" w:ascii="仿宋_GB2312" w:hAnsi="仿宋_GB2312" w:eastAsia="仿宋_GB2312" w:cs="仿宋_GB2312"/>
          <w:color w:val="auto"/>
          <w:sz w:val="24"/>
          <w:szCs w:val="24"/>
          <w:highlight w:val="none"/>
          <w:lang w:eastAsia="zh-TW"/>
        </w:rPr>
        <w:t>。采购人计划将一部分</w:t>
      </w:r>
      <w:r>
        <w:rPr>
          <w:rFonts w:hint="eastAsia" w:ascii="仿宋_GB2312" w:hAnsi="仿宋_GB2312" w:eastAsia="仿宋_GB2312" w:cs="仿宋_GB2312"/>
          <w:color w:val="auto"/>
          <w:sz w:val="24"/>
          <w:szCs w:val="24"/>
          <w:highlight w:val="none"/>
        </w:rPr>
        <w:t>或全部</w:t>
      </w:r>
      <w:r>
        <w:rPr>
          <w:rFonts w:hint="eastAsia" w:ascii="仿宋_GB2312" w:hAnsi="仿宋_GB2312" w:eastAsia="仿宋_GB2312" w:cs="仿宋_GB2312"/>
          <w:color w:val="auto"/>
          <w:sz w:val="24"/>
          <w:szCs w:val="24"/>
          <w:highlight w:val="none"/>
          <w:lang w:eastAsia="zh-TW"/>
        </w:rPr>
        <w:t>资金用于支付本次</w:t>
      </w:r>
      <w:r>
        <w:rPr>
          <w:rFonts w:hint="eastAsia" w:ascii="仿宋_GB2312" w:hAnsi="仿宋_GB2312" w:eastAsia="仿宋_GB2312" w:cs="仿宋_GB2312"/>
          <w:color w:val="auto"/>
          <w:sz w:val="24"/>
          <w:szCs w:val="24"/>
          <w:highlight w:val="none"/>
        </w:rPr>
        <w:t>采购</w:t>
      </w:r>
      <w:r>
        <w:rPr>
          <w:rFonts w:hint="eastAsia" w:ascii="仿宋_GB2312" w:hAnsi="仿宋_GB2312" w:eastAsia="仿宋_GB2312" w:cs="仿宋_GB2312"/>
          <w:color w:val="auto"/>
          <w:sz w:val="24"/>
          <w:szCs w:val="24"/>
          <w:highlight w:val="none"/>
          <w:lang w:eastAsia="zh-TW"/>
        </w:rPr>
        <w:t>后所签订合同项下的款项</w:t>
      </w:r>
      <w:r>
        <w:rPr>
          <w:rFonts w:hint="eastAsia" w:ascii="仿宋_GB2312" w:hAnsi="仿宋_GB2312" w:eastAsia="仿宋_GB2312" w:cs="仿宋_GB2312"/>
          <w:color w:val="auto"/>
          <w:sz w:val="24"/>
          <w:szCs w:val="24"/>
          <w:highlight w:val="none"/>
        </w:rPr>
        <w:t>。</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bookmarkStart w:id="20" w:name="_Toc410736135"/>
      <w:bookmarkStart w:id="21" w:name="_Toc410738935"/>
      <w:r>
        <w:rPr>
          <w:rFonts w:hint="eastAsia" w:ascii="仿宋_GB2312" w:hAnsi="仿宋_GB2312" w:eastAsia="仿宋_GB2312" w:cs="仿宋_GB2312"/>
          <w:color w:val="auto"/>
          <w:sz w:val="24"/>
          <w:szCs w:val="24"/>
          <w:highlight w:val="none"/>
        </w:rPr>
        <w:t>采购代理机构指按照规定办理注册登记并通过审核的代理机构。本次采购的采购代理机构名称、地址、电话和传真见</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22" w:name="_Toc416771324"/>
      <w:bookmarkStart w:id="23" w:name="_Toc416770214"/>
      <w:r>
        <w:rPr>
          <w:rFonts w:hint="eastAsia" w:ascii="仿宋_GB2312" w:hAnsi="仿宋_GB2312" w:eastAsia="仿宋_GB2312" w:cs="仿宋_GB2312"/>
          <w:b/>
          <w:bCs/>
          <w:color w:val="auto"/>
          <w:sz w:val="24"/>
          <w:szCs w:val="24"/>
          <w:highlight w:val="none"/>
        </w:rPr>
        <w:t>关于响应供应商</w:t>
      </w:r>
      <w:bookmarkEnd w:id="20"/>
      <w:bookmarkEnd w:id="21"/>
      <w:r>
        <w:rPr>
          <w:rFonts w:hint="eastAsia" w:ascii="仿宋_GB2312" w:hAnsi="仿宋_GB2312" w:eastAsia="仿宋_GB2312" w:cs="仿宋_GB2312"/>
          <w:b/>
          <w:bCs/>
          <w:color w:val="auto"/>
          <w:sz w:val="24"/>
          <w:szCs w:val="24"/>
          <w:highlight w:val="none"/>
        </w:rPr>
        <w:t>及</w:t>
      </w:r>
      <w:bookmarkEnd w:id="22"/>
      <w:bookmarkEnd w:id="23"/>
      <w:r>
        <w:rPr>
          <w:rFonts w:hint="eastAsia" w:ascii="仿宋_GB2312" w:hAnsi="仿宋_GB2312" w:eastAsia="仿宋_GB2312" w:cs="仿宋_GB2312"/>
          <w:b/>
          <w:bCs/>
          <w:color w:val="auto"/>
          <w:sz w:val="24"/>
          <w:szCs w:val="24"/>
          <w:highlight w:val="none"/>
          <w:lang w:eastAsia="zh-CN"/>
        </w:rPr>
        <w:t>成交人</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是响应磋商并且符合竞争性磋商文件规定资格条件和参加磋商竞争的法人、其他组织或者自然人</w:t>
      </w:r>
      <w:r>
        <w:rPr>
          <w:rFonts w:hint="eastAsia" w:ascii="仿宋_GB2312" w:hAnsi="仿宋_GB2312" w:eastAsia="仿宋_GB2312" w:cs="仿宋_GB2312"/>
          <w:color w:val="auto"/>
          <w:sz w:val="24"/>
          <w:szCs w:val="24"/>
          <w:highlight w:val="none"/>
          <w:lang w:eastAsia="zh-CN"/>
        </w:rPr>
        <w:t>，简称：响应人</w:t>
      </w:r>
      <w:r>
        <w:rPr>
          <w:rFonts w:hint="eastAsia" w:ascii="仿宋_GB2312" w:hAnsi="仿宋_GB2312" w:eastAsia="仿宋_GB2312" w:cs="仿宋_GB2312"/>
          <w:color w:val="auto"/>
          <w:sz w:val="24"/>
          <w:szCs w:val="24"/>
          <w:highlight w:val="none"/>
        </w:rPr>
        <w:t>。</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合格的</w:t>
      </w:r>
      <w:r>
        <w:rPr>
          <w:rFonts w:hint="eastAsia" w:ascii="仿宋_GB2312" w:hAnsi="仿宋_GB2312" w:eastAsia="仿宋_GB2312" w:cs="仿宋_GB2312"/>
          <w:color w:val="auto"/>
          <w:sz w:val="24"/>
          <w:szCs w:val="24"/>
          <w:highlight w:val="none"/>
          <w:lang w:eastAsia="zh-CN"/>
        </w:rPr>
        <w:t>响应人</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具有独立承担民事责任的能力。</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具有良好的商业信誉和健全的财务会计制度。</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具有履行合同所必需的设备和专业技术能力。</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有依法缴纳税收和社会保障资金的良好记录。</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参加采购活动前三年内，在经营活动中没有重大违法记录。</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法律、行政法规规定的其他条件。</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只有在法律上和财务上独立、合法运作并独立于采购人和采购代理机构的响应供货商才能参加磋商。</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法定代表人或单位负责人为同一人或者存在直接控股、管理关系的不同单位不得同时参与同一个项目（包组）的竞争。</w:t>
      </w:r>
    </w:p>
    <w:p>
      <w:pPr>
        <w:widowControl w:val="0"/>
        <w:numPr>
          <w:ilvl w:val="2"/>
          <w:numId w:val="3"/>
        </w:numPr>
        <w:tabs>
          <w:tab w:val="left" w:pos="426"/>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符合第一章磋商邀请“供应商资格要求”的特殊条款。</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是指经法定程序确定并授予合同的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val="en-US" w:eastAsia="zh-CN"/>
        </w:rPr>
        <w:t>简称：成交人</w:t>
      </w:r>
      <w:r>
        <w:rPr>
          <w:rFonts w:hint="eastAsia" w:ascii="仿宋_GB2312" w:hAnsi="仿宋_GB2312" w:eastAsia="仿宋_GB2312" w:cs="仿宋_GB2312"/>
          <w:color w:val="auto"/>
          <w:sz w:val="24"/>
          <w:szCs w:val="24"/>
          <w:highlight w:val="none"/>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24" w:name="_Toc416771325"/>
      <w:bookmarkStart w:id="25" w:name="_Toc416770215"/>
      <w:bookmarkStart w:id="26" w:name="_Toc381027664"/>
      <w:r>
        <w:rPr>
          <w:rFonts w:hint="eastAsia" w:ascii="仿宋_GB2312" w:hAnsi="仿宋_GB2312" w:eastAsia="仿宋_GB2312" w:cs="仿宋_GB2312"/>
          <w:b/>
          <w:bCs/>
          <w:color w:val="auto"/>
          <w:sz w:val="24"/>
          <w:szCs w:val="24"/>
          <w:highlight w:val="none"/>
        </w:rPr>
        <w:t>合格的货物和服务</w:t>
      </w:r>
      <w:bookmarkEnd w:id="24"/>
      <w:bookmarkEnd w:id="25"/>
      <w:bookmarkEnd w:id="26"/>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“货物”是指</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制造或组织符合竞争性磋商文件要求的货物等。投标的货物必须是其合法生产、合法来源的符合国家有关标准要求的货物，并满足竞争性磋商文件规定的规格、参数、质量、价格、有效期、售后服务等要求。</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“服务”是指</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按竞争性磋商文件规定完成的全部服务内容，其中包括完成服务所需的货物，及须承担的技术支持、培训和其它伴随服务。</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提供的所有货物或服务，其质量、技术等特征必须符合国家、行业现行法律、法规的相关标准的有关规定。</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采购人有权拒绝接受任何不合格的服务，由此产生的费用及相关后果均由供应商自行承担。</w:t>
      </w:r>
    </w:p>
    <w:p>
      <w:pPr>
        <w:widowControl w:val="0"/>
        <w:numPr>
          <w:ilvl w:val="1"/>
          <w:numId w:val="3"/>
        </w:numPr>
        <w:tabs>
          <w:tab w:val="left" w:pos="567"/>
          <w:tab w:val="clear" w:pos="360"/>
        </w:tabs>
        <w:autoSpaceDE w:val="0"/>
        <w:autoSpaceDN w:val="0"/>
        <w:adjustRightInd w:val="0"/>
        <w:snapToGrid w:val="0"/>
        <w:spacing w:line="360" w:lineRule="auto"/>
        <w:ind w:left="567" w:hanging="567"/>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应保证本项目的服务或其任何一部分不会产生因第三方提出侵犯其专利权、商标权或其他知识产权而引起的法律和经济纠纷；如果</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不拥有相应的知识产权，则须在报价中包括合法获取该知识产权的相关费用，并在响应文件中附有相关证明文件。如因第三方提出其专利权、商标权或其他知识产权的侵权之诉，则一切法律责任由</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承担。</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27" w:name="_Toc410738937"/>
      <w:bookmarkStart w:id="28" w:name="_Toc416771326"/>
      <w:bookmarkStart w:id="29" w:name="_Toc410736137"/>
      <w:bookmarkStart w:id="30" w:name="_Toc416770216"/>
      <w:r>
        <w:rPr>
          <w:rFonts w:hint="eastAsia" w:ascii="仿宋_GB2312" w:hAnsi="仿宋_GB2312" w:eastAsia="仿宋_GB2312" w:cs="仿宋_GB2312"/>
          <w:b/>
          <w:bCs/>
          <w:color w:val="auto"/>
          <w:sz w:val="24"/>
          <w:szCs w:val="24"/>
          <w:highlight w:val="none"/>
        </w:rPr>
        <w:t>投标费用</w:t>
      </w:r>
      <w:bookmarkEnd w:id="27"/>
      <w:bookmarkEnd w:id="28"/>
      <w:bookmarkEnd w:id="29"/>
      <w:bookmarkEnd w:id="30"/>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应承担所有与准备和参加磋商有关的费用</w:t>
      </w:r>
      <w:r>
        <w:rPr>
          <w:rFonts w:hint="eastAsia" w:ascii="仿宋_GB2312" w:hAnsi="仿宋_GB2312" w:eastAsia="仿宋_GB2312" w:cs="仿宋_GB2312"/>
          <w:color w:val="auto"/>
          <w:sz w:val="24"/>
          <w:szCs w:val="24"/>
          <w:highlight w:val="none"/>
          <w:lang w:eastAsia="zh-TW"/>
        </w:rPr>
        <w:t>。不论磋商的结果如何</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均无义务和责任承担这些费用</w:t>
      </w:r>
      <w:r>
        <w:rPr>
          <w:rFonts w:hint="eastAsia" w:ascii="仿宋_GB2312" w:hAnsi="仿宋_GB2312" w:eastAsia="仿宋_GB2312" w:cs="仿宋_GB2312"/>
          <w:color w:val="auto"/>
          <w:sz w:val="24"/>
          <w:szCs w:val="24"/>
          <w:highlight w:val="none"/>
        </w:rPr>
        <w:t>。</w:t>
      </w:r>
    </w:p>
    <w:p>
      <w:pPr>
        <w:widowControl w:val="0"/>
        <w:numPr>
          <w:ilvl w:val="0"/>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bookmarkStart w:id="31" w:name="_Toc381027666"/>
      <w:r>
        <w:rPr>
          <w:rFonts w:hint="eastAsia" w:ascii="仿宋_GB2312" w:hAnsi="仿宋_GB2312" w:eastAsia="仿宋_GB2312" w:cs="仿宋_GB2312"/>
          <w:b/>
          <w:bCs/>
          <w:color w:val="auto"/>
          <w:sz w:val="24"/>
          <w:szCs w:val="24"/>
          <w:highlight w:val="none"/>
        </w:rPr>
        <w:t>信用担保</w:t>
      </w:r>
      <w:bookmarkEnd w:id="31"/>
    </w:p>
    <w:p>
      <w:pPr>
        <w:widowControl w:val="0"/>
        <w:numPr>
          <w:ilvl w:val="-1"/>
          <w:numId w:val="0"/>
        </w:numPr>
        <w:autoSpaceDE w:val="0"/>
        <w:autoSpaceDN w:val="0"/>
        <w:adjustRightInd w:val="0"/>
        <w:snapToGrid w:val="0"/>
        <w:spacing w:line="360" w:lineRule="auto"/>
        <w:ind w:left="0" w:firstLine="0"/>
        <w:jc w:val="both"/>
        <w:rPr>
          <w:rFonts w:hint="eastAsia" w:ascii="仿宋_GB2312" w:hAnsi="仿宋_GB2312" w:eastAsia="仿宋_GB2312" w:cs="仿宋_GB2312"/>
          <w:color w:val="auto"/>
          <w:sz w:val="24"/>
          <w:szCs w:val="24"/>
          <w:highlight w:val="none"/>
        </w:rPr>
      </w:pP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bookmarkStart w:id="32" w:name="_Toc315793298"/>
      <w:r>
        <w:rPr>
          <w:rFonts w:hint="eastAsia" w:ascii="仿宋_GB2312" w:hAnsi="仿宋_GB2312" w:eastAsia="仿宋_GB2312" w:cs="仿宋_GB2312"/>
          <w:color w:val="auto"/>
          <w:sz w:val="24"/>
          <w:szCs w:val="24"/>
          <w:highlight w:val="none"/>
        </w:rPr>
        <w:t>投标担保，是指由专业担保机构为供应商履行支付磋商保证金的义务向采购人或采购代理机构提供的保证担保。供应商在投标有效期内发生的撤回</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，或中标后因自身原因不签署采购合同等行为而应实际支付保证金的，由专业担保机构按照担保函的约定履行担保责任。供应商可以自愿选择是否采取投标担保函的形式交纳磋商保证金。</w:t>
      </w:r>
      <w:bookmarkEnd w:id="32"/>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bookmarkStart w:id="33" w:name="_Toc315793299"/>
      <w:r>
        <w:rPr>
          <w:rFonts w:hint="eastAsia" w:ascii="仿宋_GB2312" w:hAnsi="仿宋_GB2312" w:eastAsia="仿宋_GB2312" w:cs="仿宋_GB2312"/>
          <w:color w:val="auto"/>
          <w:sz w:val="24"/>
          <w:szCs w:val="24"/>
          <w:highlight w:val="none"/>
        </w:rPr>
        <w:t>履约担保，是指由专业担保机构为供应商支付履约保证金的义务向采购人提供的保证担保。</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未按采购合同履行约定义务而应实际支付保证金的，由专业担保机构按照担保函约定履行担保责任。供应商可以自行选择是否采取履约担保函的形式交纳履约保证金。</w:t>
      </w:r>
      <w:bookmarkEnd w:id="33"/>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bookmarkStart w:id="34" w:name="_Toc315793300"/>
      <w:r>
        <w:rPr>
          <w:rFonts w:hint="eastAsia" w:ascii="仿宋_GB2312" w:hAnsi="仿宋_GB2312" w:eastAsia="仿宋_GB2312" w:cs="仿宋_GB2312"/>
          <w:color w:val="auto"/>
          <w:sz w:val="24"/>
          <w:szCs w:val="24"/>
          <w:highlight w:val="none"/>
        </w:rPr>
        <w:t>融资担保，是指由专业担保机构为供应商向银行融资提供的保证担保。供应商可以自愿选择是否采取融资担保的形式为采购履约进行融资。</w:t>
      </w:r>
      <w:bookmarkEnd w:id="34"/>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专业担保机构的选择。除非</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中另有规定，</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必须选定中国投资担保有限公司、广东省融资再担保公司、东莞市金鼎融资担保公司任一家作为专业担保机构。</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供应商可以以投标担保函的形式交纳磋商保证金，并以《采购投标担保函》作为</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的附件。</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供应商可以以履约担保函的形式交纳履约保证金。</w:t>
      </w:r>
    </w:p>
    <w:p>
      <w:pPr>
        <w:widowControl w:val="0"/>
        <w:numPr>
          <w:ilvl w:val="0"/>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其他</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所有时间均为24小时制北京时间，所有货币单位均为人民币元，所使用的计量单位均以《中华人民共和国法定计量单位》为准（特别注明除外）</w:t>
      </w:r>
      <w:r>
        <w:rPr>
          <w:rFonts w:hint="eastAsia" w:ascii="仿宋_GB2312" w:hAnsi="仿宋_GB2312" w:eastAsia="仿宋_GB2312" w:cs="仿宋_GB2312"/>
          <w:color w:val="auto"/>
          <w:sz w:val="24"/>
          <w:szCs w:val="24"/>
          <w:highlight w:val="none"/>
        </w:rPr>
        <w:t>。</w:t>
      </w:r>
    </w:p>
    <w:p>
      <w:pPr>
        <w:snapToGrid w:val="0"/>
        <w:spacing w:beforeLines="100" w:afterLines="100" w:line="360" w:lineRule="auto"/>
        <w:jc w:val="center"/>
        <w:outlineLvl w:val="0"/>
        <w:rPr>
          <w:rFonts w:hint="eastAsia" w:ascii="仿宋_GB2312" w:hAnsi="仿宋_GB2312" w:eastAsia="仿宋_GB2312" w:cs="仿宋_GB2312"/>
          <w:b/>
          <w:color w:val="auto"/>
          <w:sz w:val="30"/>
          <w:szCs w:val="30"/>
          <w:highlight w:val="none"/>
          <w:lang w:eastAsia="zh-TW"/>
        </w:rPr>
      </w:pPr>
      <w:bookmarkStart w:id="35" w:name="_Toc416771327"/>
      <w:bookmarkStart w:id="36" w:name="_Toc410738939"/>
      <w:bookmarkStart w:id="37" w:name="_Toc296"/>
      <w:bookmarkStart w:id="38" w:name="_Toc416770217"/>
      <w:bookmarkStart w:id="39" w:name="_Toc410736139"/>
      <w:r>
        <w:rPr>
          <w:rFonts w:hint="eastAsia" w:ascii="仿宋_GB2312" w:hAnsi="仿宋_GB2312" w:eastAsia="仿宋_GB2312" w:cs="仿宋_GB2312"/>
          <w:b/>
          <w:color w:val="auto"/>
          <w:sz w:val="30"/>
          <w:szCs w:val="30"/>
          <w:highlight w:val="none"/>
          <w:lang w:eastAsia="zh-TW"/>
        </w:rPr>
        <w:t>二、竞争性磋商文件</w:t>
      </w:r>
      <w:bookmarkEnd w:id="35"/>
      <w:bookmarkEnd w:id="36"/>
      <w:bookmarkEnd w:id="37"/>
      <w:bookmarkEnd w:id="38"/>
      <w:bookmarkEnd w:id="39"/>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40" w:name="_Toc416770218"/>
      <w:bookmarkStart w:id="41" w:name="_Toc410738940"/>
      <w:bookmarkStart w:id="42" w:name="_Toc416771328"/>
      <w:bookmarkStart w:id="43" w:name="_Toc410736140"/>
      <w:r>
        <w:rPr>
          <w:rFonts w:hint="eastAsia" w:ascii="仿宋_GB2312" w:hAnsi="仿宋_GB2312" w:eastAsia="仿宋_GB2312" w:cs="仿宋_GB2312"/>
          <w:b/>
          <w:bCs/>
          <w:color w:val="auto"/>
          <w:sz w:val="24"/>
          <w:szCs w:val="24"/>
          <w:highlight w:val="none"/>
        </w:rPr>
        <w:t>竞争性磋商文件的编制依据与构成</w:t>
      </w:r>
      <w:bookmarkEnd w:id="40"/>
      <w:bookmarkEnd w:id="41"/>
      <w:bookmarkEnd w:id="42"/>
      <w:bookmarkEnd w:id="43"/>
    </w:p>
    <w:p>
      <w:pPr>
        <w:widowControl w:val="0"/>
        <w:numPr>
          <w:ilvl w:val="-1"/>
          <w:numId w:val="0"/>
        </w:numPr>
        <w:tabs>
          <w:tab w:val="left" w:pos="567"/>
        </w:tabs>
        <w:autoSpaceDE w:val="0"/>
        <w:autoSpaceDN w:val="0"/>
        <w:adjustRightInd w:val="0"/>
        <w:snapToGrid w:val="0"/>
        <w:spacing w:line="360" w:lineRule="auto"/>
        <w:ind w:left="0" w:firstLine="0"/>
        <w:rPr>
          <w:rFonts w:hint="eastAsia" w:ascii="仿宋_GB2312" w:hAnsi="仿宋_GB2312" w:eastAsia="仿宋_GB2312" w:cs="仿宋_GB2312"/>
          <w:color w:val="auto"/>
          <w:sz w:val="24"/>
          <w:szCs w:val="24"/>
          <w:highlight w:val="none"/>
        </w:rPr>
      </w:pP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要求提供的货物或服务</w:t>
      </w:r>
      <w:r>
        <w:rPr>
          <w:rFonts w:hint="eastAsia" w:ascii="仿宋_GB2312" w:hAnsi="仿宋_GB2312" w:eastAsia="仿宋_GB2312" w:cs="仿宋_GB2312"/>
          <w:color w:val="auto"/>
          <w:sz w:val="24"/>
          <w:szCs w:val="24"/>
          <w:highlight w:val="none"/>
          <w:lang w:eastAsia="zh-TW"/>
        </w:rPr>
        <w:t>、</w:t>
      </w:r>
      <w:r>
        <w:rPr>
          <w:rFonts w:hint="eastAsia" w:ascii="仿宋_GB2312" w:hAnsi="仿宋_GB2312" w:eastAsia="仿宋_GB2312" w:cs="仿宋_GB2312"/>
          <w:color w:val="auto"/>
          <w:sz w:val="24"/>
          <w:szCs w:val="24"/>
          <w:highlight w:val="none"/>
        </w:rPr>
        <w:t>采购</w:t>
      </w:r>
      <w:r>
        <w:rPr>
          <w:rFonts w:hint="eastAsia" w:ascii="仿宋_GB2312" w:hAnsi="仿宋_GB2312" w:eastAsia="仿宋_GB2312" w:cs="仿宋_GB2312"/>
          <w:color w:val="auto"/>
          <w:sz w:val="24"/>
          <w:szCs w:val="24"/>
          <w:highlight w:val="none"/>
          <w:lang w:eastAsia="zh-TW"/>
        </w:rPr>
        <w:t>过程和合同条件在竞争性磋商文件中均有说明。竞争性磋商文件以中文文字编写。</w:t>
      </w:r>
    </w:p>
    <w:p>
      <w:pPr>
        <w:snapToGrid w:val="0"/>
        <w:spacing w:line="360" w:lineRule="auto"/>
        <w:ind w:left="567" w:hanging="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竞争性磋商文件共</w:t>
      </w:r>
      <w:r>
        <w:rPr>
          <w:rFonts w:hint="eastAsia" w:ascii="仿宋_GB2312" w:hAnsi="仿宋_GB2312" w:eastAsia="仿宋_GB2312" w:cs="仿宋_GB2312"/>
          <w:color w:val="auto"/>
          <w:sz w:val="24"/>
          <w:szCs w:val="24"/>
          <w:highlight w:val="none"/>
        </w:rPr>
        <w:t>六</w:t>
      </w:r>
      <w:r>
        <w:rPr>
          <w:rFonts w:hint="eastAsia" w:ascii="仿宋_GB2312" w:hAnsi="仿宋_GB2312" w:eastAsia="仿宋_GB2312" w:cs="仿宋_GB2312"/>
          <w:color w:val="auto"/>
          <w:sz w:val="24"/>
          <w:szCs w:val="24"/>
          <w:highlight w:val="none"/>
          <w:lang w:eastAsia="zh-TW"/>
        </w:rPr>
        <w:t>章</w:t>
      </w:r>
      <w:r>
        <w:rPr>
          <w:rFonts w:hint="eastAsia" w:ascii="仿宋_GB2312" w:hAnsi="仿宋_GB2312" w:eastAsia="仿宋_GB2312" w:cs="仿宋_GB2312"/>
          <w:color w:val="auto"/>
          <w:sz w:val="24"/>
          <w:szCs w:val="24"/>
          <w:highlight w:val="none"/>
        </w:rPr>
        <w:t>，由下列文件以及在采购过程中发出的澄清、修改和补充文件组成，</w:t>
      </w:r>
      <w:r>
        <w:rPr>
          <w:rFonts w:hint="eastAsia" w:ascii="仿宋_GB2312" w:hAnsi="仿宋_GB2312" w:eastAsia="仿宋_GB2312" w:cs="仿宋_GB2312"/>
          <w:color w:val="auto"/>
          <w:sz w:val="24"/>
          <w:szCs w:val="24"/>
          <w:highlight w:val="none"/>
          <w:lang w:eastAsia="zh-TW"/>
        </w:rPr>
        <w:t>内容如下</w:t>
      </w:r>
      <w:r>
        <w:rPr>
          <w:rFonts w:hint="eastAsia" w:ascii="仿宋_GB2312" w:hAnsi="仿宋_GB2312" w:eastAsia="仿宋_GB2312" w:cs="仿宋_GB2312"/>
          <w:color w:val="auto"/>
          <w:sz w:val="24"/>
          <w:szCs w:val="24"/>
          <w:highlight w:val="none"/>
        </w:rPr>
        <w:t>：</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第一章 </w:t>
      </w:r>
      <w:r>
        <w:rPr>
          <w:rFonts w:hint="eastAsia" w:ascii="仿宋_GB2312" w:hAnsi="仿宋_GB2312" w:eastAsia="仿宋_GB2312" w:cs="仿宋_GB2312"/>
          <w:color w:val="auto"/>
          <w:sz w:val="24"/>
          <w:szCs w:val="24"/>
          <w:highlight w:val="none"/>
          <w:lang w:eastAsia="zh-TW"/>
        </w:rPr>
        <w:t>磋商邀请</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第二章 </w:t>
      </w:r>
      <w:r>
        <w:rPr>
          <w:rFonts w:hint="eastAsia" w:ascii="仿宋_GB2312" w:hAnsi="仿宋_GB2312" w:eastAsia="仿宋_GB2312" w:cs="仿宋_GB2312"/>
          <w:color w:val="auto"/>
          <w:sz w:val="24"/>
          <w:szCs w:val="24"/>
          <w:highlight w:val="none"/>
          <w:lang w:eastAsia="zh-TW"/>
        </w:rPr>
        <w:t>磋商资料表</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第三章 响应人须知</w:t>
      </w:r>
    </w:p>
    <w:p>
      <w:pPr>
        <w:pStyle w:val="2"/>
        <w:ind w:left="0" w:leftChars="0" w:firstLine="638" w:firstLineChars="26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第四章 合同资料表</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eastAsia="zh-CN"/>
        </w:rPr>
        <w:t>五</w:t>
      </w:r>
      <w:r>
        <w:rPr>
          <w:rFonts w:hint="eastAsia" w:ascii="仿宋_GB2312" w:hAnsi="仿宋_GB2312" w:eastAsia="仿宋_GB2312" w:cs="仿宋_GB2312"/>
          <w:color w:val="auto"/>
          <w:sz w:val="24"/>
          <w:szCs w:val="24"/>
          <w:highlight w:val="none"/>
        </w:rPr>
        <w:t xml:space="preserve">章 </w:t>
      </w:r>
      <w:r>
        <w:rPr>
          <w:rFonts w:hint="eastAsia" w:ascii="仿宋_GB2312" w:hAnsi="仿宋_GB2312" w:eastAsia="仿宋_GB2312" w:cs="仿宋_GB2312"/>
          <w:color w:val="auto"/>
          <w:sz w:val="24"/>
          <w:szCs w:val="24"/>
          <w:highlight w:val="none"/>
          <w:lang w:eastAsia="zh-TW"/>
        </w:rPr>
        <w:t>用户需求书</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第</w:t>
      </w:r>
      <w:r>
        <w:rPr>
          <w:rFonts w:hint="eastAsia" w:ascii="仿宋_GB2312" w:hAnsi="仿宋_GB2312" w:eastAsia="仿宋_GB2312" w:cs="仿宋_GB2312"/>
          <w:color w:val="auto"/>
          <w:sz w:val="24"/>
          <w:szCs w:val="24"/>
          <w:highlight w:val="none"/>
          <w:lang w:eastAsia="zh-CN"/>
        </w:rPr>
        <w:t>六</w:t>
      </w:r>
      <w:r>
        <w:rPr>
          <w:rFonts w:hint="eastAsia" w:ascii="仿宋_GB2312" w:hAnsi="仿宋_GB2312" w:eastAsia="仿宋_GB2312" w:cs="仿宋_GB2312"/>
          <w:color w:val="auto"/>
          <w:sz w:val="24"/>
          <w:szCs w:val="24"/>
          <w:highlight w:val="none"/>
        </w:rPr>
        <w:t xml:space="preserve">章 </w:t>
      </w:r>
      <w:r>
        <w:rPr>
          <w:rFonts w:hint="eastAsia" w:ascii="仿宋_GB2312" w:hAnsi="仿宋_GB2312" w:eastAsia="仿宋_GB2312" w:cs="仿宋_GB2312"/>
          <w:color w:val="auto"/>
          <w:sz w:val="24"/>
          <w:szCs w:val="24"/>
          <w:highlight w:val="none"/>
          <w:lang w:eastAsia="zh-TW"/>
        </w:rPr>
        <w:t>合同条款</w:t>
      </w:r>
    </w:p>
    <w:p>
      <w:pPr>
        <w:snapToGrid w:val="0"/>
        <w:spacing w:line="360" w:lineRule="auto"/>
        <w:ind w:left="0" w:leftChars="0" w:firstLine="638" w:firstLineChars="266"/>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第</w:t>
      </w:r>
      <w:r>
        <w:rPr>
          <w:rFonts w:hint="eastAsia" w:ascii="仿宋_GB2312" w:hAnsi="仿宋_GB2312" w:eastAsia="仿宋_GB2312" w:cs="仿宋_GB2312"/>
          <w:color w:val="auto"/>
          <w:sz w:val="24"/>
          <w:szCs w:val="24"/>
          <w:highlight w:val="none"/>
          <w:lang w:eastAsia="zh-CN"/>
        </w:rPr>
        <w:t>七</w:t>
      </w:r>
      <w:r>
        <w:rPr>
          <w:rFonts w:hint="eastAsia" w:ascii="仿宋_GB2312" w:hAnsi="仿宋_GB2312" w:eastAsia="仿宋_GB2312" w:cs="仿宋_GB2312"/>
          <w:color w:val="auto"/>
          <w:sz w:val="24"/>
          <w:szCs w:val="24"/>
          <w:highlight w:val="none"/>
          <w:lang w:eastAsia="zh-TW"/>
        </w:rPr>
        <w:t>章</w:t>
      </w:r>
      <w:r>
        <w:rPr>
          <w:rFonts w:hint="eastAsia" w:ascii="仿宋_GB2312" w:hAnsi="仿宋_GB2312" w:eastAsia="仿宋_GB2312" w:cs="仿宋_GB2312"/>
          <w:color w:val="auto"/>
          <w:sz w:val="24"/>
          <w:szCs w:val="24"/>
          <w:highlight w:val="none"/>
        </w:rPr>
        <w:t xml:space="preserve"> 响应文件格式</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应认真阅读</w:t>
      </w:r>
      <w:r>
        <w:rPr>
          <w:rFonts w:hint="eastAsia" w:ascii="仿宋_GB2312" w:hAnsi="仿宋_GB2312" w:eastAsia="仿宋_GB2312" w:cs="仿宋_GB2312"/>
          <w:color w:val="auto"/>
          <w:sz w:val="24"/>
          <w:szCs w:val="24"/>
          <w:highlight w:val="none"/>
        </w:rPr>
        <w:t>、并充分理解竞争性磋商文件的全部内容（包括所有的补充、修改内容、重要事项、格式、条款和技术规范、参数及要求等）。</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没有按照竞争性磋商文件要求提交全部资料，或者响应文件没有对竞争性磋商文件在各方面都作出实质性响应是</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的风险，有可能导致其磋商响应被拒绝，或被认定为无效响应或被确定为响应无效。</w:t>
      </w:r>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本竞争性磋商文件的解释权归“</w:t>
      </w:r>
      <w:r>
        <w:rPr>
          <w:rFonts w:hint="eastAsia" w:ascii="仿宋_GB2312" w:hAnsi="仿宋_GB2312" w:eastAsia="仿宋_GB2312" w:cs="仿宋_GB2312"/>
          <w:color w:val="auto"/>
          <w:sz w:val="24"/>
          <w:szCs w:val="24"/>
          <w:highlight w:val="none"/>
          <w:lang w:eastAsia="zh-CN"/>
        </w:rPr>
        <w:t>横琴粤澳深度合作区城市规划和建设局</w:t>
      </w:r>
      <w:r>
        <w:rPr>
          <w:rFonts w:hint="eastAsia" w:ascii="仿宋_GB2312" w:hAnsi="仿宋_GB2312" w:eastAsia="仿宋_GB2312" w:cs="仿宋_GB2312"/>
          <w:color w:val="auto"/>
          <w:sz w:val="24"/>
          <w:szCs w:val="24"/>
          <w:highlight w:val="none"/>
          <w:lang w:eastAsia="zh-TW"/>
        </w:rPr>
        <w:t>及珠海华信达工程顾问有限公司”所有。</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44" w:name="_Toc410736141"/>
      <w:bookmarkStart w:id="45" w:name="_Toc410738941"/>
      <w:bookmarkStart w:id="46" w:name="_Toc416771329"/>
      <w:bookmarkStart w:id="47" w:name="_Toc416770219"/>
      <w:r>
        <w:rPr>
          <w:rFonts w:hint="eastAsia" w:ascii="仿宋_GB2312" w:hAnsi="仿宋_GB2312" w:eastAsia="仿宋_GB2312" w:cs="仿宋_GB2312"/>
          <w:b/>
          <w:bCs/>
          <w:color w:val="auto"/>
          <w:sz w:val="24"/>
          <w:szCs w:val="24"/>
          <w:highlight w:val="none"/>
        </w:rPr>
        <w:t>竞争性磋商文件的澄清</w:t>
      </w:r>
      <w:bookmarkEnd w:id="44"/>
      <w:bookmarkEnd w:id="45"/>
      <w:r>
        <w:rPr>
          <w:rFonts w:hint="eastAsia" w:ascii="仿宋_GB2312" w:hAnsi="仿宋_GB2312" w:eastAsia="仿宋_GB2312" w:cs="仿宋_GB2312"/>
          <w:b/>
          <w:bCs/>
          <w:color w:val="auto"/>
          <w:sz w:val="24"/>
          <w:szCs w:val="24"/>
          <w:highlight w:val="none"/>
        </w:rPr>
        <w:t>及修改</w:t>
      </w:r>
      <w:bookmarkEnd w:id="46"/>
      <w:bookmarkEnd w:id="47"/>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无论出于何种原因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代理机构</w:t>
      </w:r>
      <w:r>
        <w:rPr>
          <w:rFonts w:hint="eastAsia" w:ascii="仿宋_GB2312" w:hAnsi="仿宋_GB2312" w:eastAsia="仿宋_GB2312" w:cs="仿宋_GB2312"/>
          <w:color w:val="auto"/>
          <w:sz w:val="24"/>
          <w:szCs w:val="24"/>
          <w:highlight w:val="none"/>
          <w:lang w:eastAsia="zh-TW"/>
        </w:rPr>
        <w:t>可以主动地或在解答</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提出的疑问时对已发出的竞争性磋商文件进行必要的澄清或修改（更正）的，在提交首次响应文件截止时间至少5日前在指定媒体上发布公告，并通知所有报名及购买竞争性磋商文件的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，报名及购买竞争性磋商文件的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在收到澄清或修改（更正）通知后应按要求以书面形式（传真有效）予以确认，如在24小时之内无书面回函则视为同意修改内容，并有责任履行相应的义务。澄清或修改（更正）不足5日的，</w:t>
      </w:r>
      <w:r>
        <w:rPr>
          <w:rFonts w:hint="eastAsia" w:ascii="仿宋_GB2312" w:hAnsi="仿宋_GB2312" w:eastAsia="仿宋_GB2312" w:cs="仿宋_GB2312"/>
          <w:color w:val="auto"/>
          <w:sz w:val="24"/>
          <w:szCs w:val="24"/>
          <w:highlight w:val="none"/>
        </w:rPr>
        <w:t>但可能不影响响应文件编制的，</w:t>
      </w:r>
      <w:r>
        <w:rPr>
          <w:rFonts w:hint="eastAsia" w:ascii="仿宋_GB2312" w:hAnsi="仿宋_GB2312" w:eastAsia="仿宋_GB2312" w:cs="仿宋_GB2312"/>
          <w:color w:val="auto"/>
          <w:sz w:val="24"/>
          <w:szCs w:val="24"/>
          <w:highlight w:val="none"/>
          <w:lang w:val="en-US" w:eastAsia="zh-CN"/>
        </w:rPr>
        <w:t>代理机构</w:t>
      </w:r>
      <w:r>
        <w:rPr>
          <w:rFonts w:hint="eastAsia" w:ascii="仿宋_GB2312" w:hAnsi="仿宋_GB2312" w:eastAsia="仿宋_GB2312" w:cs="仿宋_GB2312"/>
          <w:color w:val="auto"/>
          <w:sz w:val="24"/>
          <w:szCs w:val="24"/>
          <w:highlight w:val="none"/>
          <w:lang w:eastAsia="zh-TW"/>
        </w:rPr>
        <w:t>在征得当时已报名及购买竞争性磋商文件的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同意并书面确认（传真有效）后，可不改</w:t>
      </w:r>
      <w:r>
        <w:rPr>
          <w:rFonts w:hint="eastAsia" w:ascii="仿宋_GB2312" w:hAnsi="仿宋_GB2312" w:eastAsia="仿宋_GB2312" w:cs="仿宋_GB2312"/>
          <w:color w:val="auto"/>
          <w:sz w:val="24"/>
          <w:szCs w:val="24"/>
          <w:highlight w:val="none"/>
        </w:rPr>
        <w:t>变</w:t>
      </w:r>
      <w:r>
        <w:rPr>
          <w:rFonts w:hint="eastAsia" w:ascii="仿宋_GB2312" w:hAnsi="仿宋_GB2312" w:eastAsia="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rPr>
        <w:t>截止时间。</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val="en-US" w:eastAsia="zh-CN"/>
        </w:rPr>
        <w:t>代理机构</w:t>
      </w:r>
      <w:r>
        <w:rPr>
          <w:rFonts w:hint="eastAsia" w:ascii="仿宋_GB2312" w:hAnsi="仿宋_GB2312" w:eastAsia="仿宋_GB2312" w:cs="仿宋_GB2312"/>
          <w:color w:val="auto"/>
          <w:sz w:val="24"/>
          <w:szCs w:val="24"/>
          <w:highlight w:val="none"/>
        </w:rPr>
        <w:t>发出的澄清或修改（更正）的内容为竞争性磋商文件的组成部分，</w:t>
      </w:r>
      <w:r>
        <w:rPr>
          <w:rFonts w:hint="eastAsia" w:ascii="仿宋_GB2312" w:hAnsi="仿宋_GB2312" w:eastAsia="仿宋_GB2312" w:cs="仿宋_GB2312"/>
          <w:color w:val="auto"/>
          <w:sz w:val="24"/>
          <w:szCs w:val="24"/>
          <w:highlight w:val="none"/>
          <w:lang w:eastAsia="zh-TW"/>
        </w:rPr>
        <w:t>并对潜在</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具有约束力</w:t>
      </w:r>
      <w:r>
        <w:rPr>
          <w:rFonts w:hint="eastAsia" w:ascii="仿宋_GB2312" w:hAnsi="仿宋_GB2312" w:eastAsia="仿宋_GB2312" w:cs="仿宋_GB2312"/>
          <w:color w:val="auto"/>
          <w:sz w:val="24"/>
          <w:szCs w:val="24"/>
          <w:highlight w:val="none"/>
        </w:rPr>
        <w:t>。</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在规定的时间内未对竞争性磋商文件澄清或提出疑问的</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代理机构</w:t>
      </w:r>
      <w:r>
        <w:rPr>
          <w:rFonts w:hint="eastAsia" w:ascii="仿宋_GB2312" w:hAnsi="仿宋_GB2312" w:eastAsia="仿宋_GB2312" w:cs="仿宋_GB2312"/>
          <w:color w:val="auto"/>
          <w:sz w:val="24"/>
          <w:szCs w:val="24"/>
          <w:highlight w:val="none"/>
          <w:lang w:eastAsia="zh-TW"/>
        </w:rPr>
        <w:t>将视其为无异议。对竞争性磋商文件中描述有歧意或前后不一致的地方，</w:t>
      </w:r>
      <w:r>
        <w:rPr>
          <w:rFonts w:hint="eastAsia" w:ascii="仿宋_GB2312" w:hAnsi="仿宋_GB2312" w:eastAsia="仿宋_GB2312" w:cs="仿宋_GB2312"/>
          <w:color w:val="auto"/>
          <w:sz w:val="24"/>
          <w:szCs w:val="24"/>
          <w:highlight w:val="none"/>
        </w:rPr>
        <w:t>磋商小组</w:t>
      </w:r>
      <w:r>
        <w:rPr>
          <w:rFonts w:hint="eastAsia" w:ascii="仿宋_GB2312" w:hAnsi="仿宋_GB2312" w:eastAsia="仿宋_GB2312" w:cs="仿宋_GB2312"/>
          <w:color w:val="auto"/>
          <w:sz w:val="24"/>
          <w:szCs w:val="24"/>
          <w:highlight w:val="none"/>
          <w:lang w:eastAsia="zh-TW"/>
        </w:rPr>
        <w:t>有权进行评判，但对同一条款的评判应适用于每个</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48" w:name="_Toc434343657"/>
      <w:bookmarkStart w:id="49" w:name="_Toc433127757"/>
      <w:r>
        <w:rPr>
          <w:rFonts w:hint="eastAsia" w:ascii="仿宋_GB2312" w:hAnsi="仿宋_GB2312" w:eastAsia="仿宋_GB2312" w:cs="仿宋_GB2312"/>
          <w:b/>
          <w:bCs/>
          <w:color w:val="auto"/>
          <w:sz w:val="24"/>
          <w:szCs w:val="24"/>
          <w:highlight w:val="none"/>
        </w:rPr>
        <w:t>竞争性磋商文件的答疑或现场考察</w:t>
      </w:r>
      <w:bookmarkEnd w:id="48"/>
      <w:bookmarkEnd w:id="49"/>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除非依本须知</w:t>
      </w:r>
      <w:r>
        <w:rPr>
          <w:rFonts w:hint="eastAsia" w:ascii="仿宋_GB2312" w:hAnsi="仿宋_GB2312" w:eastAsia="仿宋_GB2312" w:cs="仿宋_GB2312"/>
          <w:color w:val="auto"/>
          <w:sz w:val="24"/>
          <w:szCs w:val="24"/>
          <w:highlight w:val="none"/>
        </w:rPr>
        <w:t>9.1规定的有</w:t>
      </w:r>
      <w:r>
        <w:rPr>
          <w:rFonts w:hint="eastAsia" w:ascii="仿宋_GB2312" w:hAnsi="仿宋_GB2312" w:eastAsia="仿宋_GB2312" w:cs="仿宋_GB2312"/>
          <w:color w:val="auto"/>
          <w:sz w:val="24"/>
          <w:szCs w:val="24"/>
          <w:highlight w:val="none"/>
          <w:lang w:eastAsia="zh-TW"/>
        </w:rPr>
        <w:t>必要时</w:t>
      </w:r>
      <w:r>
        <w:rPr>
          <w:rFonts w:hint="eastAsia" w:ascii="仿宋_GB2312" w:hAnsi="仿宋_GB2312" w:eastAsia="仿宋_GB2312" w:cs="仿宋_GB2312"/>
          <w:color w:val="auto"/>
          <w:sz w:val="24"/>
          <w:szCs w:val="24"/>
          <w:highlight w:val="none"/>
        </w:rPr>
        <w:t>或</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中另有规定，不举行项目集中答疑会或现场考察，如举行集中答疑会或现场考察的，则按以下规定：</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在</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rPr>
        <w:t>中规定的日期、时间和地点组织公开答疑会或现场考察；</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供应商对本项目提出的疑问，需在答疑会</w:t>
      </w:r>
      <w:r>
        <w:rPr>
          <w:rFonts w:hint="eastAsia" w:ascii="仿宋_GB2312" w:hAnsi="仿宋_GB2312" w:eastAsia="仿宋_GB2312" w:cs="仿宋_GB2312"/>
          <w:color w:val="auto"/>
          <w:sz w:val="24"/>
          <w:szCs w:val="24"/>
          <w:highlight w:val="none"/>
        </w:rPr>
        <w:t>或现场考察</w:t>
      </w:r>
      <w:r>
        <w:rPr>
          <w:rFonts w:hint="eastAsia" w:ascii="仿宋_GB2312" w:hAnsi="仿宋_GB2312" w:eastAsia="仿宋_GB2312" w:cs="仿宋_GB2312"/>
          <w:color w:val="auto"/>
          <w:sz w:val="24"/>
          <w:szCs w:val="24"/>
          <w:highlight w:val="none"/>
          <w:lang w:eastAsia="zh-TW"/>
        </w:rPr>
        <w:t>召开日前至少一个工作日将问题清单以书面形式（加盖公章）提交至采购代理机构，供应商代表于上述的时间和地点出席答疑会</w:t>
      </w:r>
      <w:r>
        <w:rPr>
          <w:rFonts w:hint="eastAsia" w:ascii="仿宋_GB2312" w:hAnsi="仿宋_GB2312" w:eastAsia="仿宋_GB2312" w:cs="仿宋_GB2312"/>
          <w:color w:val="auto"/>
          <w:sz w:val="24"/>
          <w:szCs w:val="24"/>
          <w:highlight w:val="none"/>
        </w:rPr>
        <w:t>或现场考察</w:t>
      </w:r>
      <w:r>
        <w:rPr>
          <w:rFonts w:hint="eastAsia" w:ascii="仿宋_GB2312" w:hAnsi="仿宋_GB2312" w:eastAsia="仿宋_GB2312" w:cs="仿宋_GB2312"/>
          <w:color w:val="auto"/>
          <w:sz w:val="24"/>
          <w:szCs w:val="24"/>
          <w:highlight w:val="none"/>
          <w:lang w:eastAsia="zh-TW"/>
        </w:rPr>
        <w:t>；</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已购买竞争性磋商文件的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如不出席答疑会</w:t>
      </w:r>
      <w:r>
        <w:rPr>
          <w:rFonts w:hint="eastAsia" w:ascii="仿宋_GB2312" w:hAnsi="仿宋_GB2312" w:eastAsia="仿宋_GB2312" w:cs="仿宋_GB2312"/>
          <w:color w:val="auto"/>
          <w:sz w:val="24"/>
          <w:szCs w:val="24"/>
          <w:highlight w:val="none"/>
        </w:rPr>
        <w:t>或现场考察</w:t>
      </w:r>
      <w:r>
        <w:rPr>
          <w:rFonts w:hint="eastAsia" w:ascii="仿宋_GB2312" w:hAnsi="仿宋_GB2312" w:eastAsia="仿宋_GB2312" w:cs="仿宋_GB2312"/>
          <w:color w:val="auto"/>
          <w:sz w:val="24"/>
          <w:szCs w:val="24"/>
          <w:highlight w:val="none"/>
          <w:lang w:eastAsia="zh-TW"/>
        </w:rPr>
        <w:t>视为对竞争性磋商文件所有内容无任何异议。</w:t>
      </w:r>
    </w:p>
    <w:p>
      <w:pPr>
        <w:snapToGrid w:val="0"/>
        <w:spacing w:beforeLines="100" w:afterLines="100" w:line="360" w:lineRule="auto"/>
        <w:jc w:val="center"/>
        <w:outlineLvl w:val="0"/>
        <w:rPr>
          <w:rFonts w:hint="eastAsia" w:ascii="仿宋_GB2312" w:hAnsi="仿宋_GB2312" w:eastAsia="仿宋_GB2312" w:cs="仿宋_GB2312"/>
          <w:b/>
          <w:color w:val="auto"/>
          <w:sz w:val="30"/>
          <w:szCs w:val="30"/>
          <w:highlight w:val="none"/>
          <w:lang w:eastAsia="zh-TW"/>
        </w:rPr>
      </w:pPr>
      <w:bookmarkStart w:id="50" w:name="_Toc410738943"/>
      <w:bookmarkStart w:id="51" w:name="_Toc410736143"/>
      <w:bookmarkStart w:id="52" w:name="_Toc17743"/>
      <w:bookmarkStart w:id="53" w:name="_Toc416770220"/>
      <w:bookmarkStart w:id="54" w:name="_Toc416771330"/>
      <w:r>
        <w:rPr>
          <w:rFonts w:hint="eastAsia" w:ascii="仿宋_GB2312" w:hAnsi="仿宋_GB2312" w:eastAsia="仿宋_GB2312" w:cs="仿宋_GB2312"/>
          <w:b/>
          <w:color w:val="auto"/>
          <w:sz w:val="30"/>
          <w:szCs w:val="30"/>
          <w:highlight w:val="none"/>
          <w:lang w:eastAsia="zh-TW"/>
        </w:rPr>
        <w:t>三、响应文件的编制</w:t>
      </w:r>
      <w:bookmarkEnd w:id="50"/>
      <w:bookmarkEnd w:id="51"/>
      <w:bookmarkEnd w:id="52"/>
      <w:bookmarkEnd w:id="53"/>
      <w:bookmarkEnd w:id="54"/>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55" w:name="_Toc416770221"/>
      <w:bookmarkStart w:id="56" w:name="_Toc410736144"/>
      <w:bookmarkStart w:id="57" w:name="_Toc410738944"/>
      <w:bookmarkStart w:id="58" w:name="_Toc416771331"/>
      <w:r>
        <w:rPr>
          <w:rFonts w:hint="eastAsia" w:ascii="仿宋_GB2312" w:hAnsi="仿宋_GB2312" w:eastAsia="仿宋_GB2312" w:cs="仿宋_GB2312"/>
          <w:b/>
          <w:bCs/>
          <w:color w:val="auto"/>
          <w:sz w:val="24"/>
          <w:szCs w:val="24"/>
          <w:highlight w:val="none"/>
        </w:rPr>
        <w:t>磋商的语言</w:t>
      </w:r>
      <w:bookmarkEnd w:id="55"/>
      <w:bookmarkEnd w:id="56"/>
      <w:bookmarkEnd w:id="57"/>
      <w:bookmarkEnd w:id="58"/>
    </w:p>
    <w:p>
      <w:pPr>
        <w:widowControl w:val="0"/>
        <w:numPr>
          <w:ilvl w:val="1"/>
          <w:numId w:val="3"/>
        </w:numPr>
        <w:tabs>
          <w:tab w:val="left" w:pos="567"/>
          <w:tab w:val="clear" w:pos="360"/>
        </w:tabs>
        <w:autoSpaceDE w:val="0"/>
        <w:autoSpaceDN w:val="0"/>
        <w:adjustRightInd w:val="0"/>
        <w:snapToGrid w:val="0"/>
        <w:spacing w:line="360" w:lineRule="auto"/>
        <w:ind w:left="567" w:hanging="5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提交的响应文件以及</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与</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就有关磋商的所有来往函电均</w:t>
      </w:r>
      <w:r>
        <w:rPr>
          <w:rFonts w:hint="eastAsia" w:ascii="仿宋_GB2312" w:hAnsi="仿宋_GB2312" w:eastAsia="仿宋_GB2312" w:cs="仿宋_GB2312"/>
          <w:color w:val="auto"/>
          <w:sz w:val="24"/>
          <w:szCs w:val="24"/>
          <w:highlight w:val="none"/>
        </w:rPr>
        <w:t>应</w:t>
      </w:r>
      <w:r>
        <w:rPr>
          <w:rFonts w:hint="eastAsia" w:ascii="仿宋_GB2312" w:hAnsi="仿宋_GB2312" w:eastAsia="仿宋_GB2312" w:cs="仿宋_GB2312"/>
          <w:color w:val="auto"/>
          <w:sz w:val="24"/>
          <w:szCs w:val="24"/>
          <w:highlight w:val="none"/>
          <w:lang w:eastAsia="zh-TW"/>
        </w:rPr>
        <w:t>使用中文书写。</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提交的支持资料和</w:t>
      </w:r>
      <w:r>
        <w:rPr>
          <w:rFonts w:hint="eastAsia" w:ascii="仿宋_GB2312" w:hAnsi="仿宋_GB2312" w:eastAsia="仿宋_GB2312" w:cs="仿宋_GB2312"/>
          <w:color w:val="auto"/>
          <w:sz w:val="24"/>
          <w:szCs w:val="24"/>
          <w:highlight w:val="none"/>
        </w:rPr>
        <w:t>已</w:t>
      </w:r>
      <w:r>
        <w:rPr>
          <w:rFonts w:hint="eastAsia" w:ascii="仿宋_GB2312" w:hAnsi="仿宋_GB2312" w:eastAsia="仿宋_GB2312" w:cs="仿宋_GB2312"/>
          <w:color w:val="auto"/>
          <w:sz w:val="24"/>
          <w:szCs w:val="24"/>
          <w:highlight w:val="none"/>
          <w:lang w:eastAsia="zh-TW"/>
        </w:rPr>
        <w:t>印刷的文献可以用另一种语言</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但相应内容应附有中文翻译本，在解释响应文件的修改内容时以中文翻译本为准。对中文翻译有异议的，以权威机构的译本为准。</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59" w:name="_Toc416770222"/>
      <w:bookmarkStart w:id="60" w:name="_Toc410736145"/>
      <w:bookmarkStart w:id="61" w:name="_Toc410738945"/>
      <w:bookmarkStart w:id="62" w:name="_Toc416771332"/>
      <w:r>
        <w:rPr>
          <w:rFonts w:hint="eastAsia" w:ascii="仿宋_GB2312" w:hAnsi="仿宋_GB2312" w:eastAsia="仿宋_GB2312" w:cs="仿宋_GB2312"/>
          <w:b/>
          <w:bCs/>
          <w:color w:val="auto"/>
          <w:sz w:val="24"/>
          <w:szCs w:val="24"/>
          <w:highlight w:val="none"/>
        </w:rPr>
        <w:t>响应文件的构成</w:t>
      </w:r>
      <w:bookmarkEnd w:id="59"/>
      <w:bookmarkEnd w:id="60"/>
      <w:bookmarkEnd w:id="61"/>
      <w:bookmarkEnd w:id="62"/>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编写的响应文件应包括初审文件、技术文件、商务文件，编排顺序参见响应文件格式。</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响应文件的构成应符合法律法规及竞争性磋商文件的要求。</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63" w:name="_Toc416770223"/>
      <w:bookmarkStart w:id="64" w:name="_Toc410738946"/>
      <w:bookmarkStart w:id="65" w:name="_Toc410736146"/>
      <w:bookmarkStart w:id="66" w:name="_Toc416771333"/>
      <w:r>
        <w:rPr>
          <w:rFonts w:hint="eastAsia" w:ascii="仿宋_GB2312" w:hAnsi="仿宋_GB2312" w:eastAsia="仿宋_GB2312" w:cs="仿宋_GB2312"/>
          <w:b/>
          <w:bCs/>
          <w:color w:val="auto"/>
          <w:sz w:val="24"/>
          <w:szCs w:val="24"/>
          <w:highlight w:val="none"/>
        </w:rPr>
        <w:t>响应文件的编写</w:t>
      </w:r>
      <w:bookmarkEnd w:id="63"/>
      <w:bookmarkEnd w:id="64"/>
      <w:bookmarkEnd w:id="65"/>
      <w:bookmarkEnd w:id="66"/>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应完整</w:t>
      </w:r>
      <w:r>
        <w:rPr>
          <w:rFonts w:hint="eastAsia" w:ascii="仿宋_GB2312" w:hAnsi="仿宋_GB2312" w:eastAsia="仿宋_GB2312" w:cs="仿宋_GB2312"/>
          <w:color w:val="auto"/>
          <w:sz w:val="24"/>
          <w:szCs w:val="24"/>
          <w:highlight w:val="none"/>
        </w:rPr>
        <w:t>、真实、准确</w:t>
      </w:r>
      <w:r>
        <w:rPr>
          <w:rFonts w:hint="eastAsia" w:ascii="仿宋_GB2312" w:hAnsi="仿宋_GB2312" w:eastAsia="仿宋_GB2312" w:cs="仿宋_GB2312"/>
          <w:color w:val="auto"/>
          <w:sz w:val="24"/>
          <w:szCs w:val="24"/>
          <w:highlight w:val="none"/>
          <w:lang w:eastAsia="zh-TW"/>
        </w:rPr>
        <w:t>地填写竞争性磋商文件中提供的磋商函、报价表以及竞争性磋商文件中规定的其它</w:t>
      </w:r>
      <w:r>
        <w:rPr>
          <w:rFonts w:hint="eastAsia" w:ascii="仿宋_GB2312" w:hAnsi="仿宋_GB2312" w:eastAsia="仿宋_GB2312" w:cs="仿宋_GB2312"/>
          <w:color w:val="auto"/>
          <w:sz w:val="24"/>
          <w:szCs w:val="24"/>
          <w:highlight w:val="none"/>
        </w:rPr>
        <w:t>所有</w:t>
      </w:r>
      <w:r>
        <w:rPr>
          <w:rFonts w:hint="eastAsia" w:ascii="仿宋_GB2312" w:hAnsi="仿宋_GB2312" w:eastAsia="仿宋_GB2312" w:cs="仿宋_GB2312"/>
          <w:color w:val="auto"/>
          <w:sz w:val="24"/>
          <w:szCs w:val="24"/>
          <w:highlight w:val="none"/>
          <w:lang w:eastAsia="zh-TW"/>
        </w:rPr>
        <w:t>内容。</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对竞争性磋商文件中多个包组进行磋商的，其响应文件的编制</w:t>
      </w:r>
      <w:r>
        <w:rPr>
          <w:rFonts w:hint="eastAsia" w:ascii="仿宋_GB2312" w:hAnsi="仿宋_GB2312" w:eastAsia="仿宋_GB2312" w:cs="仿宋_GB2312"/>
          <w:color w:val="auto"/>
          <w:sz w:val="24"/>
          <w:szCs w:val="24"/>
          <w:highlight w:val="none"/>
        </w:rPr>
        <w:t>可按</w:t>
      </w:r>
      <w:r>
        <w:rPr>
          <w:rFonts w:hint="eastAsia" w:ascii="仿宋_GB2312" w:hAnsi="仿宋_GB2312" w:eastAsia="仿宋_GB2312" w:cs="仿宋_GB2312"/>
          <w:color w:val="auto"/>
          <w:sz w:val="24"/>
          <w:szCs w:val="24"/>
          <w:highlight w:val="none"/>
          <w:lang w:eastAsia="zh-TW"/>
        </w:rPr>
        <w:t>每个包组的要求分别装订和封装。</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应当对响应文件进行装订，对未经装订的响应文件可能发生的文件散落或缺损，由此造成的后果</w:t>
      </w:r>
      <w:r>
        <w:rPr>
          <w:rFonts w:hint="eastAsia" w:ascii="仿宋_GB2312" w:hAnsi="仿宋_GB2312" w:eastAsia="仿宋_GB2312" w:cs="仿宋_GB2312"/>
          <w:color w:val="auto"/>
          <w:sz w:val="24"/>
          <w:szCs w:val="24"/>
          <w:highlight w:val="none"/>
        </w:rPr>
        <w:t>和</w:t>
      </w:r>
      <w:r>
        <w:rPr>
          <w:rFonts w:hint="eastAsia" w:ascii="仿宋_GB2312" w:hAnsi="仿宋_GB2312" w:eastAsia="仿宋_GB2312" w:cs="仿宋_GB2312"/>
          <w:color w:val="auto"/>
          <w:sz w:val="24"/>
          <w:szCs w:val="24"/>
          <w:highlight w:val="none"/>
          <w:lang w:eastAsia="zh-TW"/>
        </w:rPr>
        <w:t>责任由</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承担</w:t>
      </w:r>
      <w:r>
        <w:rPr>
          <w:rFonts w:hint="eastAsia" w:ascii="仿宋_GB2312" w:hAnsi="仿宋_GB2312" w:eastAsia="仿宋_GB2312" w:cs="仿宋_GB2312"/>
          <w:color w:val="auto"/>
          <w:sz w:val="24"/>
          <w:szCs w:val="24"/>
          <w:highlight w:val="none"/>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必须对响应文件所提供的全部资料的真实性承担法律责任，并无条件接受</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及采购监督管理部门等对其中任何资料进行核实的要求。</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如果因为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的响应文件</w:t>
      </w:r>
      <w:r>
        <w:rPr>
          <w:rFonts w:hint="eastAsia" w:ascii="仿宋_GB2312" w:hAnsi="仿宋_GB2312" w:eastAsia="仿宋_GB2312" w:cs="仿宋_GB2312"/>
          <w:color w:val="auto"/>
          <w:sz w:val="24"/>
          <w:szCs w:val="24"/>
          <w:highlight w:val="none"/>
          <w:lang w:eastAsia="zh-TW"/>
        </w:rPr>
        <w:t>只填写和提供了本</w:t>
      </w:r>
      <w:r>
        <w:rPr>
          <w:rFonts w:hint="eastAsia" w:ascii="仿宋_GB2312" w:hAnsi="仿宋_GB2312" w:eastAsia="仿宋_GB2312" w:cs="仿宋_GB2312"/>
          <w:color w:val="auto"/>
          <w:sz w:val="24"/>
          <w:szCs w:val="24"/>
          <w:highlight w:val="none"/>
        </w:rPr>
        <w:t>竞争性磋商文件</w:t>
      </w:r>
      <w:r>
        <w:rPr>
          <w:rFonts w:hint="eastAsia" w:ascii="仿宋_GB2312" w:hAnsi="仿宋_GB2312" w:eastAsia="仿宋_GB2312" w:cs="仿宋_GB2312"/>
          <w:color w:val="auto"/>
          <w:sz w:val="24"/>
          <w:szCs w:val="24"/>
          <w:highlight w:val="none"/>
          <w:lang w:eastAsia="zh-TW"/>
        </w:rPr>
        <w:t>要求的部分内容和附件，或没有提供竞争性磋商文件中所要求的全部资料及数据，而给磋商造成困难的，其可能导致的结果和责任由</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自行承担。</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67" w:name="_Toc416770224"/>
      <w:bookmarkStart w:id="68" w:name="_Toc410736147"/>
      <w:bookmarkStart w:id="69" w:name="_Toc416771334"/>
      <w:bookmarkStart w:id="70" w:name="_Toc410738947"/>
      <w:r>
        <w:rPr>
          <w:rFonts w:hint="eastAsia" w:ascii="仿宋_GB2312" w:hAnsi="仿宋_GB2312" w:eastAsia="仿宋_GB2312" w:cs="仿宋_GB2312"/>
          <w:b/>
          <w:bCs/>
          <w:color w:val="auto"/>
          <w:sz w:val="24"/>
          <w:szCs w:val="24"/>
          <w:highlight w:val="none"/>
        </w:rPr>
        <w:t>磋商报价</w:t>
      </w:r>
      <w:bookmarkEnd w:id="67"/>
      <w:bookmarkEnd w:id="68"/>
      <w:bookmarkEnd w:id="69"/>
      <w:bookmarkEnd w:id="7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应按照“第</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TW"/>
        </w:rPr>
        <w:t>章　用户需求书”</w:t>
      </w:r>
      <w:r>
        <w:rPr>
          <w:rFonts w:hint="eastAsia" w:ascii="仿宋_GB2312" w:hAnsi="仿宋_GB2312" w:eastAsia="仿宋_GB2312" w:cs="仿宋_GB2312"/>
          <w:color w:val="auto"/>
          <w:sz w:val="24"/>
          <w:szCs w:val="24"/>
          <w:highlight w:val="none"/>
        </w:rPr>
        <w:t>中</w:t>
      </w:r>
      <w:r>
        <w:rPr>
          <w:rFonts w:hint="eastAsia" w:ascii="仿宋_GB2312" w:hAnsi="仿宋_GB2312" w:eastAsia="仿宋_GB2312" w:cs="仿宋_GB2312"/>
          <w:color w:val="auto"/>
          <w:sz w:val="24"/>
          <w:szCs w:val="24"/>
          <w:highlight w:val="none"/>
          <w:lang w:eastAsia="zh-TW"/>
        </w:rPr>
        <w:t>采购项目技术或服务要求规定的内容、责任范围进行报价。并按报价表的</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eastAsia="zh-TW"/>
        </w:rPr>
        <w:t>报出价格。</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TW"/>
        </w:rPr>
        <w:t>总价中不得包含</w:t>
      </w:r>
      <w:r>
        <w:rPr>
          <w:rFonts w:hint="eastAsia" w:ascii="仿宋_GB2312" w:hAnsi="仿宋_GB2312" w:eastAsia="仿宋_GB2312" w:cs="仿宋_GB2312"/>
          <w:color w:val="auto"/>
          <w:sz w:val="24"/>
          <w:szCs w:val="24"/>
          <w:highlight w:val="none"/>
        </w:rPr>
        <w:t>竞争性磋商文件</w:t>
      </w:r>
      <w:r>
        <w:rPr>
          <w:rFonts w:hint="eastAsia" w:ascii="仿宋_GB2312" w:hAnsi="仿宋_GB2312" w:eastAsia="仿宋_GB2312" w:cs="仿宋_GB2312"/>
          <w:color w:val="auto"/>
          <w:sz w:val="24"/>
          <w:szCs w:val="24"/>
          <w:highlight w:val="none"/>
          <w:lang w:eastAsia="zh-TW"/>
        </w:rPr>
        <w:t>要求以外的内容，否则，在评</w:t>
      </w:r>
      <w:r>
        <w:rPr>
          <w:rFonts w:hint="eastAsia" w:ascii="仿宋_GB2312" w:hAnsi="仿宋_GB2312" w:eastAsia="仿宋_GB2312" w:cs="仿宋_GB2312"/>
          <w:color w:val="auto"/>
          <w:sz w:val="24"/>
          <w:szCs w:val="24"/>
          <w:highlight w:val="none"/>
        </w:rPr>
        <w:t>审</w:t>
      </w:r>
      <w:r>
        <w:rPr>
          <w:rFonts w:hint="eastAsia" w:ascii="仿宋_GB2312" w:hAnsi="仿宋_GB2312" w:eastAsia="仿宋_GB2312" w:cs="仿宋_GB2312"/>
          <w:color w:val="auto"/>
          <w:sz w:val="24"/>
          <w:szCs w:val="24"/>
          <w:highlight w:val="none"/>
          <w:lang w:eastAsia="zh-TW"/>
        </w:rPr>
        <w:t>时不予核减。</w:t>
      </w: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TW"/>
        </w:rPr>
        <w:t>总价中不得缺漏</w:t>
      </w:r>
      <w:r>
        <w:rPr>
          <w:rFonts w:hint="eastAsia" w:ascii="仿宋_GB2312" w:hAnsi="仿宋_GB2312" w:eastAsia="仿宋_GB2312" w:cs="仿宋_GB2312"/>
          <w:color w:val="auto"/>
          <w:sz w:val="24"/>
          <w:szCs w:val="24"/>
          <w:highlight w:val="none"/>
        </w:rPr>
        <w:t>竞争性磋商文件</w:t>
      </w:r>
      <w:r>
        <w:rPr>
          <w:rFonts w:hint="eastAsia" w:ascii="仿宋_GB2312" w:hAnsi="仿宋_GB2312" w:eastAsia="仿宋_GB2312" w:cs="仿宋_GB2312"/>
          <w:color w:val="auto"/>
          <w:sz w:val="24"/>
          <w:szCs w:val="24"/>
          <w:highlight w:val="none"/>
          <w:lang w:eastAsia="zh-TW"/>
        </w:rPr>
        <w:t>所要求的内容，否则，被视为</w:t>
      </w:r>
      <w:r>
        <w:rPr>
          <w:rFonts w:hint="eastAsia" w:ascii="仿宋_GB2312" w:hAnsi="仿宋_GB2312" w:eastAsia="仿宋_GB2312" w:cs="仿宋_GB2312"/>
          <w:color w:val="auto"/>
          <w:sz w:val="24"/>
          <w:szCs w:val="24"/>
          <w:highlight w:val="none"/>
        </w:rPr>
        <w:t>包含在报价总价中</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在磋商过程中，磋商小组发现</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的报价明显低于其他</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报价，使得其</w:t>
      </w:r>
      <w:r>
        <w:rPr>
          <w:rFonts w:hint="eastAsia" w:ascii="仿宋_GB2312" w:hAnsi="仿宋_GB2312" w:eastAsia="仿宋_GB2312" w:cs="仿宋_GB2312"/>
          <w:bCs/>
          <w:color w:val="auto"/>
          <w:sz w:val="24"/>
          <w:szCs w:val="24"/>
          <w:highlight w:val="none"/>
          <w:lang w:eastAsia="zh-CN"/>
        </w:rPr>
        <w:t>响应报价</w:t>
      </w:r>
      <w:r>
        <w:rPr>
          <w:rFonts w:hint="eastAsia" w:ascii="仿宋_GB2312" w:hAnsi="仿宋_GB2312" w:eastAsia="仿宋_GB2312" w:cs="仿宋_GB2312"/>
          <w:bCs/>
          <w:color w:val="auto"/>
          <w:sz w:val="24"/>
          <w:szCs w:val="24"/>
          <w:highlight w:val="none"/>
        </w:rPr>
        <w:t>可能低于其个别成本的，应当要求该</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作出书面说明并提供相关证明材料。</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不能合理说明或者不能提供相关证明材料的，由磋商小组认定该</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以低于成本报价，应当否决其投标。</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投标分项报价表</w:t>
      </w:r>
      <w:r>
        <w:rPr>
          <w:rFonts w:hint="eastAsia" w:ascii="仿宋_GB2312" w:hAnsi="仿宋_GB2312" w:eastAsia="仿宋_GB2312" w:cs="仿宋_GB2312"/>
          <w:color w:val="auto"/>
          <w:sz w:val="24"/>
          <w:szCs w:val="24"/>
          <w:highlight w:val="none"/>
        </w:rPr>
        <w:t>内容应包含：（适用货物类项目）</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从中华人民共和国境内提供的货物须包含：</w:t>
      </w:r>
    </w:p>
    <w:p>
      <w:pPr>
        <w:widowControl w:val="0"/>
        <w:tabs>
          <w:tab w:val="left" w:pos="360"/>
          <w:tab w:val="left" w:pos="720"/>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Cs w:val="21"/>
          <w:highlight w:val="none"/>
        </w:rPr>
        <w:t xml:space="preserve">14.3.1.1 </w:t>
      </w:r>
      <w:r>
        <w:rPr>
          <w:rFonts w:hint="eastAsia" w:ascii="仿宋_GB2312" w:hAnsi="仿宋_GB2312" w:eastAsia="仿宋_GB2312" w:cs="仿宋_GB2312"/>
          <w:color w:val="auto"/>
          <w:sz w:val="24"/>
          <w:szCs w:val="24"/>
          <w:highlight w:val="none"/>
          <w:lang w:eastAsia="zh-CN"/>
        </w:rPr>
        <w:t>响应产品</w:t>
      </w:r>
      <w:r>
        <w:rPr>
          <w:rFonts w:hint="eastAsia" w:ascii="仿宋_GB2312" w:hAnsi="仿宋_GB2312" w:eastAsia="仿宋_GB2312" w:cs="仿宋_GB2312"/>
          <w:color w:val="auto"/>
          <w:sz w:val="24"/>
          <w:szCs w:val="24"/>
          <w:highlight w:val="none"/>
          <w:lang w:eastAsia="zh-TW"/>
        </w:rPr>
        <w:t>价；</w:t>
      </w:r>
    </w:p>
    <w:p>
      <w:pPr>
        <w:widowControl w:val="0"/>
        <w:tabs>
          <w:tab w:val="left" w:pos="360"/>
          <w:tab w:val="left" w:pos="720"/>
        </w:tabs>
        <w:autoSpaceDE w:val="0"/>
        <w:autoSpaceDN w:val="0"/>
        <w:adjustRightInd w:val="0"/>
        <w:snapToGrid w:val="0"/>
        <w:spacing w:line="360" w:lineRule="auto"/>
        <w:ind w:left="420" w:hanging="420" w:hangingChars="200"/>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Cs w:val="21"/>
          <w:highlight w:val="none"/>
        </w:rPr>
        <w:t xml:space="preserve">14.3.1.2 </w:t>
      </w:r>
      <w:r>
        <w:rPr>
          <w:rFonts w:hint="eastAsia" w:ascii="仿宋_GB2312" w:hAnsi="仿宋_GB2312" w:eastAsia="仿宋_GB2312" w:cs="仿宋_GB2312"/>
          <w:color w:val="auto"/>
          <w:sz w:val="24"/>
          <w:szCs w:val="24"/>
          <w:highlight w:val="none"/>
          <w:lang w:eastAsia="zh-TW"/>
        </w:rPr>
        <w:t>除应包括要向中华人民共和国政府缴纳的增值税和其它税，还应包括对以下①、②两项已缴纳或应缴纳的全部关税、增值税和其它税：</w:t>
      </w:r>
    </w:p>
    <w:p>
      <w:pPr>
        <w:tabs>
          <w:tab w:val="left" w:pos="567"/>
          <w:tab w:val="left" w:pos="676"/>
          <w:tab w:val="left" w:pos="8931"/>
        </w:tabs>
        <w:snapToGrid w:val="0"/>
        <w:spacing w:line="360" w:lineRule="auto"/>
        <w:ind w:left="1364" w:leftChars="421" w:hanging="480" w:hangingChars="200"/>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① 报价的货物在制造或组装时使用的部件和原材料是从境外进口的；或</w:t>
      </w:r>
    </w:p>
    <w:p>
      <w:pPr>
        <w:tabs>
          <w:tab w:val="left" w:pos="567"/>
          <w:tab w:val="left" w:pos="676"/>
          <w:tab w:val="left" w:pos="8931"/>
        </w:tabs>
        <w:snapToGrid w:val="0"/>
        <w:spacing w:line="360" w:lineRule="auto"/>
        <w:ind w:left="1364" w:leftChars="421" w:hanging="480" w:hangingChars="200"/>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② 报货架交货价的货物是从境外进口的。</w:t>
      </w:r>
    </w:p>
    <w:p>
      <w:pPr>
        <w:widowControl w:val="0"/>
        <w:tabs>
          <w:tab w:val="left" w:pos="360"/>
          <w:tab w:val="left" w:pos="720"/>
        </w:tabs>
        <w:autoSpaceDE w:val="0"/>
        <w:autoSpaceDN w:val="0"/>
        <w:adjustRightInd w:val="0"/>
        <w:snapToGrid w:val="0"/>
        <w:spacing w:line="360" w:lineRule="auto"/>
        <w:ind w:left="420" w:hanging="420" w:hangingChars="200"/>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Cs w:val="21"/>
          <w:highlight w:val="none"/>
        </w:rPr>
        <w:t xml:space="preserve">14.3.1.3 </w:t>
      </w:r>
      <w:r>
        <w:rPr>
          <w:rFonts w:hint="eastAsia" w:ascii="仿宋_GB2312" w:hAnsi="仿宋_GB2312" w:eastAsia="仿宋_GB2312" w:cs="仿宋_GB2312"/>
          <w:color w:val="auto"/>
          <w:sz w:val="24"/>
          <w:szCs w:val="24"/>
          <w:highlight w:val="none"/>
          <w:lang w:eastAsia="zh-TW"/>
        </w:rPr>
        <w:t>报</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中列出的其他伴随服务的费用和标准附件价、备品备件及专用工具价(如有)。</w:t>
      </w:r>
    </w:p>
    <w:p>
      <w:pPr>
        <w:widowControl w:val="0"/>
        <w:numPr>
          <w:ilvl w:val="2"/>
          <w:numId w:val="3"/>
        </w:numPr>
        <w:tabs>
          <w:tab w:val="left" w:pos="567"/>
          <w:tab w:val="clear" w:pos="720"/>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从中华人民共和国境外提供的货物须包含：</w:t>
      </w:r>
    </w:p>
    <w:p>
      <w:pPr>
        <w:widowControl w:val="0"/>
        <w:numPr>
          <w:ilvl w:val="3"/>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响应产品</w:t>
      </w:r>
      <w:r>
        <w:rPr>
          <w:rFonts w:hint="eastAsia" w:ascii="仿宋_GB2312" w:hAnsi="仿宋_GB2312" w:eastAsia="仿宋_GB2312" w:cs="仿宋_GB2312"/>
          <w:color w:val="auto"/>
          <w:sz w:val="24"/>
          <w:szCs w:val="24"/>
          <w:highlight w:val="none"/>
          <w:lang w:eastAsia="zh-TW"/>
        </w:rPr>
        <w:t>价；</w:t>
      </w:r>
    </w:p>
    <w:p>
      <w:pPr>
        <w:widowControl w:val="0"/>
        <w:numPr>
          <w:ilvl w:val="3"/>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除应包括要向中华人民共和国政府缴纳的增值税和其它税，如果</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中另有规定，还应包括货物从境外进口己缴纳或应缴纳的全部关税、增值税和其它税；</w:t>
      </w:r>
    </w:p>
    <w:p>
      <w:pPr>
        <w:widowControl w:val="0"/>
        <w:numPr>
          <w:ilvl w:val="3"/>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报货物境外离岸价格、国外运输费、国外运输保险费；</w:t>
      </w:r>
    </w:p>
    <w:p>
      <w:pPr>
        <w:widowControl w:val="0"/>
        <w:numPr>
          <w:ilvl w:val="3"/>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中列出的其他伴随服务费用和标准附件价、备品备件及专用工具价(如有)。</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报价表</w:t>
      </w:r>
      <w:r>
        <w:rPr>
          <w:rFonts w:hint="eastAsia" w:ascii="仿宋_GB2312" w:hAnsi="仿宋_GB2312" w:eastAsia="仿宋_GB2312" w:cs="仿宋_GB2312"/>
          <w:color w:val="auto"/>
          <w:sz w:val="24"/>
          <w:szCs w:val="24"/>
          <w:highlight w:val="none"/>
        </w:rPr>
        <w:t>内容应包含：（适用服务类项目）</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竞争性磋商文件要求完成全部服务所需的费用；</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磋商报价包含履行合同所有相关服务所需的费用；</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磋商报价均应包含所有的税费；</w:t>
      </w:r>
    </w:p>
    <w:p>
      <w:pPr>
        <w:widowControl w:val="0"/>
        <w:numPr>
          <w:ilvl w:val="2"/>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其他一切隐含及不可预见的费用；</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响应报价</w:t>
      </w:r>
      <w:r>
        <w:rPr>
          <w:rFonts w:hint="eastAsia" w:ascii="仿宋_GB2312" w:hAnsi="仿宋_GB2312" w:eastAsia="仿宋_GB2312" w:cs="仿宋_GB2312"/>
          <w:color w:val="auto"/>
          <w:sz w:val="24"/>
          <w:szCs w:val="24"/>
          <w:highlight w:val="none"/>
        </w:rPr>
        <w:t>为本次磋商内容的费用，即为</w:t>
      </w:r>
      <w:r>
        <w:rPr>
          <w:rFonts w:hint="eastAsia" w:ascii="仿宋_GB2312" w:hAnsi="仿宋_GB2312" w:eastAsia="仿宋_GB2312" w:cs="仿宋_GB2312"/>
          <w:color w:val="auto"/>
          <w:sz w:val="24"/>
          <w:szCs w:val="24"/>
          <w:highlight w:val="none"/>
          <w:lang w:eastAsia="zh-CN"/>
        </w:rPr>
        <w:t>合同价款</w:t>
      </w:r>
      <w:r>
        <w:rPr>
          <w:rFonts w:hint="eastAsia" w:ascii="仿宋_GB2312" w:hAnsi="仿宋_GB2312" w:eastAsia="仿宋_GB2312" w:cs="仿宋_GB2312"/>
          <w:color w:val="auto"/>
          <w:sz w:val="24"/>
          <w:szCs w:val="24"/>
          <w:highlight w:val="none"/>
        </w:rPr>
        <w:t>，不得在成交后提出任何增加费用要求，</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在投标时应充分考虑相关风险性因素。</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在成交并签署合同后，服务期限内出现的任何遗漏，均由</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负责，采购人将不再支付任何费用。</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未报价或报价为零的视为</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已包含在</w:t>
      </w:r>
      <w:r>
        <w:rPr>
          <w:rFonts w:hint="eastAsia" w:ascii="仿宋_GB2312" w:hAnsi="仿宋_GB2312" w:eastAsia="仿宋_GB2312" w:cs="仿宋_GB2312"/>
          <w:color w:val="auto"/>
          <w:sz w:val="24"/>
          <w:szCs w:val="24"/>
          <w:highlight w:val="none"/>
          <w:lang w:eastAsia="zh-CN"/>
        </w:rPr>
        <w:t>响应报价</w:t>
      </w:r>
      <w:r>
        <w:rPr>
          <w:rFonts w:hint="eastAsia" w:ascii="仿宋_GB2312" w:hAnsi="仿宋_GB2312" w:eastAsia="仿宋_GB2312" w:cs="仿宋_GB2312"/>
          <w:color w:val="auto"/>
          <w:sz w:val="24"/>
          <w:szCs w:val="24"/>
          <w:highlight w:val="none"/>
          <w:lang w:eastAsia="zh-TW"/>
        </w:rPr>
        <w:t>总价中。</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根据本须知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报价表</w:t>
      </w:r>
      <w:r>
        <w:rPr>
          <w:rFonts w:hint="eastAsia" w:ascii="仿宋_GB2312" w:hAnsi="仿宋_GB2312" w:eastAsia="仿宋_GB2312" w:cs="仿宋_GB2312"/>
          <w:color w:val="auto"/>
          <w:sz w:val="24"/>
          <w:szCs w:val="24"/>
          <w:highlight w:val="none"/>
        </w:rPr>
        <w:t>内容应包含”</w:t>
      </w:r>
      <w:r>
        <w:rPr>
          <w:rFonts w:hint="eastAsia" w:ascii="仿宋_GB2312" w:hAnsi="仿宋_GB2312" w:eastAsia="仿宋_GB2312" w:cs="仿宋_GB2312"/>
          <w:color w:val="auto"/>
          <w:sz w:val="24"/>
          <w:szCs w:val="24"/>
          <w:highlight w:val="none"/>
          <w:lang w:eastAsia="zh-TW"/>
        </w:rPr>
        <w:t>规定将</w:t>
      </w:r>
      <w:r>
        <w:rPr>
          <w:rFonts w:hint="eastAsia" w:ascii="仿宋_GB2312" w:hAnsi="仿宋_GB2312" w:eastAsia="仿宋_GB2312" w:cs="仿宋_GB2312"/>
          <w:color w:val="auto"/>
          <w:sz w:val="24"/>
          <w:szCs w:val="24"/>
          <w:highlight w:val="none"/>
        </w:rPr>
        <w:t>报</w:t>
      </w:r>
      <w:r>
        <w:rPr>
          <w:rFonts w:hint="eastAsia" w:ascii="仿宋_GB2312" w:hAnsi="仿宋_GB2312" w:eastAsia="仿宋_GB2312" w:cs="仿宋_GB2312"/>
          <w:color w:val="auto"/>
          <w:sz w:val="24"/>
          <w:szCs w:val="24"/>
          <w:highlight w:val="none"/>
          <w:lang w:eastAsia="zh-TW"/>
        </w:rPr>
        <w:t>价分成几部分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只是为了方便对响应文件</w:t>
      </w:r>
      <w:r>
        <w:rPr>
          <w:rFonts w:hint="eastAsia" w:ascii="仿宋_GB2312" w:hAnsi="仿宋_GB2312" w:eastAsia="仿宋_GB2312" w:cs="仿宋_GB2312"/>
          <w:color w:val="auto"/>
          <w:sz w:val="24"/>
          <w:szCs w:val="24"/>
          <w:highlight w:val="none"/>
        </w:rPr>
        <w:t>进行比较，</w:t>
      </w:r>
      <w:r>
        <w:rPr>
          <w:rFonts w:hint="eastAsia" w:ascii="仿宋_GB2312" w:hAnsi="仿宋_GB2312" w:eastAsia="仿宋_GB2312" w:cs="仿宋_GB2312"/>
          <w:color w:val="auto"/>
          <w:sz w:val="24"/>
          <w:szCs w:val="24"/>
          <w:highlight w:val="none"/>
          <w:lang w:eastAsia="zh-TW"/>
        </w:rPr>
        <w:t>并不限制采购人以上述任何条件订立合同的权力。</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中另有规定，</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所报的磋商价在合同执行过程中是固定不变的</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不得以任何理由予以变更。任何包含价格调整要求的磋商被认为是非实质性响应磋商而予以拒绝。</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中允许有备选方案外，本次磋商不接受选择性报价，否则将被视为无效报价。</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另有规定外，本次磋商不接受具有附加条件的报价，否则将被视为无效报价。</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71" w:name="_Toc410736148"/>
      <w:bookmarkStart w:id="72" w:name="_Toc416770225"/>
      <w:bookmarkStart w:id="73" w:name="_Toc416771335"/>
      <w:bookmarkStart w:id="74" w:name="_Toc410738948"/>
      <w:r>
        <w:rPr>
          <w:rFonts w:hint="eastAsia" w:ascii="仿宋_GB2312" w:hAnsi="仿宋_GB2312" w:eastAsia="仿宋_GB2312" w:cs="仿宋_GB2312"/>
          <w:b/>
          <w:bCs/>
          <w:color w:val="auto"/>
          <w:sz w:val="24"/>
          <w:szCs w:val="24"/>
          <w:highlight w:val="none"/>
          <w:lang w:val="en-US" w:eastAsia="zh-CN"/>
        </w:rPr>
        <w:t>响应</w:t>
      </w:r>
      <w:r>
        <w:rPr>
          <w:rFonts w:hint="eastAsia" w:ascii="仿宋_GB2312" w:hAnsi="仿宋_GB2312" w:eastAsia="仿宋_GB2312" w:cs="仿宋_GB2312"/>
          <w:b/>
          <w:bCs/>
          <w:color w:val="auto"/>
          <w:sz w:val="24"/>
          <w:szCs w:val="24"/>
          <w:highlight w:val="none"/>
        </w:rPr>
        <w:t>货币</w:t>
      </w:r>
      <w:bookmarkEnd w:id="71"/>
      <w:bookmarkEnd w:id="72"/>
      <w:bookmarkEnd w:id="73"/>
      <w:bookmarkEnd w:id="74"/>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 xml:space="preserve">所提供的货物或服务均应以人民币报价。 </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75" w:name="_Toc416771336"/>
      <w:bookmarkStart w:id="76" w:name="_Toc416770226"/>
      <w:r>
        <w:rPr>
          <w:rFonts w:hint="eastAsia" w:ascii="仿宋_GB2312" w:hAnsi="仿宋_GB2312" w:eastAsia="仿宋_GB2312" w:cs="仿宋_GB2312"/>
          <w:b/>
          <w:bCs/>
          <w:color w:val="auto"/>
          <w:sz w:val="24"/>
          <w:szCs w:val="24"/>
          <w:highlight w:val="none"/>
        </w:rPr>
        <w:t>联合体</w:t>
      </w:r>
      <w:r>
        <w:rPr>
          <w:rFonts w:hint="eastAsia" w:ascii="仿宋_GB2312" w:hAnsi="仿宋_GB2312" w:eastAsia="仿宋_GB2312" w:cs="仿宋_GB2312"/>
          <w:b/>
          <w:bCs/>
          <w:color w:val="auto"/>
          <w:sz w:val="24"/>
          <w:szCs w:val="24"/>
          <w:highlight w:val="none"/>
          <w:lang w:val="en-US" w:eastAsia="zh-CN"/>
        </w:rPr>
        <w:t>响应</w:t>
      </w:r>
      <w:bookmarkEnd w:id="75"/>
      <w:bookmarkEnd w:id="76"/>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除非</w:t>
      </w:r>
      <w:r>
        <w:rPr>
          <w:rFonts w:hint="eastAsia" w:ascii="仿宋_GB2312" w:hAnsi="仿宋_GB2312" w:eastAsia="仿宋_GB2312" w:cs="仿宋_GB2312"/>
          <w:b/>
          <w:color w:val="auto"/>
          <w:sz w:val="24"/>
          <w:szCs w:val="24"/>
          <w:highlight w:val="none"/>
        </w:rPr>
        <w:t>磋商邀请</w:t>
      </w:r>
      <w:r>
        <w:rPr>
          <w:rFonts w:hint="eastAsia" w:ascii="仿宋_GB2312" w:hAnsi="仿宋_GB2312" w:eastAsia="仿宋_GB2312" w:cs="仿宋_GB2312"/>
          <w:color w:val="auto"/>
          <w:sz w:val="24"/>
          <w:szCs w:val="24"/>
          <w:highlight w:val="none"/>
        </w:rPr>
        <w:t>中另有规定，不接受联合体</w:t>
      </w:r>
      <w:r>
        <w:rPr>
          <w:rFonts w:hint="eastAsia" w:ascii="仿宋_GB2312" w:hAnsi="仿宋_GB2312" w:eastAsia="仿宋_GB2312" w:cs="仿宋_GB2312"/>
          <w:color w:val="auto"/>
          <w:sz w:val="24"/>
          <w:szCs w:val="24"/>
          <w:highlight w:val="none"/>
          <w:lang w:val="en-US" w:eastAsia="zh-CN"/>
        </w:rPr>
        <w:t>参与磋商</w:t>
      </w:r>
      <w:r>
        <w:rPr>
          <w:rFonts w:hint="eastAsia" w:ascii="仿宋_GB2312" w:hAnsi="仿宋_GB2312" w:eastAsia="仿宋_GB2312" w:cs="仿宋_GB2312"/>
          <w:color w:val="auto"/>
          <w:sz w:val="24"/>
          <w:szCs w:val="24"/>
          <w:highlight w:val="none"/>
        </w:rPr>
        <w:t>。如果磋商邀请中规定允许联合体</w:t>
      </w:r>
      <w:r>
        <w:rPr>
          <w:rFonts w:hint="eastAsia" w:ascii="仿宋_GB2312" w:hAnsi="仿宋_GB2312" w:eastAsia="仿宋_GB2312" w:cs="仿宋_GB2312"/>
          <w:color w:val="auto"/>
          <w:sz w:val="24"/>
          <w:szCs w:val="24"/>
          <w:highlight w:val="none"/>
          <w:lang w:val="en-US" w:eastAsia="zh-CN"/>
        </w:rPr>
        <w:t>参与磋商</w:t>
      </w:r>
      <w:r>
        <w:rPr>
          <w:rFonts w:hint="eastAsia" w:ascii="仿宋_GB2312" w:hAnsi="仿宋_GB2312" w:eastAsia="仿宋_GB2312" w:cs="仿宋_GB2312"/>
          <w:color w:val="auto"/>
          <w:sz w:val="24"/>
          <w:szCs w:val="24"/>
          <w:highlight w:val="none"/>
        </w:rPr>
        <w:t>的，则必须满足：</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以联合体形式参加磋商的</w:t>
      </w:r>
      <w:r>
        <w:rPr>
          <w:rFonts w:hint="eastAsia" w:ascii="仿宋_GB2312" w:hAnsi="仿宋_GB2312" w:eastAsia="仿宋_GB2312" w:cs="仿宋_GB2312"/>
          <w:color w:val="auto"/>
          <w:sz w:val="24"/>
          <w:szCs w:val="24"/>
          <w:highlight w:val="none"/>
        </w:rPr>
        <w:t>，联合体各方均必须符合本须知“合格的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”的一般规定，并至少有一方符合满足“合格的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”的特殊条款要求；</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以联合体形式参加采购活动的，联合体各方不得再单独参加或者与其他供应商另外组成联合体参加同一合同项下的采购活动。</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w:t>
      </w:r>
      <w:r>
        <w:rPr>
          <w:rFonts w:hint="eastAsia" w:ascii="仿宋_GB2312" w:hAnsi="仿宋_GB2312" w:eastAsia="仿宋_GB2312" w:cs="仿宋_GB2312"/>
          <w:color w:val="auto"/>
          <w:sz w:val="24"/>
          <w:szCs w:val="24"/>
          <w:highlight w:val="none"/>
          <w:lang w:val="en-US" w:eastAsia="zh-CN"/>
        </w:rPr>
        <w:t>参与磋商</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TW"/>
        </w:rPr>
        <w:t>必须提供各方签订的共同联合体协议</w:t>
      </w:r>
      <w:r>
        <w:rPr>
          <w:rFonts w:hint="eastAsia" w:ascii="仿宋_GB2312" w:hAnsi="仿宋_GB2312" w:eastAsia="仿宋_GB2312" w:cs="仿宋_GB2312"/>
          <w:color w:val="auto"/>
          <w:sz w:val="24"/>
          <w:szCs w:val="24"/>
          <w:highlight w:val="none"/>
        </w:rPr>
        <w:t>，明确约定各方承担的工作和相应的责任。联合体各方签订共同联合体协议后，不得再以自己名义单独在同一项目（或包组）中磋商，也不得组成新的联合体参加同一项目（或包组）磋商；</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联合体中有同类资质的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按照联合体分工承担相同工作的，应当按照资质等级较低的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确定资质等级。</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w:t>
      </w:r>
      <w:r>
        <w:rPr>
          <w:rFonts w:hint="eastAsia" w:ascii="仿宋_GB2312" w:hAnsi="仿宋_GB2312" w:eastAsia="仿宋_GB2312" w:cs="仿宋_GB2312"/>
          <w:color w:val="auto"/>
          <w:sz w:val="24"/>
          <w:szCs w:val="24"/>
          <w:highlight w:val="none"/>
          <w:lang w:val="en-US" w:eastAsia="zh-CN"/>
        </w:rPr>
        <w:t>参与磋商</w:t>
      </w:r>
      <w:r>
        <w:rPr>
          <w:rFonts w:hint="eastAsia" w:ascii="仿宋_GB2312" w:hAnsi="仿宋_GB2312" w:eastAsia="仿宋_GB2312" w:cs="仿宋_GB2312"/>
          <w:color w:val="auto"/>
          <w:sz w:val="24"/>
          <w:szCs w:val="24"/>
          <w:highlight w:val="none"/>
        </w:rPr>
        <w:t>的，可以由联合体中的一方或者共同提交磋商保证金，以一方名义提交磋商保证金的，对联合体各方均具有约束力。</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联合体成交的，联合体各方应当共同与采购人签订合同。</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77" w:name="_Toc410736150"/>
      <w:bookmarkStart w:id="78" w:name="_Toc410738950"/>
      <w:bookmarkStart w:id="79" w:name="_Toc416771337"/>
      <w:bookmarkStart w:id="80" w:name="_Toc416770227"/>
      <w:r>
        <w:rPr>
          <w:rFonts w:hint="eastAsia" w:ascii="仿宋_GB2312" w:hAnsi="仿宋_GB2312" w:eastAsia="仿宋_GB2312" w:cs="仿宋_GB2312"/>
          <w:b/>
          <w:bCs/>
          <w:color w:val="auto"/>
          <w:sz w:val="24"/>
          <w:szCs w:val="24"/>
          <w:highlight w:val="none"/>
        </w:rPr>
        <w:t>证明</w:t>
      </w:r>
      <w:r>
        <w:rPr>
          <w:rFonts w:hint="eastAsia" w:ascii="仿宋_GB2312" w:hAnsi="仿宋_GB2312" w:eastAsia="仿宋_GB2312" w:cs="仿宋_GB2312"/>
          <w:b/>
          <w:bCs/>
          <w:color w:val="auto"/>
          <w:sz w:val="24"/>
          <w:szCs w:val="24"/>
          <w:highlight w:val="none"/>
          <w:lang w:eastAsia="zh-CN"/>
        </w:rPr>
        <w:t>响应人</w:t>
      </w:r>
      <w:r>
        <w:rPr>
          <w:rFonts w:hint="eastAsia" w:ascii="仿宋_GB2312" w:hAnsi="仿宋_GB2312" w:eastAsia="仿宋_GB2312" w:cs="仿宋_GB2312"/>
          <w:b/>
          <w:bCs/>
          <w:color w:val="auto"/>
          <w:sz w:val="24"/>
          <w:szCs w:val="24"/>
          <w:highlight w:val="none"/>
        </w:rPr>
        <w:t>合格和资格的文件</w:t>
      </w:r>
      <w:bookmarkEnd w:id="77"/>
      <w:bookmarkEnd w:id="78"/>
      <w:bookmarkEnd w:id="79"/>
      <w:bookmarkEnd w:id="8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应提交证明其有资格参加磋商和成交后有能力履行合同的文件，</w:t>
      </w:r>
      <w:r>
        <w:rPr>
          <w:rFonts w:hint="eastAsia" w:ascii="仿宋_GB2312" w:hAnsi="仿宋_GB2312" w:eastAsia="仿宋_GB2312" w:cs="仿宋_GB2312"/>
          <w:color w:val="auto"/>
          <w:sz w:val="24"/>
          <w:szCs w:val="24"/>
          <w:highlight w:val="none"/>
          <w:lang w:eastAsia="zh-TW"/>
        </w:rPr>
        <w:t>并作为其响应文件的一部分。如果</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为联合体</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应提交联合体各方的资格证明文件、</w:t>
      </w:r>
      <w:r>
        <w:rPr>
          <w:rFonts w:hint="eastAsia" w:ascii="仿宋_GB2312" w:hAnsi="仿宋_GB2312" w:eastAsia="仿宋_GB2312" w:cs="仿宋_GB2312"/>
          <w:color w:val="auto"/>
          <w:sz w:val="24"/>
          <w:szCs w:val="24"/>
          <w:highlight w:val="none"/>
        </w:rPr>
        <w:t>共同联合体协议</w:t>
      </w:r>
      <w:r>
        <w:rPr>
          <w:rFonts w:hint="eastAsia" w:ascii="仿宋_GB2312" w:hAnsi="仿宋_GB2312" w:eastAsia="仿宋_GB2312" w:cs="仿宋_GB2312"/>
          <w:color w:val="auto"/>
          <w:sz w:val="24"/>
          <w:szCs w:val="24"/>
          <w:highlight w:val="none"/>
          <w:lang w:eastAsia="zh-TW"/>
        </w:rPr>
        <w:t>并注明主体方</w:t>
      </w:r>
      <w:r>
        <w:rPr>
          <w:rFonts w:hint="eastAsia" w:ascii="仿宋_GB2312" w:hAnsi="仿宋_GB2312" w:eastAsia="仿宋_GB2312" w:cs="仿宋_GB2312"/>
          <w:color w:val="auto"/>
          <w:sz w:val="24"/>
          <w:szCs w:val="24"/>
          <w:highlight w:val="none"/>
        </w:rPr>
        <w:t>及各方拟承担的工作和责任。</w:t>
      </w:r>
      <w:r>
        <w:rPr>
          <w:rFonts w:hint="eastAsia" w:ascii="仿宋_GB2312" w:hAnsi="仿宋_GB2312" w:eastAsia="仿宋_GB2312" w:cs="仿宋_GB2312"/>
          <w:color w:val="auto"/>
          <w:sz w:val="24"/>
          <w:szCs w:val="24"/>
          <w:highlight w:val="none"/>
          <w:lang w:eastAsia="zh-TW"/>
        </w:rPr>
        <w:t>否则</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将导致其磋商</w:t>
      </w:r>
      <w:r>
        <w:rPr>
          <w:rFonts w:hint="eastAsia" w:ascii="仿宋_GB2312" w:hAnsi="仿宋_GB2312" w:eastAsia="仿宋_GB2312" w:cs="仿宋_GB2312"/>
          <w:color w:val="auto"/>
          <w:sz w:val="24"/>
          <w:szCs w:val="24"/>
          <w:highlight w:val="none"/>
        </w:rPr>
        <w:t>报价无效。</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提交的资格证明文件应证明其满足本须知</w:t>
      </w:r>
      <w:r>
        <w:rPr>
          <w:rFonts w:hint="eastAsia" w:ascii="仿宋_GB2312" w:hAnsi="仿宋_GB2312" w:eastAsia="仿宋_GB2312" w:cs="仿宋_GB2312"/>
          <w:color w:val="auto"/>
          <w:sz w:val="24"/>
          <w:szCs w:val="24"/>
          <w:highlight w:val="none"/>
          <w:lang w:eastAsia="zh-TW"/>
        </w:rPr>
        <w:t>定义的合格</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81" w:name="_Toc416771338"/>
      <w:bookmarkStart w:id="82" w:name="_Toc410738951"/>
      <w:bookmarkStart w:id="83" w:name="_Toc416770228"/>
      <w:bookmarkStart w:id="84" w:name="_Toc410736151"/>
      <w:r>
        <w:rPr>
          <w:rFonts w:hint="eastAsia" w:ascii="仿宋_GB2312" w:hAnsi="仿宋_GB2312" w:eastAsia="仿宋_GB2312" w:cs="仿宋_GB2312"/>
          <w:b/>
          <w:bCs/>
          <w:color w:val="auto"/>
          <w:sz w:val="24"/>
          <w:szCs w:val="24"/>
          <w:highlight w:val="none"/>
        </w:rPr>
        <w:t>证明货物或服务的合格性和符合竞争性磋商文件规定的文件</w:t>
      </w:r>
      <w:bookmarkEnd w:id="81"/>
      <w:bookmarkEnd w:id="82"/>
      <w:bookmarkEnd w:id="83"/>
      <w:bookmarkEnd w:id="84"/>
    </w:p>
    <w:p>
      <w:pPr>
        <w:widowControl w:val="0"/>
        <w:numPr>
          <w:ilvl w:val="1"/>
          <w:numId w:val="3"/>
        </w:numPr>
        <w:tabs>
          <w:tab w:val="left" w:pos="798"/>
          <w:tab w:val="clear" w:pos="360"/>
        </w:tabs>
        <w:autoSpaceDE w:val="0"/>
        <w:autoSpaceDN w:val="0"/>
        <w:adjustRightInd w:val="0"/>
        <w:snapToGrid w:val="0"/>
        <w:spacing w:line="360" w:lineRule="auto"/>
        <w:ind w:left="798" w:hanging="798"/>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应提交证明文件</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证明其</w:t>
      </w:r>
      <w:r>
        <w:rPr>
          <w:rFonts w:hint="eastAsia" w:ascii="仿宋_GB2312" w:hAnsi="仿宋_GB2312" w:eastAsia="仿宋_GB2312" w:cs="仿宋_GB2312"/>
          <w:color w:val="auto"/>
          <w:sz w:val="24"/>
          <w:szCs w:val="24"/>
          <w:highlight w:val="none"/>
        </w:rPr>
        <w:t>磋商</w:t>
      </w:r>
      <w:r>
        <w:rPr>
          <w:rFonts w:hint="eastAsia" w:ascii="仿宋_GB2312" w:hAnsi="仿宋_GB2312" w:eastAsia="仿宋_GB2312" w:cs="仿宋_GB2312"/>
          <w:color w:val="auto"/>
          <w:sz w:val="24"/>
          <w:szCs w:val="24"/>
          <w:highlight w:val="none"/>
          <w:lang w:eastAsia="zh-TW"/>
        </w:rPr>
        <w:t>的</w:t>
      </w:r>
      <w:r>
        <w:rPr>
          <w:rFonts w:hint="eastAsia" w:ascii="仿宋_GB2312" w:hAnsi="仿宋_GB2312" w:eastAsia="仿宋_GB2312" w:cs="仿宋_GB2312"/>
          <w:color w:val="auto"/>
          <w:sz w:val="24"/>
          <w:szCs w:val="24"/>
          <w:highlight w:val="none"/>
        </w:rPr>
        <w:t>货物或</w:t>
      </w:r>
      <w:r>
        <w:rPr>
          <w:rFonts w:hint="eastAsia" w:ascii="仿宋_GB2312" w:hAnsi="仿宋_GB2312" w:eastAsia="仿宋_GB2312" w:cs="仿宋_GB2312"/>
          <w:color w:val="auto"/>
          <w:sz w:val="24"/>
          <w:szCs w:val="24"/>
          <w:highlight w:val="none"/>
          <w:lang w:eastAsia="zh-TW"/>
        </w:rPr>
        <w:t>服务的合格性符合竞争性磋商文件规定。该证明文件作为响应文件的一部分。</w:t>
      </w:r>
    </w:p>
    <w:p>
      <w:pPr>
        <w:widowControl w:val="0"/>
        <w:numPr>
          <w:ilvl w:val="1"/>
          <w:numId w:val="3"/>
        </w:numPr>
        <w:tabs>
          <w:tab w:val="left" w:pos="798"/>
          <w:tab w:val="clear" w:pos="360"/>
        </w:tabs>
        <w:autoSpaceDE w:val="0"/>
        <w:autoSpaceDN w:val="0"/>
        <w:adjustRightInd w:val="0"/>
        <w:snapToGrid w:val="0"/>
        <w:spacing w:line="360" w:lineRule="auto"/>
        <w:ind w:left="798" w:hanging="798"/>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eastAsia="zh-TW"/>
        </w:rPr>
        <w:t>证明</w:t>
      </w:r>
      <w:r>
        <w:rPr>
          <w:rFonts w:hint="eastAsia" w:ascii="仿宋_GB2312" w:hAnsi="仿宋_GB2312" w:eastAsia="仿宋_GB2312" w:cs="仿宋_GB2312"/>
          <w:color w:val="auto"/>
          <w:sz w:val="24"/>
          <w:szCs w:val="24"/>
          <w:highlight w:val="none"/>
        </w:rPr>
        <w:t>货物或</w:t>
      </w:r>
      <w:r>
        <w:rPr>
          <w:rFonts w:hint="eastAsia" w:ascii="仿宋_GB2312" w:hAnsi="仿宋_GB2312" w:eastAsia="仿宋_GB2312" w:cs="仿宋_GB2312"/>
          <w:color w:val="auto"/>
          <w:sz w:val="24"/>
          <w:szCs w:val="24"/>
          <w:highlight w:val="none"/>
          <w:lang w:eastAsia="zh-TW"/>
        </w:rPr>
        <w:t>服务与竞争性磋商文件的要求相一致的文件，可以是文字资料、图纸和数据，它包括：</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货物主要技术指标和性能的详细说明</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eastAsia="zh-TW"/>
        </w:rPr>
        <w:t>主要</w:t>
      </w:r>
      <w:r>
        <w:rPr>
          <w:rFonts w:hint="eastAsia" w:ascii="仿宋_GB2312" w:hAnsi="仿宋_GB2312" w:eastAsia="仿宋_GB2312" w:cs="仿宋_GB2312"/>
          <w:color w:val="auto"/>
          <w:sz w:val="24"/>
          <w:szCs w:val="24"/>
          <w:highlight w:val="none"/>
        </w:rPr>
        <w:t>内容、方案、质量、标准</w:t>
      </w:r>
      <w:r>
        <w:rPr>
          <w:rFonts w:hint="eastAsia" w:ascii="仿宋_GB2312" w:hAnsi="仿宋_GB2312" w:eastAsia="仿宋_GB2312" w:cs="仿宋_GB2312"/>
          <w:color w:val="auto"/>
          <w:sz w:val="24"/>
          <w:szCs w:val="24"/>
          <w:highlight w:val="none"/>
          <w:lang w:eastAsia="zh-TW"/>
        </w:rPr>
        <w:t>指标</w:t>
      </w:r>
      <w:r>
        <w:rPr>
          <w:rFonts w:hint="eastAsia" w:ascii="仿宋_GB2312" w:hAnsi="仿宋_GB2312" w:eastAsia="仿宋_GB2312" w:cs="仿宋_GB2312"/>
          <w:color w:val="auto"/>
          <w:sz w:val="24"/>
          <w:szCs w:val="24"/>
          <w:highlight w:val="none"/>
        </w:rPr>
        <w:t>等</w:t>
      </w:r>
      <w:r>
        <w:rPr>
          <w:rFonts w:hint="eastAsia" w:ascii="仿宋_GB2312" w:hAnsi="仿宋_GB2312" w:eastAsia="仿宋_GB2312" w:cs="仿宋_GB2312"/>
          <w:color w:val="auto"/>
          <w:sz w:val="24"/>
          <w:szCs w:val="24"/>
          <w:highlight w:val="none"/>
          <w:lang w:eastAsia="zh-TW"/>
        </w:rPr>
        <w:t>的详细说明</w:t>
      </w:r>
      <w:r>
        <w:rPr>
          <w:rFonts w:hint="eastAsia" w:ascii="仿宋_GB2312" w:hAnsi="仿宋_GB2312" w:eastAsia="仿宋_GB2312" w:cs="仿宋_GB2312"/>
          <w:color w:val="auto"/>
          <w:sz w:val="24"/>
          <w:szCs w:val="24"/>
          <w:highlight w:val="none"/>
        </w:rPr>
        <w:t>；</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货物正常使用所必须的备件和专用工具清单</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包括备件和专用工具的货源及现行价格</w:t>
      </w:r>
      <w:r>
        <w:rPr>
          <w:rFonts w:hint="eastAsia" w:ascii="仿宋_GB2312" w:hAnsi="仿宋_GB2312" w:eastAsia="仿宋_GB2312" w:cs="仿宋_GB2312"/>
          <w:color w:val="auto"/>
          <w:sz w:val="24"/>
          <w:szCs w:val="24"/>
          <w:highlight w:val="none"/>
        </w:rPr>
        <w:t>；（适用货物类项目）</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对照竞争性磋商文件</w:t>
      </w:r>
      <w:r>
        <w:rPr>
          <w:rFonts w:hint="eastAsia" w:ascii="仿宋_GB2312" w:hAnsi="仿宋_GB2312" w:eastAsia="仿宋_GB2312" w:cs="仿宋_GB2312"/>
          <w:color w:val="auto"/>
          <w:sz w:val="24"/>
          <w:szCs w:val="24"/>
          <w:highlight w:val="none"/>
        </w:rPr>
        <w:t>货物或服务内容与要求</w:t>
      </w:r>
      <w:r>
        <w:rPr>
          <w:rFonts w:hint="eastAsia" w:ascii="仿宋_GB2312" w:hAnsi="仿宋_GB2312" w:eastAsia="仿宋_GB2312" w:cs="仿宋_GB2312"/>
          <w:color w:val="auto"/>
          <w:sz w:val="24"/>
          <w:szCs w:val="24"/>
          <w:highlight w:val="none"/>
          <w:lang w:eastAsia="zh-TW"/>
        </w:rPr>
        <w:t>，逐条说明所提供</w:t>
      </w:r>
      <w:r>
        <w:rPr>
          <w:rFonts w:hint="eastAsia" w:ascii="仿宋_GB2312" w:hAnsi="仿宋_GB2312" w:eastAsia="仿宋_GB2312" w:cs="仿宋_GB2312"/>
          <w:color w:val="auto"/>
          <w:sz w:val="24"/>
          <w:szCs w:val="24"/>
          <w:highlight w:val="none"/>
        </w:rPr>
        <w:t>货物或</w:t>
      </w:r>
      <w:r>
        <w:rPr>
          <w:rFonts w:hint="eastAsia" w:ascii="仿宋_GB2312" w:hAnsi="仿宋_GB2312" w:eastAsia="仿宋_GB2312" w:cs="仿宋_GB2312"/>
          <w:color w:val="auto"/>
          <w:sz w:val="24"/>
          <w:szCs w:val="24"/>
          <w:highlight w:val="none"/>
          <w:lang w:eastAsia="zh-TW"/>
        </w:rPr>
        <w:t>服务已对竞争性磋商文件的</w:t>
      </w:r>
      <w:r>
        <w:rPr>
          <w:rFonts w:hint="eastAsia" w:ascii="仿宋_GB2312" w:hAnsi="仿宋_GB2312" w:eastAsia="仿宋_GB2312" w:cs="仿宋_GB2312"/>
          <w:color w:val="auto"/>
          <w:sz w:val="24"/>
          <w:szCs w:val="24"/>
          <w:highlight w:val="none"/>
        </w:rPr>
        <w:t>采购内容与要求</w:t>
      </w:r>
      <w:r>
        <w:rPr>
          <w:rFonts w:hint="eastAsia" w:ascii="仿宋_GB2312" w:hAnsi="仿宋_GB2312" w:eastAsia="仿宋_GB2312" w:cs="仿宋_GB2312"/>
          <w:color w:val="auto"/>
          <w:sz w:val="24"/>
          <w:szCs w:val="24"/>
          <w:highlight w:val="none"/>
          <w:lang w:eastAsia="zh-TW"/>
        </w:rPr>
        <w:t>作出了实质性的响应</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并申明与</w:t>
      </w:r>
      <w:r>
        <w:rPr>
          <w:rFonts w:hint="eastAsia" w:ascii="仿宋_GB2312" w:hAnsi="仿宋_GB2312" w:eastAsia="仿宋_GB2312" w:cs="仿宋_GB2312"/>
          <w:color w:val="auto"/>
          <w:sz w:val="24"/>
          <w:szCs w:val="24"/>
          <w:highlight w:val="none"/>
        </w:rPr>
        <w:t>采购内容与要求</w:t>
      </w:r>
      <w:r>
        <w:rPr>
          <w:rFonts w:hint="eastAsia" w:ascii="仿宋_GB2312" w:hAnsi="仿宋_GB2312" w:eastAsia="仿宋_GB2312" w:cs="仿宋_GB2312"/>
          <w:color w:val="auto"/>
          <w:sz w:val="24"/>
          <w:szCs w:val="24"/>
          <w:highlight w:val="none"/>
          <w:lang w:eastAsia="zh-TW"/>
        </w:rPr>
        <w:t>条文的偏差和例外。特别对有具体参数要求的指标</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须提供所投</w:t>
      </w:r>
      <w:r>
        <w:rPr>
          <w:rFonts w:hint="eastAsia" w:ascii="仿宋_GB2312" w:hAnsi="仿宋_GB2312" w:eastAsia="仿宋_GB2312" w:cs="仿宋_GB2312"/>
          <w:color w:val="auto"/>
          <w:sz w:val="24"/>
          <w:szCs w:val="24"/>
          <w:highlight w:val="none"/>
        </w:rPr>
        <w:t>服务</w:t>
      </w:r>
      <w:r>
        <w:rPr>
          <w:rFonts w:hint="eastAsia" w:ascii="仿宋_GB2312" w:hAnsi="仿宋_GB2312" w:eastAsia="仿宋_GB2312" w:cs="仿宋_GB2312"/>
          <w:color w:val="auto"/>
          <w:sz w:val="24"/>
          <w:szCs w:val="24"/>
          <w:highlight w:val="none"/>
          <w:lang w:eastAsia="zh-TW"/>
        </w:rPr>
        <w:t>的具体参数值。</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在阐述</w:t>
      </w:r>
      <w:r>
        <w:rPr>
          <w:rFonts w:hint="eastAsia" w:ascii="仿宋_GB2312" w:hAnsi="仿宋_GB2312" w:eastAsia="仿宋_GB2312" w:cs="仿宋_GB2312"/>
          <w:color w:val="auto"/>
          <w:sz w:val="24"/>
          <w:szCs w:val="24"/>
          <w:highlight w:val="none"/>
          <w:lang w:eastAsia="zh-TW"/>
        </w:rPr>
        <w:t>时应注意竞争性磋商文件的</w:t>
      </w:r>
      <w:r>
        <w:rPr>
          <w:rFonts w:hint="eastAsia" w:ascii="仿宋_GB2312" w:hAnsi="仿宋_GB2312" w:eastAsia="仿宋_GB2312" w:cs="仿宋_GB2312"/>
          <w:color w:val="auto"/>
          <w:sz w:val="24"/>
          <w:szCs w:val="24"/>
          <w:highlight w:val="none"/>
        </w:rPr>
        <w:t>采购内容、要求和</w:t>
      </w:r>
      <w:r>
        <w:rPr>
          <w:rFonts w:hint="eastAsia" w:ascii="仿宋_GB2312" w:hAnsi="仿宋_GB2312" w:eastAsia="仿宋_GB2312" w:cs="仿宋_GB2312"/>
          <w:color w:val="auto"/>
          <w:sz w:val="24"/>
          <w:szCs w:val="24"/>
          <w:highlight w:val="none"/>
          <w:lang w:eastAsia="zh-TW"/>
        </w:rPr>
        <w:t>标准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在磋商中要实质上满足或</w:t>
      </w:r>
      <w:r>
        <w:rPr>
          <w:rFonts w:hint="eastAsia" w:ascii="仿宋_GB2312" w:hAnsi="仿宋_GB2312" w:eastAsia="仿宋_GB2312" w:cs="仿宋_GB2312"/>
          <w:color w:val="auto"/>
          <w:sz w:val="24"/>
          <w:szCs w:val="24"/>
          <w:highlight w:val="none"/>
        </w:rPr>
        <w:t>优于</w:t>
      </w:r>
      <w:r>
        <w:rPr>
          <w:rFonts w:hint="eastAsia" w:ascii="仿宋_GB2312" w:hAnsi="仿宋_GB2312" w:eastAsia="仿宋_GB2312" w:cs="仿宋_GB2312"/>
          <w:color w:val="auto"/>
          <w:sz w:val="24"/>
          <w:szCs w:val="24"/>
          <w:highlight w:val="none"/>
          <w:lang w:eastAsia="zh-TW"/>
        </w:rPr>
        <w:t>竞争性磋商文件的要求。</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85" w:name="_Toc416771339"/>
      <w:bookmarkStart w:id="86" w:name="_Toc416770229"/>
      <w:r>
        <w:rPr>
          <w:rFonts w:hint="eastAsia" w:ascii="仿宋_GB2312" w:hAnsi="仿宋_GB2312" w:eastAsia="仿宋_GB2312" w:cs="仿宋_GB2312"/>
          <w:b/>
          <w:bCs/>
          <w:color w:val="auto"/>
          <w:sz w:val="24"/>
          <w:szCs w:val="24"/>
          <w:highlight w:val="none"/>
        </w:rPr>
        <w:t>磋商保证金</w:t>
      </w:r>
      <w:bookmarkEnd w:id="85"/>
      <w:bookmarkEnd w:id="86"/>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应按</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中规定的金额、期限缴纳磋商保证金，</w:t>
      </w:r>
      <w:r>
        <w:rPr>
          <w:rFonts w:hint="eastAsia" w:ascii="仿宋_GB2312" w:hAnsi="仿宋_GB2312" w:eastAsia="仿宋_GB2312" w:cs="仿宋_GB2312"/>
          <w:color w:val="auto"/>
          <w:sz w:val="24"/>
          <w:szCs w:val="24"/>
          <w:highlight w:val="none"/>
          <w:lang w:eastAsia="zh-TW"/>
        </w:rPr>
        <w:t>并作为其</w:t>
      </w:r>
      <w:r>
        <w:rPr>
          <w:rFonts w:hint="eastAsia" w:ascii="仿宋_GB2312" w:hAnsi="仿宋_GB2312" w:eastAsia="仿宋_GB2312" w:cs="仿宋_GB2312"/>
          <w:color w:val="auto"/>
          <w:sz w:val="24"/>
          <w:szCs w:val="24"/>
          <w:highlight w:val="none"/>
        </w:rPr>
        <w:t>响应文件的组成</w:t>
      </w:r>
      <w:r>
        <w:rPr>
          <w:rFonts w:hint="eastAsia" w:ascii="仿宋_GB2312" w:hAnsi="仿宋_GB2312" w:eastAsia="仿宋_GB2312" w:cs="仿宋_GB2312"/>
          <w:color w:val="auto"/>
          <w:sz w:val="24"/>
          <w:szCs w:val="24"/>
          <w:highlight w:val="none"/>
          <w:lang w:eastAsia="zh-TW"/>
        </w:rPr>
        <w:t>部分。</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如无质疑或投诉</w:t>
      </w:r>
      <w:r>
        <w:rPr>
          <w:rFonts w:hint="eastAsia" w:ascii="仿宋_GB2312" w:hAnsi="仿宋_GB2312" w:eastAsia="仿宋_GB2312" w:cs="仿宋_GB2312"/>
          <w:color w:val="auto"/>
          <w:sz w:val="24"/>
          <w:szCs w:val="24"/>
          <w:highlight w:val="none"/>
          <w:lang w:eastAsia="zh-TW"/>
        </w:rPr>
        <w:t>，未成交的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保证金，在成交通知书发出后五个工作日内不计利息原额退还；如有质疑或投诉，</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将在质疑和投诉处理完毕后不计利息原额退还</w:t>
      </w:r>
      <w:r>
        <w:rPr>
          <w:rFonts w:hint="eastAsia" w:ascii="仿宋_GB2312" w:hAnsi="仿宋_GB2312" w:eastAsia="仿宋_GB2312" w:cs="仿宋_GB2312"/>
          <w:color w:val="auto"/>
          <w:sz w:val="24"/>
          <w:szCs w:val="24"/>
          <w:highlight w:val="none"/>
        </w:rPr>
        <w:t>，因供应商自身原因导致无法及时退还的除外</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的磋商保证金，</w:t>
      </w:r>
      <w:r>
        <w:rPr>
          <w:rFonts w:hint="eastAsia" w:ascii="仿宋_GB2312" w:hAnsi="仿宋_GB2312" w:eastAsia="仿宋_GB2312" w:cs="仿宋_GB2312"/>
          <w:color w:val="auto"/>
          <w:sz w:val="24"/>
          <w:szCs w:val="24"/>
          <w:highlight w:val="none"/>
          <w:lang w:eastAsia="zh-TW"/>
        </w:rPr>
        <w:t>在</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与采购人签订采购合同后五个工作日内不计利息原额退还</w:t>
      </w:r>
      <w:r>
        <w:rPr>
          <w:rFonts w:hint="eastAsia" w:ascii="仿宋_GB2312" w:hAnsi="仿宋_GB2312" w:eastAsia="仿宋_GB2312" w:cs="仿宋_GB2312"/>
          <w:color w:val="auto"/>
          <w:sz w:val="24"/>
          <w:szCs w:val="24"/>
          <w:highlight w:val="none"/>
        </w:rPr>
        <w:t>，因供应商自身原因导致无法及时退还的除外</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有下列情形之一的，磋商保证金不予退还：</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供应商在提交响应文件截止时间后撤回响应文件的；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供应商在响应文件中提供虚假材料的；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除因不可抗力或竞争性磋商文件认可的情形以外，</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不与采购人签订合同的；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供应商与采购人、其他供应商或者采购代理机构恶意串通的；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未按本须知规定缴纳</w:t>
      </w:r>
      <w:r>
        <w:rPr>
          <w:rFonts w:hint="eastAsia" w:ascii="仿宋_GB2312" w:hAnsi="仿宋_GB2312" w:eastAsia="仿宋_GB2312" w:cs="仿宋_GB2312"/>
          <w:color w:val="auto"/>
          <w:sz w:val="24"/>
          <w:szCs w:val="24"/>
          <w:highlight w:val="none"/>
          <w:lang w:eastAsia="zh-CN"/>
        </w:rPr>
        <w:t>代理服务费</w:t>
      </w:r>
      <w:r>
        <w:rPr>
          <w:rFonts w:hint="eastAsia" w:ascii="仿宋_GB2312" w:hAnsi="仿宋_GB2312" w:eastAsia="仿宋_GB2312" w:cs="仿宋_GB2312"/>
          <w:color w:val="auto"/>
          <w:sz w:val="24"/>
          <w:szCs w:val="24"/>
          <w:highlight w:val="none"/>
        </w:rPr>
        <w:t>；</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依法取消成交资格；</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将成交项目转让给他人，或者在竞争性磋商文件中未说明，且未经采购人同意，违反竞争性磋商文件规定，将成交项目分包给他人的；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竞争性磋商文件规定的其他情形。</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87" w:name="_Toc410736153"/>
      <w:bookmarkStart w:id="88" w:name="_Toc416770230"/>
      <w:bookmarkStart w:id="89" w:name="_Toc410738953"/>
      <w:bookmarkStart w:id="90" w:name="_Toc416771340"/>
      <w:r>
        <w:rPr>
          <w:rFonts w:hint="eastAsia" w:ascii="仿宋_GB2312" w:hAnsi="仿宋_GB2312" w:eastAsia="仿宋_GB2312" w:cs="仿宋_GB2312"/>
          <w:b/>
          <w:bCs/>
          <w:color w:val="auto"/>
          <w:sz w:val="24"/>
          <w:szCs w:val="24"/>
          <w:highlight w:val="none"/>
        </w:rPr>
        <w:t>磋商有效期</w:t>
      </w:r>
      <w:bookmarkEnd w:id="87"/>
      <w:bookmarkEnd w:id="88"/>
      <w:bookmarkEnd w:id="89"/>
      <w:bookmarkEnd w:id="9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磋商应自</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中规定的响应文件递交截止时间起，</w:t>
      </w:r>
      <w:r>
        <w:rPr>
          <w:rFonts w:hint="eastAsia" w:ascii="仿宋_GB2312" w:hAnsi="仿宋_GB2312" w:eastAsia="仿宋_GB2312" w:cs="仿宋_GB2312"/>
          <w:color w:val="auto"/>
          <w:sz w:val="24"/>
          <w:szCs w:val="24"/>
          <w:highlight w:val="none"/>
          <w:lang w:eastAsia="zh-TW"/>
        </w:rPr>
        <w:t>并在</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中所述期限内保持有效。磋商有效期不足的磋商将被视为非实质性响应</w:t>
      </w:r>
      <w:r>
        <w:rPr>
          <w:rFonts w:hint="eastAsia" w:ascii="仿宋_GB2312" w:hAnsi="仿宋_GB2312" w:eastAsia="仿宋_GB2312" w:cs="仿宋_GB2312"/>
          <w:color w:val="auto"/>
          <w:sz w:val="24"/>
          <w:szCs w:val="24"/>
          <w:highlight w:val="none"/>
        </w:rPr>
        <w:t>，视为无效响应</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特殊情况下</w:t>
      </w:r>
      <w:r>
        <w:rPr>
          <w:rFonts w:hint="eastAsia" w:ascii="仿宋_GB2312" w:hAnsi="仿宋_GB2312" w:eastAsia="仿宋_GB2312" w:cs="仿宋_GB2312"/>
          <w:color w:val="auto"/>
          <w:sz w:val="24"/>
          <w:szCs w:val="24"/>
          <w:highlight w:val="none"/>
        </w:rPr>
        <w:t>，在原磋商有效期截止之前，</w:t>
      </w:r>
      <w:r>
        <w:rPr>
          <w:rFonts w:hint="eastAsia" w:ascii="仿宋_GB2312" w:hAnsi="仿宋_GB2312" w:eastAsia="仿宋_GB2312" w:cs="仿宋_GB2312"/>
          <w:color w:val="auto"/>
          <w:sz w:val="24"/>
          <w:szCs w:val="24"/>
          <w:highlight w:val="none"/>
          <w:lang w:eastAsia="zh-TW"/>
        </w:rPr>
        <w:t>采购代理机构可要求</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延长磋商有效期。这种要求与答复均应以书面形式提交。</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可拒绝采购代理机构的这种要求</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其</w:t>
      </w:r>
      <w:r>
        <w:rPr>
          <w:rFonts w:hint="eastAsia" w:ascii="仿宋_GB2312" w:hAnsi="仿宋_GB2312" w:eastAsia="仿宋_GB2312" w:cs="仿宋_GB2312"/>
          <w:color w:val="auto"/>
          <w:sz w:val="24"/>
          <w:szCs w:val="24"/>
          <w:highlight w:val="none"/>
        </w:rPr>
        <w:t>磋商保证金</w:t>
      </w:r>
      <w:r>
        <w:rPr>
          <w:rFonts w:hint="eastAsia" w:ascii="仿宋_GB2312" w:hAnsi="仿宋_GB2312" w:eastAsia="仿宋_GB2312" w:cs="仿宋_GB2312"/>
          <w:color w:val="auto"/>
          <w:sz w:val="24"/>
          <w:szCs w:val="24"/>
          <w:highlight w:val="none"/>
          <w:lang w:eastAsia="zh-TW"/>
        </w:rPr>
        <w:t>将</w:t>
      </w:r>
      <w:r>
        <w:rPr>
          <w:rFonts w:hint="eastAsia" w:ascii="仿宋_GB2312" w:hAnsi="仿宋_GB2312" w:eastAsia="仿宋_GB2312" w:cs="仿宋_GB2312"/>
          <w:color w:val="auto"/>
          <w:sz w:val="24"/>
          <w:szCs w:val="24"/>
          <w:highlight w:val="none"/>
        </w:rPr>
        <w:t>予以退还，</w:t>
      </w:r>
      <w:r>
        <w:rPr>
          <w:rFonts w:hint="eastAsia" w:ascii="仿宋_GB2312" w:hAnsi="仿宋_GB2312" w:eastAsia="仿宋_GB2312" w:cs="仿宋_GB2312"/>
          <w:color w:val="auto"/>
          <w:sz w:val="24"/>
          <w:szCs w:val="24"/>
          <w:highlight w:val="none"/>
          <w:lang w:eastAsia="zh-TW"/>
        </w:rPr>
        <w:t>但其磋商在原磋商有效期期满后将不再有效。同意延长磋商有效期的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将不会被要求和允许修正其磋商</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而只会被要求相应地延长其</w:t>
      </w:r>
      <w:r>
        <w:rPr>
          <w:rFonts w:hint="eastAsia" w:ascii="仿宋_GB2312" w:hAnsi="仿宋_GB2312" w:eastAsia="仿宋_GB2312" w:cs="仿宋_GB2312"/>
          <w:color w:val="auto"/>
          <w:sz w:val="24"/>
          <w:szCs w:val="24"/>
          <w:highlight w:val="none"/>
        </w:rPr>
        <w:t>磋商保证金</w:t>
      </w:r>
      <w:r>
        <w:rPr>
          <w:rFonts w:hint="eastAsia" w:ascii="仿宋_GB2312" w:hAnsi="仿宋_GB2312" w:eastAsia="仿宋_GB2312" w:cs="仿宋_GB2312"/>
          <w:color w:val="auto"/>
          <w:sz w:val="24"/>
          <w:szCs w:val="24"/>
          <w:highlight w:val="none"/>
          <w:lang w:eastAsia="zh-TW"/>
        </w:rPr>
        <w:t>的有效期。在这种情况下</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本须知有关</w:t>
      </w:r>
      <w:r>
        <w:rPr>
          <w:rFonts w:hint="eastAsia" w:ascii="仿宋_GB2312" w:hAnsi="仿宋_GB2312" w:eastAsia="仿宋_GB2312" w:cs="仿宋_GB2312"/>
          <w:color w:val="auto"/>
          <w:sz w:val="24"/>
          <w:szCs w:val="24"/>
          <w:highlight w:val="none"/>
        </w:rPr>
        <w:t>磋商保证金</w:t>
      </w:r>
      <w:r>
        <w:rPr>
          <w:rFonts w:hint="eastAsia" w:ascii="仿宋_GB2312" w:hAnsi="仿宋_GB2312" w:eastAsia="仿宋_GB2312" w:cs="仿宋_GB2312"/>
          <w:color w:val="auto"/>
          <w:sz w:val="24"/>
          <w:szCs w:val="24"/>
          <w:highlight w:val="none"/>
          <w:lang w:eastAsia="zh-TW"/>
        </w:rPr>
        <w:t>的退还和</w:t>
      </w:r>
      <w:r>
        <w:rPr>
          <w:rFonts w:hint="eastAsia" w:ascii="仿宋_GB2312" w:hAnsi="仿宋_GB2312" w:eastAsia="仿宋_GB2312" w:cs="仿宋_GB2312"/>
          <w:color w:val="auto"/>
          <w:sz w:val="24"/>
          <w:szCs w:val="24"/>
          <w:highlight w:val="none"/>
        </w:rPr>
        <w:t>不予退还</w:t>
      </w:r>
      <w:r>
        <w:rPr>
          <w:rFonts w:hint="eastAsia" w:ascii="仿宋_GB2312" w:hAnsi="仿宋_GB2312" w:eastAsia="仿宋_GB2312" w:cs="仿宋_GB2312"/>
          <w:color w:val="auto"/>
          <w:sz w:val="24"/>
          <w:szCs w:val="24"/>
          <w:highlight w:val="none"/>
          <w:lang w:eastAsia="zh-TW"/>
        </w:rPr>
        <w:t>的规定将在延长了的有效期内继续有效。</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91" w:name="_Toc410738954"/>
      <w:bookmarkStart w:id="92" w:name="_Toc410736154"/>
      <w:bookmarkStart w:id="93" w:name="_Toc416770231"/>
      <w:bookmarkStart w:id="94" w:name="_Toc416771341"/>
      <w:r>
        <w:rPr>
          <w:rFonts w:hint="eastAsia" w:ascii="仿宋_GB2312" w:hAnsi="仿宋_GB2312" w:eastAsia="仿宋_GB2312" w:cs="仿宋_GB2312"/>
          <w:b/>
          <w:bCs/>
          <w:color w:val="auto"/>
          <w:sz w:val="24"/>
          <w:szCs w:val="24"/>
          <w:highlight w:val="none"/>
        </w:rPr>
        <w:t>响应文件的式样和签署</w:t>
      </w:r>
      <w:bookmarkEnd w:id="91"/>
      <w:bookmarkEnd w:id="92"/>
      <w:bookmarkEnd w:id="93"/>
      <w:bookmarkEnd w:id="94"/>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应准备一份响应文件正本</w:t>
      </w:r>
      <w:r>
        <w:rPr>
          <w:rFonts w:hint="eastAsia" w:ascii="仿宋_GB2312" w:hAnsi="仿宋_GB2312" w:eastAsia="仿宋_GB2312" w:cs="仿宋_GB2312"/>
          <w:color w:val="auto"/>
          <w:sz w:val="24"/>
          <w:szCs w:val="24"/>
          <w:highlight w:val="none"/>
        </w:rPr>
        <w:t>、电子文件</w:t>
      </w:r>
      <w:r>
        <w:rPr>
          <w:rFonts w:hint="eastAsia" w:ascii="仿宋_GB2312" w:hAnsi="仿宋_GB2312" w:eastAsia="仿宋_GB2312" w:cs="仿宋_GB2312"/>
          <w:color w:val="auto"/>
          <w:sz w:val="24"/>
          <w:szCs w:val="24"/>
          <w:highlight w:val="none"/>
          <w:lang w:eastAsia="zh-TW"/>
        </w:rPr>
        <w:t>和</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中规定数目的副本</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响应文件的副本可采用正本的复印件。每套响应文件须清楚地标明“正本”或</w:t>
      </w:r>
      <w:r>
        <w:rPr>
          <w:rFonts w:hint="eastAsia" w:ascii="仿宋_GB2312" w:hAnsi="仿宋_GB2312" w:eastAsia="仿宋_GB2312" w:cs="仿宋_GB2312"/>
          <w:color w:val="auto"/>
          <w:sz w:val="24"/>
          <w:szCs w:val="24"/>
          <w:highlight w:val="none"/>
        </w:rPr>
        <w:t>“副</w:t>
      </w:r>
      <w:r>
        <w:rPr>
          <w:rFonts w:hint="eastAsia" w:ascii="仿宋_GB2312" w:hAnsi="仿宋_GB2312" w:eastAsia="仿宋_GB2312" w:cs="仿宋_GB2312"/>
          <w:color w:val="auto"/>
          <w:sz w:val="24"/>
          <w:szCs w:val="24"/>
          <w:highlight w:val="none"/>
          <w:lang w:eastAsia="zh-TW"/>
        </w:rPr>
        <w:t>本</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。若副本与正本不符</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以正本为准。</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响应文件</w:t>
      </w:r>
      <w:r>
        <w:rPr>
          <w:rFonts w:hint="eastAsia" w:ascii="仿宋_GB2312" w:hAnsi="仿宋_GB2312" w:eastAsia="仿宋_GB2312" w:cs="仿宋_GB2312"/>
          <w:color w:val="auto"/>
          <w:sz w:val="24"/>
          <w:szCs w:val="24"/>
          <w:highlight w:val="none"/>
        </w:rPr>
        <w:t>的签署</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响应文件的正本需打印或用不褪色墨水书写</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竞争性磋商文件</w:t>
      </w:r>
      <w:r>
        <w:rPr>
          <w:rFonts w:hint="eastAsia" w:ascii="仿宋_GB2312" w:hAnsi="仿宋_GB2312" w:eastAsia="仿宋_GB2312" w:cs="仿宋_GB2312"/>
          <w:color w:val="auto"/>
          <w:sz w:val="24"/>
          <w:szCs w:val="24"/>
          <w:highlight w:val="none"/>
        </w:rPr>
        <w:t>要求签名的</w:t>
      </w:r>
      <w:r>
        <w:rPr>
          <w:rFonts w:hint="eastAsia" w:ascii="仿宋_GB2312" w:hAnsi="仿宋_GB2312" w:eastAsia="仿宋_GB2312" w:cs="仿宋_GB2312"/>
          <w:color w:val="auto"/>
          <w:sz w:val="24"/>
          <w:szCs w:val="24"/>
          <w:highlight w:val="none"/>
          <w:lang w:eastAsia="zh-TW"/>
        </w:rPr>
        <w:t>由</w:t>
      </w:r>
      <w:r>
        <w:rPr>
          <w:rFonts w:hint="eastAsia" w:ascii="仿宋_GB2312" w:hAnsi="仿宋_GB2312" w:eastAsia="仿宋_GB2312" w:cs="仿宋_GB2312"/>
          <w:color w:val="auto"/>
          <w:sz w:val="24"/>
          <w:szCs w:val="24"/>
          <w:highlight w:val="none"/>
        </w:rPr>
        <w:t>法定</w:t>
      </w:r>
      <w:r>
        <w:rPr>
          <w:rFonts w:hint="eastAsia" w:ascii="仿宋_GB2312" w:hAnsi="仿宋_GB2312" w:eastAsia="仿宋_GB2312" w:cs="仿宋_GB2312"/>
          <w:color w:val="auto"/>
          <w:sz w:val="24"/>
          <w:szCs w:val="24"/>
          <w:highlight w:val="none"/>
          <w:lang w:eastAsia="zh-TW"/>
        </w:rPr>
        <w:t>代表人或经其正式授权的代表签</w:t>
      </w:r>
      <w:r>
        <w:rPr>
          <w:rFonts w:hint="eastAsia" w:ascii="仿宋_GB2312" w:hAnsi="仿宋_GB2312" w:eastAsia="仿宋_GB2312" w:cs="仿宋_GB2312"/>
          <w:color w:val="auto"/>
          <w:sz w:val="24"/>
          <w:szCs w:val="24"/>
          <w:highlight w:val="none"/>
        </w:rPr>
        <w:t>名或盖章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副本可以复印，与正本具有同等法律效力</w:t>
      </w:r>
      <w:r>
        <w:rPr>
          <w:rFonts w:hint="eastAsia" w:ascii="仿宋_GB2312" w:hAnsi="仿宋_GB2312" w:eastAsia="仿宋_GB2312" w:cs="仿宋_GB2312"/>
          <w:color w:val="auto"/>
          <w:sz w:val="24"/>
          <w:szCs w:val="24"/>
          <w:highlight w:val="none"/>
          <w:lang w:eastAsia="zh-TW"/>
        </w:rPr>
        <w:t>。授权代表须将以书面形式出具的《法定代表人授权</w:t>
      </w:r>
      <w:r>
        <w:rPr>
          <w:rFonts w:hint="eastAsia" w:ascii="仿宋_GB2312" w:hAnsi="仿宋_GB2312" w:eastAsia="仿宋_GB2312" w:cs="仿宋_GB2312"/>
          <w:color w:val="auto"/>
          <w:sz w:val="24"/>
          <w:szCs w:val="24"/>
          <w:highlight w:val="none"/>
        </w:rPr>
        <w:t>委托</w:t>
      </w:r>
      <w:r>
        <w:rPr>
          <w:rFonts w:hint="eastAsia" w:ascii="仿宋_GB2312" w:hAnsi="仿宋_GB2312" w:eastAsia="仿宋_GB2312" w:cs="仿宋_GB2312"/>
          <w:color w:val="auto"/>
          <w:sz w:val="24"/>
          <w:szCs w:val="24"/>
          <w:highlight w:val="none"/>
          <w:lang w:eastAsia="zh-TW"/>
        </w:rPr>
        <w:t>书》附在响应文件中。</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响应文件中的任何重要的插字、涂改和增删，必须由法定代表人或经其正式授权的代表在旁边签章或签字才有效。</w:t>
      </w:r>
    </w:p>
    <w:p>
      <w:pPr>
        <w:snapToGrid w:val="0"/>
        <w:spacing w:beforeLines="100" w:afterLines="100" w:line="360" w:lineRule="auto"/>
        <w:jc w:val="center"/>
        <w:outlineLvl w:val="0"/>
        <w:rPr>
          <w:rFonts w:hint="eastAsia" w:ascii="仿宋_GB2312" w:hAnsi="仿宋_GB2312" w:eastAsia="仿宋_GB2312" w:cs="仿宋_GB2312"/>
          <w:b/>
          <w:color w:val="auto"/>
          <w:sz w:val="30"/>
          <w:szCs w:val="30"/>
          <w:highlight w:val="none"/>
          <w:lang w:eastAsia="zh-TW"/>
        </w:rPr>
      </w:pPr>
      <w:bookmarkStart w:id="95" w:name="_Toc416770232"/>
      <w:bookmarkStart w:id="96" w:name="_Toc17881"/>
      <w:bookmarkStart w:id="97" w:name="_Toc410738955"/>
      <w:bookmarkStart w:id="98" w:name="_Toc410736155"/>
      <w:bookmarkStart w:id="99" w:name="_Toc416771342"/>
      <w:r>
        <w:rPr>
          <w:rFonts w:hint="eastAsia" w:ascii="仿宋_GB2312" w:hAnsi="仿宋_GB2312" w:eastAsia="仿宋_GB2312" w:cs="仿宋_GB2312"/>
          <w:b/>
          <w:color w:val="auto"/>
          <w:sz w:val="30"/>
          <w:szCs w:val="30"/>
          <w:highlight w:val="none"/>
          <w:lang w:eastAsia="zh-TW"/>
        </w:rPr>
        <w:t>四、响应文件的递交</w:t>
      </w:r>
      <w:bookmarkEnd w:id="95"/>
      <w:bookmarkEnd w:id="96"/>
      <w:bookmarkEnd w:id="97"/>
      <w:bookmarkEnd w:id="98"/>
      <w:bookmarkEnd w:id="99"/>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00" w:name="_Toc416770233"/>
      <w:bookmarkStart w:id="101" w:name="_Toc410736156"/>
      <w:bookmarkStart w:id="102" w:name="_Toc416771343"/>
      <w:bookmarkStart w:id="103" w:name="_Toc410738956"/>
      <w:r>
        <w:rPr>
          <w:rFonts w:hint="eastAsia" w:ascii="仿宋_GB2312" w:hAnsi="仿宋_GB2312" w:eastAsia="仿宋_GB2312" w:cs="仿宋_GB2312"/>
          <w:b/>
          <w:bCs/>
          <w:color w:val="auto"/>
          <w:sz w:val="24"/>
          <w:szCs w:val="24"/>
          <w:highlight w:val="none"/>
        </w:rPr>
        <w:t>响应文件的密封和标记</w:t>
      </w:r>
      <w:bookmarkEnd w:id="100"/>
      <w:bookmarkEnd w:id="101"/>
      <w:bookmarkEnd w:id="102"/>
      <w:bookmarkEnd w:id="103"/>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应单独提交一个密封信封，并在信封上标明“报价信封”的字样，</w:t>
      </w:r>
      <w:r>
        <w:rPr>
          <w:rFonts w:hint="eastAsia" w:ascii="仿宋_GB2312" w:hAnsi="仿宋_GB2312" w:eastAsia="仿宋_GB2312" w:cs="仿宋_GB2312"/>
          <w:b/>
          <w:color w:val="auto"/>
          <w:sz w:val="24"/>
          <w:szCs w:val="24"/>
          <w:highlight w:val="none"/>
        </w:rPr>
        <w:t>内容包括报价表（首次）、磋商保证金缴纳凭证、电子文件和退磋商保证金说明，</w:t>
      </w:r>
      <w:r>
        <w:rPr>
          <w:rFonts w:hint="eastAsia" w:ascii="仿宋_GB2312" w:hAnsi="仿宋_GB2312" w:eastAsia="仿宋_GB2312" w:cs="仿宋_GB2312"/>
          <w:color w:val="auto"/>
          <w:sz w:val="24"/>
          <w:szCs w:val="24"/>
          <w:highlight w:val="none"/>
        </w:rPr>
        <w:t>若本项目（或包组）接受联合体投标，则联合体投标，应将各方共同签署的《联合投标协议》和《投标联合体授权主体方协议书》一并提交。“报价信封”是响应文件的组成部分。</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响应文件</w:t>
      </w:r>
      <w:r>
        <w:rPr>
          <w:rFonts w:hint="eastAsia" w:ascii="仿宋_GB2312" w:hAnsi="仿宋_GB2312" w:eastAsia="仿宋_GB2312" w:cs="仿宋_GB2312"/>
          <w:color w:val="auto"/>
          <w:sz w:val="24"/>
          <w:szCs w:val="24"/>
          <w:highlight w:val="none"/>
        </w:rPr>
        <w:t>封装：</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清楚写明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名称和地址。</w:t>
      </w:r>
    </w:p>
    <w:p>
      <w:pPr>
        <w:widowControl w:val="0"/>
        <w:numPr>
          <w:ilvl w:val="2"/>
          <w:numId w:val="3"/>
        </w:numPr>
        <w:tabs>
          <w:tab w:val="left" w:pos="851"/>
          <w:tab w:val="clear" w:pos="720"/>
        </w:tabs>
        <w:autoSpaceDE w:val="0"/>
        <w:autoSpaceDN w:val="0"/>
        <w:adjustRightInd w:val="0"/>
        <w:snapToGrid w:val="0"/>
        <w:spacing w:line="360" w:lineRule="auto"/>
        <w:ind w:left="851" w:hanging="851"/>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注明磋商邀请中指明的项目名称</w:t>
      </w:r>
      <w:r>
        <w:rPr>
          <w:rFonts w:hint="eastAsia" w:ascii="仿宋_GB2312" w:hAnsi="仿宋_GB2312" w:eastAsia="仿宋_GB2312" w:cs="仿宋_GB2312"/>
          <w:color w:val="auto"/>
          <w:sz w:val="24"/>
          <w:szCs w:val="24"/>
          <w:highlight w:val="none"/>
          <w:lang w:eastAsia="zh-TW"/>
        </w:rPr>
        <w:t>、</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TW"/>
        </w:rPr>
        <w:t>编号</w:t>
      </w:r>
      <w:r>
        <w:rPr>
          <w:rFonts w:hint="eastAsia" w:ascii="仿宋_GB2312" w:hAnsi="仿宋_GB2312" w:eastAsia="仿宋_GB2312" w:cs="仿宋_GB2312"/>
          <w:color w:val="auto"/>
          <w:sz w:val="24"/>
          <w:szCs w:val="24"/>
          <w:highlight w:val="none"/>
        </w:rPr>
        <w:t>、包组号（如有）</w:t>
      </w:r>
      <w:r>
        <w:rPr>
          <w:rFonts w:hint="eastAsia" w:ascii="仿宋_GB2312" w:hAnsi="仿宋_GB2312" w:eastAsia="仿宋_GB2312" w:cs="仿宋_GB2312"/>
          <w:color w:val="auto"/>
          <w:sz w:val="24"/>
          <w:szCs w:val="24"/>
          <w:highlight w:val="none"/>
          <w:lang w:eastAsia="zh-TW"/>
        </w:rPr>
        <w:t>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TW"/>
        </w:rPr>
        <w:t>在</w:t>
      </w:r>
      <w:r>
        <w:rPr>
          <w:rFonts w:hint="eastAsia" w:ascii="仿宋_GB2312" w:hAnsi="仿宋_GB2312" w:eastAsia="仿宋_GB2312" w:cs="仿宋_GB2312"/>
          <w:color w:val="auto"/>
          <w:sz w:val="24"/>
          <w:szCs w:val="24"/>
          <w:highlight w:val="none"/>
        </w:rPr>
        <w:t>(竞争性磋商文件中规定的响应文件递交截止日期和时间)之前不得启封”的</w:t>
      </w:r>
      <w:r>
        <w:rPr>
          <w:rFonts w:hint="eastAsia" w:ascii="仿宋_GB2312" w:hAnsi="仿宋_GB2312" w:eastAsia="仿宋_GB2312" w:cs="仿宋_GB2312"/>
          <w:color w:val="auto"/>
          <w:sz w:val="24"/>
          <w:szCs w:val="24"/>
          <w:highlight w:val="none"/>
          <w:lang w:eastAsia="zh-TW"/>
        </w:rPr>
        <w:t>字样。</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如果未按本须知</w:t>
      </w:r>
      <w:r>
        <w:rPr>
          <w:rFonts w:hint="eastAsia" w:ascii="仿宋_GB2312" w:hAnsi="仿宋_GB2312" w:eastAsia="仿宋_GB2312" w:cs="仿宋_GB2312"/>
          <w:color w:val="auto"/>
          <w:sz w:val="24"/>
          <w:szCs w:val="24"/>
          <w:highlight w:val="none"/>
        </w:rPr>
        <w:t>上款</w:t>
      </w:r>
      <w:r>
        <w:rPr>
          <w:rFonts w:hint="eastAsia" w:ascii="仿宋_GB2312" w:hAnsi="仿宋_GB2312" w:eastAsia="仿宋_GB2312" w:cs="仿宋_GB2312"/>
          <w:color w:val="auto"/>
          <w:sz w:val="24"/>
          <w:szCs w:val="24"/>
          <w:highlight w:val="none"/>
          <w:lang w:eastAsia="zh-TW"/>
        </w:rPr>
        <w:t>要求加写标记和</w:t>
      </w:r>
      <w:r>
        <w:rPr>
          <w:rFonts w:hint="eastAsia" w:ascii="仿宋_GB2312" w:hAnsi="仿宋_GB2312" w:eastAsia="仿宋_GB2312" w:cs="仿宋_GB2312"/>
          <w:color w:val="auto"/>
          <w:sz w:val="24"/>
          <w:szCs w:val="24"/>
          <w:highlight w:val="none"/>
        </w:rPr>
        <w:t>密封，</w:t>
      </w:r>
      <w:r>
        <w:rPr>
          <w:rFonts w:hint="eastAsia" w:ascii="仿宋_GB2312" w:hAnsi="仿宋_GB2312" w:eastAsia="仿宋_GB2312" w:cs="仿宋_GB2312"/>
          <w:color w:val="auto"/>
          <w:sz w:val="24"/>
          <w:szCs w:val="24"/>
          <w:highlight w:val="none"/>
          <w:lang w:eastAsia="zh-TW"/>
        </w:rPr>
        <w:t>采购代理机构对误投或提前启封概不负责</w:t>
      </w:r>
      <w:r>
        <w:rPr>
          <w:rFonts w:hint="eastAsia" w:ascii="仿宋_GB2312" w:hAnsi="仿宋_GB2312" w:eastAsia="仿宋_GB2312" w:cs="仿宋_GB2312"/>
          <w:color w:val="auto"/>
          <w:sz w:val="24"/>
          <w:szCs w:val="24"/>
          <w:highlight w:val="none"/>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04" w:name="_Toc416771344"/>
      <w:bookmarkStart w:id="105" w:name="_Toc410736157"/>
      <w:bookmarkStart w:id="106" w:name="_Toc410738957"/>
      <w:bookmarkStart w:id="107" w:name="_Toc416770234"/>
      <w:r>
        <w:rPr>
          <w:rFonts w:hint="eastAsia" w:ascii="仿宋_GB2312" w:hAnsi="仿宋_GB2312" w:eastAsia="仿宋_GB2312" w:cs="仿宋_GB2312"/>
          <w:b/>
          <w:bCs/>
          <w:color w:val="auto"/>
          <w:sz w:val="24"/>
          <w:szCs w:val="24"/>
          <w:highlight w:val="none"/>
        </w:rPr>
        <w:t>响应文件递交截止期</w:t>
      </w:r>
      <w:bookmarkEnd w:id="104"/>
      <w:bookmarkEnd w:id="105"/>
      <w:bookmarkEnd w:id="106"/>
      <w:bookmarkEnd w:id="107"/>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应在</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lang w:eastAsia="zh-TW"/>
        </w:rPr>
        <w:t>中规定的截止日期和时间</w:t>
      </w:r>
      <w:r>
        <w:rPr>
          <w:rFonts w:hint="eastAsia" w:ascii="仿宋_GB2312" w:hAnsi="仿宋_GB2312" w:eastAsia="仿宋_GB2312" w:cs="仿宋_GB2312"/>
          <w:color w:val="auto"/>
          <w:sz w:val="24"/>
          <w:szCs w:val="24"/>
          <w:highlight w:val="none"/>
        </w:rPr>
        <w:t>前，</w:t>
      </w:r>
      <w:r>
        <w:rPr>
          <w:rFonts w:hint="eastAsia" w:ascii="仿宋_GB2312" w:hAnsi="仿宋_GB2312" w:eastAsia="仿宋_GB2312" w:cs="仿宋_GB2312"/>
          <w:color w:val="auto"/>
          <w:sz w:val="24"/>
          <w:szCs w:val="24"/>
          <w:highlight w:val="none"/>
          <w:lang w:eastAsia="zh-TW"/>
        </w:rPr>
        <w:t>将响应文件递交至</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中指明的</w:t>
      </w:r>
      <w:r>
        <w:rPr>
          <w:rFonts w:hint="eastAsia" w:ascii="仿宋_GB2312" w:hAnsi="仿宋_GB2312" w:eastAsia="仿宋_GB2312" w:cs="仿宋_GB2312"/>
          <w:color w:val="auto"/>
          <w:sz w:val="24"/>
          <w:szCs w:val="24"/>
          <w:highlight w:val="none"/>
        </w:rPr>
        <w:t>地点</w:t>
      </w:r>
      <w:r>
        <w:rPr>
          <w:rFonts w:hint="eastAsia" w:ascii="仿宋_GB2312" w:hAnsi="仿宋_GB2312" w:eastAsia="仿宋_GB2312" w:cs="仿宋_GB2312"/>
          <w:color w:val="auto"/>
          <w:sz w:val="24"/>
          <w:szCs w:val="24"/>
          <w:highlight w:val="none"/>
          <w:lang w:eastAsia="zh-TW"/>
        </w:rPr>
        <w:t>。</w:t>
      </w:r>
      <w:r>
        <w:rPr>
          <w:rFonts w:hint="eastAsia" w:ascii="仿宋_GB2312" w:hAnsi="仿宋_GB2312" w:eastAsia="仿宋_GB2312" w:cs="仿宋_GB2312"/>
          <w:color w:val="auto"/>
          <w:sz w:val="24"/>
          <w:szCs w:val="24"/>
          <w:highlight w:val="none"/>
        </w:rPr>
        <w:t>在截止时间后送达的响应文件为无效文件，</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或者磋商小组应当拒绝。</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08" w:name="_Toc410736158"/>
      <w:bookmarkStart w:id="109" w:name="_Toc410738958"/>
      <w:bookmarkStart w:id="110" w:name="_Toc416770235"/>
      <w:bookmarkStart w:id="111" w:name="_Toc416771345"/>
      <w:r>
        <w:rPr>
          <w:rFonts w:hint="eastAsia" w:ascii="仿宋_GB2312" w:hAnsi="仿宋_GB2312" w:eastAsia="仿宋_GB2312" w:cs="仿宋_GB2312"/>
          <w:b/>
          <w:bCs/>
          <w:color w:val="auto"/>
          <w:sz w:val="24"/>
          <w:szCs w:val="24"/>
          <w:highlight w:val="none"/>
        </w:rPr>
        <w:t>响应文件的修改和撤回</w:t>
      </w:r>
      <w:bookmarkEnd w:id="108"/>
      <w:bookmarkEnd w:id="109"/>
      <w:bookmarkEnd w:id="110"/>
      <w:bookmarkEnd w:id="111"/>
      <w:r>
        <w:rPr>
          <w:rFonts w:hint="eastAsia" w:ascii="仿宋_GB2312" w:hAnsi="仿宋_GB2312" w:eastAsia="仿宋_GB2312" w:cs="仿宋_GB2312"/>
          <w:b/>
          <w:bCs/>
          <w:color w:val="auto"/>
          <w:sz w:val="24"/>
          <w:szCs w:val="24"/>
          <w:highlight w:val="none"/>
        </w:rPr>
        <w:t>、撤销</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在响应文件</w:t>
      </w:r>
      <w:r>
        <w:rPr>
          <w:rFonts w:hint="eastAsia" w:ascii="仿宋_GB2312" w:hAnsi="仿宋_GB2312" w:eastAsia="仿宋_GB2312" w:cs="仿宋_GB2312"/>
          <w:color w:val="auto"/>
          <w:sz w:val="24"/>
          <w:szCs w:val="24"/>
          <w:highlight w:val="none"/>
        </w:rPr>
        <w:t>递交</w:t>
      </w:r>
      <w:r>
        <w:rPr>
          <w:rFonts w:hint="eastAsia" w:ascii="仿宋_GB2312" w:hAnsi="仿宋_GB2312" w:eastAsia="仿宋_GB2312" w:cs="仿宋_GB2312"/>
          <w:color w:val="auto"/>
          <w:sz w:val="24"/>
          <w:szCs w:val="24"/>
          <w:highlight w:val="none"/>
          <w:lang w:eastAsia="zh-TW"/>
        </w:rPr>
        <w:t>截止</w:t>
      </w:r>
      <w:r>
        <w:rPr>
          <w:rFonts w:hint="eastAsia" w:ascii="仿宋_GB2312" w:hAnsi="仿宋_GB2312" w:eastAsia="仿宋_GB2312" w:cs="仿宋_GB2312"/>
          <w:color w:val="auto"/>
          <w:sz w:val="24"/>
          <w:szCs w:val="24"/>
          <w:highlight w:val="none"/>
        </w:rPr>
        <w:t>时间</w:t>
      </w:r>
      <w:r>
        <w:rPr>
          <w:rFonts w:hint="eastAsia" w:ascii="仿宋_GB2312" w:hAnsi="仿宋_GB2312" w:eastAsia="仿宋_GB2312" w:cs="仿宋_GB2312"/>
          <w:color w:val="auto"/>
          <w:sz w:val="24"/>
          <w:szCs w:val="24"/>
          <w:highlight w:val="none"/>
          <w:lang w:eastAsia="zh-TW"/>
        </w:rPr>
        <w:t>前，可以对所递交的响应文件进行补充、修改或者撤回，并书面通知</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lang w:eastAsia="zh-TW"/>
        </w:rPr>
        <w:t>。补充、修改的内容应当按竞争性磋商文件要求签署、盖章，并作为响应文件的组成部分。</w:t>
      </w:r>
      <w:r>
        <w:rPr>
          <w:rFonts w:hint="eastAsia" w:ascii="仿宋_GB2312" w:hAnsi="仿宋_GB2312" w:eastAsia="仿宋_GB2312" w:cs="仿宋_GB2312"/>
          <w:color w:val="auto"/>
          <w:sz w:val="24"/>
          <w:szCs w:val="24"/>
          <w:highlight w:val="none"/>
        </w:rPr>
        <w:t>补充、修改的内容和响应文件不一致的，以补充、修改的内容为准。</w:t>
      </w:r>
      <w:r>
        <w:rPr>
          <w:rFonts w:hint="eastAsia" w:ascii="仿宋_GB2312" w:hAnsi="仿宋_GB2312" w:eastAsia="仿宋_GB2312" w:cs="仿宋_GB2312"/>
          <w:color w:val="auto"/>
          <w:sz w:val="24"/>
          <w:szCs w:val="24"/>
          <w:highlight w:val="none"/>
          <w:lang w:eastAsia="zh-TW"/>
        </w:rPr>
        <w:t>在响应文件</w:t>
      </w:r>
      <w:r>
        <w:rPr>
          <w:rFonts w:hint="eastAsia" w:ascii="仿宋_GB2312" w:hAnsi="仿宋_GB2312" w:eastAsia="仿宋_GB2312" w:cs="仿宋_GB2312"/>
          <w:color w:val="auto"/>
          <w:sz w:val="24"/>
          <w:szCs w:val="24"/>
          <w:highlight w:val="none"/>
        </w:rPr>
        <w:t>递交</w:t>
      </w:r>
      <w:r>
        <w:rPr>
          <w:rFonts w:hint="eastAsia" w:ascii="仿宋_GB2312" w:hAnsi="仿宋_GB2312" w:eastAsia="仿宋_GB2312" w:cs="仿宋_GB2312"/>
          <w:color w:val="auto"/>
          <w:sz w:val="24"/>
          <w:szCs w:val="24"/>
          <w:highlight w:val="none"/>
          <w:lang w:eastAsia="zh-TW"/>
        </w:rPr>
        <w:t>截止期时点之后，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不得对其响应文件做任何修改和补充。</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除</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提交最后报价之前根据磋商情况退出磋商的情形外，</w:t>
      </w:r>
      <w:r>
        <w:rPr>
          <w:rFonts w:hint="eastAsia" w:ascii="仿宋_GB2312" w:hAnsi="仿宋_GB2312" w:eastAsia="仿宋_GB2312" w:cs="仿宋_GB2312"/>
          <w:bCs/>
          <w:color w:val="auto"/>
          <w:sz w:val="24"/>
          <w:szCs w:val="24"/>
          <w:highlight w:val="none"/>
          <w:lang w:eastAsia="zh-CN"/>
        </w:rPr>
        <w:t>响应人</w:t>
      </w:r>
      <w:r>
        <w:rPr>
          <w:rFonts w:hint="eastAsia" w:ascii="仿宋_GB2312" w:hAnsi="仿宋_GB2312" w:eastAsia="仿宋_GB2312" w:cs="仿宋_GB2312"/>
          <w:bCs/>
          <w:color w:val="auto"/>
          <w:sz w:val="24"/>
          <w:szCs w:val="24"/>
          <w:highlight w:val="none"/>
        </w:rPr>
        <w:t>在</w:t>
      </w:r>
      <w:r>
        <w:rPr>
          <w:rFonts w:hint="eastAsia" w:ascii="仿宋_GB2312" w:hAnsi="仿宋_GB2312" w:eastAsia="仿宋_GB2312" w:cs="仿宋_GB2312"/>
          <w:bCs/>
          <w:color w:val="auto"/>
          <w:sz w:val="24"/>
          <w:szCs w:val="24"/>
          <w:highlight w:val="none"/>
          <w:lang w:val="en-US" w:eastAsia="zh-CN"/>
        </w:rPr>
        <w:t>递交响应文件</w:t>
      </w:r>
      <w:r>
        <w:rPr>
          <w:rFonts w:hint="eastAsia" w:ascii="仿宋_GB2312" w:hAnsi="仿宋_GB2312" w:eastAsia="仿宋_GB2312" w:cs="仿宋_GB2312"/>
          <w:bCs/>
          <w:color w:val="auto"/>
          <w:sz w:val="24"/>
          <w:szCs w:val="24"/>
          <w:highlight w:val="none"/>
        </w:rPr>
        <w:t>截止</w:t>
      </w:r>
      <w:r>
        <w:rPr>
          <w:rFonts w:hint="eastAsia" w:ascii="仿宋_GB2312" w:hAnsi="仿宋_GB2312" w:eastAsia="仿宋_GB2312" w:cs="仿宋_GB2312"/>
          <w:bCs/>
          <w:color w:val="auto"/>
          <w:sz w:val="24"/>
          <w:szCs w:val="24"/>
          <w:highlight w:val="none"/>
          <w:lang w:val="en-US" w:eastAsia="zh-CN"/>
        </w:rPr>
        <w:t>时间</w:t>
      </w:r>
      <w:r>
        <w:rPr>
          <w:rFonts w:hint="eastAsia" w:ascii="仿宋_GB2312" w:hAnsi="仿宋_GB2312" w:eastAsia="仿宋_GB2312" w:cs="仿宋_GB2312"/>
          <w:bCs/>
          <w:color w:val="auto"/>
          <w:sz w:val="24"/>
          <w:szCs w:val="24"/>
          <w:highlight w:val="none"/>
        </w:rPr>
        <w:t>后或在竞争性磋商文件中规定的磋商有效期内不可撤销其投标。否则，不予退还其磋商保证金。</w:t>
      </w:r>
    </w:p>
    <w:p>
      <w:pPr>
        <w:snapToGrid w:val="0"/>
        <w:spacing w:beforeLines="100" w:afterLines="100" w:line="360" w:lineRule="auto"/>
        <w:jc w:val="center"/>
        <w:outlineLvl w:val="0"/>
        <w:rPr>
          <w:rFonts w:hint="eastAsia" w:ascii="仿宋_GB2312" w:hAnsi="仿宋_GB2312" w:eastAsia="仿宋_GB2312" w:cs="仿宋_GB2312"/>
          <w:b/>
          <w:color w:val="auto"/>
          <w:sz w:val="24"/>
          <w:szCs w:val="24"/>
          <w:highlight w:val="none"/>
          <w:lang w:eastAsia="zh-TW"/>
        </w:rPr>
      </w:pPr>
      <w:bookmarkStart w:id="112" w:name="_Toc416770236"/>
      <w:bookmarkStart w:id="113" w:name="_Toc17192"/>
      <w:bookmarkStart w:id="114" w:name="_Toc410738959"/>
      <w:bookmarkStart w:id="115" w:name="_Toc416771346"/>
      <w:bookmarkStart w:id="116" w:name="_Toc410736159"/>
      <w:r>
        <w:rPr>
          <w:rFonts w:hint="eastAsia" w:ascii="仿宋_GB2312" w:hAnsi="仿宋_GB2312" w:eastAsia="仿宋_GB2312" w:cs="仿宋_GB2312"/>
          <w:b/>
          <w:color w:val="auto"/>
          <w:sz w:val="24"/>
          <w:szCs w:val="24"/>
          <w:highlight w:val="none"/>
          <w:lang w:eastAsia="zh-TW"/>
        </w:rPr>
        <w:t>五、竞争性磋商流程</w:t>
      </w:r>
      <w:bookmarkEnd w:id="112"/>
      <w:bookmarkEnd w:id="113"/>
      <w:bookmarkEnd w:id="114"/>
      <w:bookmarkEnd w:id="115"/>
      <w:bookmarkEnd w:id="116"/>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17" w:name="_Toc410736160"/>
      <w:bookmarkStart w:id="118" w:name="_Toc416771347"/>
      <w:bookmarkStart w:id="119" w:name="_Toc416770237"/>
      <w:bookmarkStart w:id="120" w:name="_Toc410738960"/>
      <w:r>
        <w:rPr>
          <w:rFonts w:hint="eastAsia" w:ascii="仿宋_GB2312" w:hAnsi="仿宋_GB2312" w:eastAsia="仿宋_GB2312" w:cs="仿宋_GB2312"/>
          <w:b/>
          <w:bCs/>
          <w:color w:val="auto"/>
          <w:sz w:val="24"/>
          <w:szCs w:val="24"/>
          <w:highlight w:val="none"/>
        </w:rPr>
        <w:t>响应文件的拆封</w:t>
      </w:r>
      <w:bookmarkEnd w:id="117"/>
      <w:bookmarkEnd w:id="118"/>
      <w:bookmarkEnd w:id="119"/>
      <w:bookmarkEnd w:id="12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采购代理机构在</w:t>
      </w:r>
      <w:r>
        <w:rPr>
          <w:rFonts w:hint="eastAsia" w:ascii="仿宋_GB2312" w:hAnsi="仿宋_GB2312" w:eastAsia="仿宋_GB2312" w:cs="仿宋_GB2312"/>
          <w:b/>
          <w:color w:val="auto"/>
          <w:sz w:val="24"/>
          <w:szCs w:val="24"/>
          <w:highlight w:val="none"/>
          <w:lang w:eastAsia="zh-TW"/>
        </w:rPr>
        <w:t>磋商邀请</w:t>
      </w:r>
      <w:r>
        <w:rPr>
          <w:rFonts w:hint="eastAsia" w:ascii="仿宋_GB2312" w:hAnsi="仿宋_GB2312" w:eastAsia="仿宋_GB2312" w:cs="仿宋_GB2312"/>
          <w:color w:val="auto"/>
          <w:sz w:val="24"/>
          <w:szCs w:val="24"/>
          <w:highlight w:val="none"/>
          <w:lang w:eastAsia="zh-TW"/>
        </w:rPr>
        <w:t>中规定的日期、时</w:t>
      </w:r>
      <w:r>
        <w:rPr>
          <w:rFonts w:hint="eastAsia" w:ascii="仿宋_GB2312" w:hAnsi="仿宋_GB2312" w:eastAsia="仿宋_GB2312" w:cs="仿宋_GB2312"/>
          <w:color w:val="auto"/>
          <w:sz w:val="24"/>
          <w:szCs w:val="24"/>
          <w:highlight w:val="none"/>
        </w:rPr>
        <w:t>间</w:t>
      </w:r>
      <w:r>
        <w:rPr>
          <w:rFonts w:hint="eastAsia" w:ascii="仿宋_GB2312" w:hAnsi="仿宋_GB2312" w:eastAsia="仿宋_GB2312" w:cs="仿宋_GB2312"/>
          <w:color w:val="auto"/>
          <w:sz w:val="24"/>
          <w:szCs w:val="24"/>
          <w:highlight w:val="none"/>
          <w:lang w:eastAsia="zh-TW"/>
        </w:rPr>
        <w:t>和地点组织</w:t>
      </w:r>
      <w:r>
        <w:rPr>
          <w:rFonts w:hint="eastAsia" w:ascii="仿宋_GB2312" w:hAnsi="仿宋_GB2312" w:eastAsia="仿宋_GB2312" w:cs="仿宋_GB2312"/>
          <w:color w:val="auto"/>
          <w:sz w:val="24"/>
          <w:szCs w:val="24"/>
          <w:highlight w:val="none"/>
        </w:rPr>
        <w:t>磋商</w:t>
      </w:r>
      <w:r>
        <w:rPr>
          <w:rFonts w:hint="eastAsia" w:ascii="仿宋_GB2312" w:hAnsi="仿宋_GB2312" w:eastAsia="仿宋_GB2312" w:cs="仿宋_GB2312"/>
          <w:color w:val="auto"/>
          <w:sz w:val="24"/>
          <w:szCs w:val="24"/>
          <w:highlight w:val="none"/>
          <w:lang w:eastAsia="zh-TW"/>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响应文件拆封在竞争性磋商文件规定的</w:t>
      </w:r>
      <w:r>
        <w:rPr>
          <w:rFonts w:hint="eastAsia" w:ascii="仿宋_GB2312" w:hAnsi="仿宋_GB2312" w:eastAsia="仿宋_GB2312" w:cs="仿宋_GB2312"/>
          <w:color w:val="auto"/>
          <w:sz w:val="24"/>
          <w:szCs w:val="24"/>
          <w:highlight w:val="none"/>
        </w:rPr>
        <w:t>开标</w:t>
      </w:r>
      <w:r>
        <w:rPr>
          <w:rFonts w:hint="eastAsia" w:ascii="仿宋_GB2312" w:hAnsi="仿宋_GB2312" w:eastAsia="仿宋_GB2312" w:cs="仿宋_GB2312"/>
          <w:color w:val="auto"/>
          <w:sz w:val="24"/>
          <w:szCs w:val="24"/>
          <w:highlight w:val="none"/>
          <w:lang w:eastAsia="zh-TW"/>
        </w:rPr>
        <w:t>时间进行，拆封地点为竞争性磋商文件中预先确定的</w:t>
      </w:r>
      <w:r>
        <w:rPr>
          <w:rFonts w:hint="eastAsia" w:ascii="仿宋_GB2312" w:hAnsi="仿宋_GB2312" w:eastAsia="仿宋_GB2312" w:cs="仿宋_GB2312"/>
          <w:color w:val="auto"/>
          <w:sz w:val="24"/>
          <w:szCs w:val="24"/>
          <w:highlight w:val="none"/>
        </w:rPr>
        <w:t>开标</w:t>
      </w:r>
      <w:r>
        <w:rPr>
          <w:rFonts w:hint="eastAsia" w:ascii="仿宋_GB2312" w:hAnsi="仿宋_GB2312" w:eastAsia="仿宋_GB2312" w:cs="仿宋_GB2312"/>
          <w:color w:val="auto"/>
          <w:sz w:val="24"/>
          <w:szCs w:val="24"/>
          <w:highlight w:val="none"/>
          <w:lang w:eastAsia="zh-TW"/>
        </w:rPr>
        <w:t>地点。</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响应文件递交</w:t>
      </w:r>
      <w:r>
        <w:rPr>
          <w:rFonts w:hint="eastAsia" w:ascii="仿宋_GB2312" w:hAnsi="仿宋_GB2312" w:eastAsia="仿宋_GB2312" w:cs="仿宋_GB2312"/>
          <w:color w:val="auto"/>
          <w:sz w:val="24"/>
          <w:szCs w:val="24"/>
          <w:highlight w:val="none"/>
          <w:lang w:eastAsia="zh-TW"/>
        </w:rPr>
        <w:t>截止时间后，由全体</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推选的代表就所有</w:t>
      </w:r>
      <w:r>
        <w:rPr>
          <w:rFonts w:hint="eastAsia" w:ascii="仿宋_GB2312" w:hAnsi="仿宋_GB2312" w:eastAsia="仿宋_GB2312" w:cs="仿宋_GB2312"/>
          <w:color w:val="auto"/>
          <w:sz w:val="24"/>
          <w:szCs w:val="24"/>
          <w:highlight w:val="none"/>
          <w:lang w:eastAsia="zh-TW"/>
        </w:rPr>
        <w:t>响应文件的密封情况进行检查。</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1" w:name="_Toc416770238"/>
      <w:bookmarkStart w:id="122" w:name="_Toc410738961"/>
      <w:bookmarkStart w:id="123" w:name="_Toc416771348"/>
      <w:bookmarkStart w:id="124" w:name="_Toc410736161"/>
      <w:r>
        <w:rPr>
          <w:rFonts w:hint="eastAsia" w:ascii="仿宋_GB2312" w:hAnsi="仿宋_GB2312" w:eastAsia="仿宋_GB2312" w:cs="仿宋_GB2312"/>
          <w:b/>
          <w:bCs/>
          <w:color w:val="auto"/>
          <w:sz w:val="24"/>
          <w:szCs w:val="24"/>
          <w:highlight w:val="none"/>
        </w:rPr>
        <w:t>磋商小组</w:t>
      </w:r>
      <w:bookmarkEnd w:id="121"/>
      <w:bookmarkEnd w:id="122"/>
      <w:bookmarkEnd w:id="123"/>
      <w:bookmarkEnd w:id="124"/>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w:t>
      </w:r>
      <w:r>
        <w:rPr>
          <w:rFonts w:hint="eastAsia" w:ascii="仿宋_GB2312" w:hAnsi="仿宋_GB2312" w:eastAsia="仿宋_GB2312" w:cs="仿宋_GB2312"/>
          <w:color w:val="auto"/>
          <w:sz w:val="24"/>
          <w:szCs w:val="24"/>
          <w:highlight w:val="none"/>
          <w:lang w:eastAsia="zh-TW"/>
        </w:rPr>
        <w:t>由依照采购法律、法规、规章、政策的规定，组建的</w:t>
      </w:r>
      <w:r>
        <w:rPr>
          <w:rFonts w:hint="eastAsia" w:ascii="仿宋_GB2312" w:hAnsi="仿宋_GB2312" w:eastAsia="仿宋_GB2312" w:cs="仿宋_GB2312"/>
          <w:color w:val="auto"/>
          <w:sz w:val="24"/>
          <w:szCs w:val="24"/>
          <w:highlight w:val="none"/>
        </w:rPr>
        <w:t>磋商小组</w:t>
      </w:r>
      <w:r>
        <w:rPr>
          <w:rFonts w:hint="eastAsia" w:ascii="仿宋_GB2312" w:hAnsi="仿宋_GB2312" w:eastAsia="仿宋_GB2312" w:cs="仿宋_GB2312"/>
          <w:color w:val="auto"/>
          <w:sz w:val="24"/>
          <w:szCs w:val="24"/>
          <w:highlight w:val="none"/>
          <w:lang w:eastAsia="zh-TW"/>
        </w:rPr>
        <w:t>负责。</w:t>
      </w:r>
      <w:r>
        <w:rPr>
          <w:rFonts w:hint="eastAsia" w:ascii="仿宋_GB2312" w:hAnsi="仿宋_GB2312" w:eastAsia="仿宋_GB2312" w:cs="仿宋_GB2312"/>
          <w:color w:val="auto"/>
          <w:sz w:val="24"/>
          <w:szCs w:val="24"/>
          <w:highlight w:val="none"/>
        </w:rPr>
        <w:t>磋商小组按采购规定由采购人</w:t>
      </w:r>
      <w:r>
        <w:rPr>
          <w:rFonts w:hint="eastAsia" w:ascii="仿宋_GB2312" w:hAnsi="仿宋_GB2312" w:eastAsia="仿宋_GB2312" w:cs="仿宋_GB2312"/>
          <w:color w:val="auto"/>
          <w:sz w:val="24"/>
          <w:szCs w:val="24"/>
          <w:highlight w:val="none"/>
          <w:lang w:eastAsia="zh-TW"/>
        </w:rPr>
        <w:t>代表和</w:t>
      </w:r>
      <w:r>
        <w:rPr>
          <w:rFonts w:hint="eastAsia" w:ascii="仿宋_GB2312" w:hAnsi="仿宋_GB2312" w:eastAsia="仿宋_GB2312" w:cs="仿宋_GB2312"/>
          <w:color w:val="auto"/>
          <w:sz w:val="24"/>
          <w:szCs w:val="24"/>
          <w:highlight w:val="none"/>
        </w:rPr>
        <w:t>相关专业</w:t>
      </w:r>
      <w:r>
        <w:rPr>
          <w:rFonts w:hint="eastAsia" w:ascii="仿宋_GB2312" w:hAnsi="仿宋_GB2312" w:eastAsia="仿宋_GB2312" w:cs="仿宋_GB2312"/>
          <w:color w:val="auto"/>
          <w:sz w:val="24"/>
          <w:szCs w:val="24"/>
          <w:highlight w:val="none"/>
          <w:lang w:eastAsia="zh-TW"/>
        </w:rPr>
        <w:t>的专家组成，采购人代表人数、专家人数构成将按照</w:t>
      </w:r>
      <w:r>
        <w:rPr>
          <w:rFonts w:hint="eastAsia" w:ascii="仿宋_GB2312" w:hAnsi="仿宋_GB2312" w:eastAsia="仿宋_GB2312" w:cs="仿宋_GB2312"/>
          <w:b/>
          <w:color w:val="auto"/>
          <w:sz w:val="24"/>
          <w:szCs w:val="24"/>
          <w:highlight w:val="none"/>
          <w:lang w:eastAsia="zh-TW"/>
        </w:rPr>
        <w:t>磋商资料表</w:t>
      </w:r>
      <w:r>
        <w:rPr>
          <w:rFonts w:hint="eastAsia" w:ascii="仿宋_GB2312" w:hAnsi="仿宋_GB2312" w:eastAsia="仿宋_GB2312" w:cs="仿宋_GB2312"/>
          <w:color w:val="auto"/>
          <w:sz w:val="24"/>
          <w:szCs w:val="24"/>
          <w:highlight w:val="none"/>
          <w:lang w:eastAsia="zh-TW"/>
        </w:rPr>
        <w:t>中确定。</w:t>
      </w:r>
      <w:r>
        <w:rPr>
          <w:rFonts w:hint="eastAsia" w:ascii="仿宋_GB2312" w:hAnsi="仿宋_GB2312" w:eastAsia="仿宋_GB2312" w:cs="仿宋_GB2312"/>
          <w:color w:val="auto"/>
          <w:sz w:val="24"/>
          <w:szCs w:val="24"/>
          <w:highlight w:val="none"/>
        </w:rPr>
        <w:t>磋商小组</w:t>
      </w:r>
      <w:r>
        <w:rPr>
          <w:rFonts w:hint="eastAsia" w:ascii="仿宋_GB2312" w:hAnsi="仿宋_GB2312" w:eastAsia="仿宋_GB2312" w:cs="仿宋_GB2312"/>
          <w:color w:val="auto"/>
          <w:sz w:val="24"/>
          <w:szCs w:val="24"/>
          <w:highlight w:val="none"/>
          <w:lang w:eastAsia="zh-TW"/>
        </w:rPr>
        <w:t>成员依法从采购</w:t>
      </w:r>
      <w:r>
        <w:rPr>
          <w:rFonts w:hint="eastAsia" w:ascii="仿宋_GB2312" w:hAnsi="仿宋_GB2312" w:eastAsia="仿宋_GB2312" w:cs="仿宋_GB2312"/>
          <w:color w:val="auto"/>
          <w:sz w:val="24"/>
          <w:szCs w:val="24"/>
          <w:highlight w:val="none"/>
        </w:rPr>
        <w:t>评审</w:t>
      </w:r>
      <w:r>
        <w:rPr>
          <w:rFonts w:hint="eastAsia" w:ascii="仿宋_GB2312" w:hAnsi="仿宋_GB2312" w:eastAsia="仿宋_GB2312" w:cs="仿宋_GB2312"/>
          <w:color w:val="auto"/>
          <w:sz w:val="24"/>
          <w:szCs w:val="24"/>
          <w:highlight w:val="none"/>
          <w:lang w:eastAsia="zh-TW"/>
        </w:rPr>
        <w:t>专家库中随机抽取。</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磋商小组名单在磋商结果确定前严格保密</w:t>
      </w:r>
      <w:r>
        <w:rPr>
          <w:rFonts w:hint="eastAsia" w:ascii="仿宋_GB2312" w:hAnsi="仿宋_GB2312" w:eastAsia="仿宋_GB2312" w:cs="仿宋_GB2312"/>
          <w:color w:val="auto"/>
          <w:sz w:val="24"/>
          <w:szCs w:val="24"/>
          <w:highlight w:val="none"/>
          <w:lang w:eastAsia="zh-TW"/>
        </w:rPr>
        <w:t>。</w:t>
      </w:r>
      <w:r>
        <w:rPr>
          <w:rFonts w:hint="eastAsia" w:ascii="仿宋_GB2312" w:hAnsi="仿宋_GB2312" w:eastAsia="仿宋_GB2312" w:cs="仿宋_GB2312"/>
          <w:color w:val="auto"/>
          <w:sz w:val="24"/>
          <w:szCs w:val="24"/>
          <w:highlight w:val="none"/>
        </w:rPr>
        <w:t>评审</w:t>
      </w:r>
      <w:r>
        <w:rPr>
          <w:rFonts w:hint="eastAsia" w:ascii="仿宋_GB2312" w:hAnsi="仿宋_GB2312" w:eastAsia="仿宋_GB2312" w:cs="仿宋_GB2312"/>
          <w:color w:val="auto"/>
          <w:sz w:val="24"/>
          <w:szCs w:val="24"/>
          <w:highlight w:val="none"/>
          <w:lang w:eastAsia="zh-TW"/>
        </w:rPr>
        <w:t>专家有下列情形之一的，受到邀请应主动提出回避，采购当事人也可以要求该</w:t>
      </w:r>
      <w:r>
        <w:rPr>
          <w:rFonts w:hint="eastAsia" w:ascii="仿宋_GB2312" w:hAnsi="仿宋_GB2312" w:eastAsia="仿宋_GB2312" w:cs="仿宋_GB2312"/>
          <w:color w:val="auto"/>
          <w:sz w:val="24"/>
          <w:szCs w:val="24"/>
          <w:highlight w:val="none"/>
        </w:rPr>
        <w:t>评审</w:t>
      </w:r>
      <w:r>
        <w:rPr>
          <w:rFonts w:hint="eastAsia" w:ascii="仿宋_GB2312" w:hAnsi="仿宋_GB2312" w:eastAsia="仿宋_GB2312" w:cs="仿宋_GB2312"/>
          <w:color w:val="auto"/>
          <w:sz w:val="24"/>
          <w:szCs w:val="24"/>
          <w:highlight w:val="none"/>
          <w:lang w:eastAsia="zh-TW"/>
        </w:rPr>
        <w:t>专家回避：</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磋商小组中，同一任职单位评审专家超过二名的；</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参与</w:t>
      </w:r>
      <w:r>
        <w:rPr>
          <w:rFonts w:hint="eastAsia" w:ascii="仿宋_GB2312" w:hAnsi="仿宋_GB2312" w:eastAsia="仿宋_GB2312" w:cs="仿宋_GB2312"/>
          <w:color w:val="auto"/>
          <w:sz w:val="24"/>
          <w:szCs w:val="24"/>
          <w:highlight w:val="none"/>
        </w:rPr>
        <w:t>竞争性磋商文件</w:t>
      </w:r>
      <w:r>
        <w:rPr>
          <w:rFonts w:hint="eastAsia" w:ascii="仿宋_GB2312" w:hAnsi="仿宋_GB2312" w:eastAsia="仿宋_GB2312" w:cs="仿宋_GB2312"/>
          <w:color w:val="auto"/>
          <w:sz w:val="24"/>
          <w:szCs w:val="24"/>
          <w:highlight w:val="none"/>
          <w:lang w:eastAsia="zh-TW"/>
        </w:rPr>
        <w:t>论证的；</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参加采购活动前3年内与供应商存在劳动关系；</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参加采购活动前3年内担任供应商的董事、监事；</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参加采购活动前3年内是供应商的控股股东或者实际控制人；</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与供应商的法定代表人或者负责人有夫妻、直系血亲、三代以内旁系血亲或者近姻亲关系；</w:t>
      </w:r>
    </w:p>
    <w:p>
      <w:pPr>
        <w:widowControl w:val="0"/>
        <w:numPr>
          <w:ilvl w:val="2"/>
          <w:numId w:val="3"/>
        </w:numPr>
        <w:tabs>
          <w:tab w:val="left" w:pos="851"/>
        </w:tabs>
        <w:autoSpaceDE w:val="0"/>
        <w:autoSpaceDN w:val="0"/>
        <w:adjustRightInd w:val="0"/>
        <w:snapToGrid w:val="0"/>
        <w:spacing w:line="360" w:lineRule="auto"/>
        <w:jc w:val="both"/>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与供应商有其他可能影响采购活动公平、公正进行的关系。</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5" w:name="_Toc416770239"/>
      <w:bookmarkStart w:id="126" w:name="_Toc416771349"/>
      <w:r>
        <w:rPr>
          <w:rFonts w:hint="eastAsia" w:ascii="仿宋_GB2312" w:hAnsi="仿宋_GB2312" w:eastAsia="仿宋_GB2312" w:cs="仿宋_GB2312"/>
          <w:b/>
          <w:bCs/>
          <w:color w:val="auto"/>
          <w:sz w:val="24"/>
          <w:szCs w:val="24"/>
          <w:highlight w:val="none"/>
        </w:rPr>
        <w:t>磋商过程</w:t>
      </w:r>
      <w:bookmarkEnd w:id="125"/>
      <w:bookmarkEnd w:id="126"/>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磋商小组应当对响应文件的有效性、完整性和响应程度进行评审。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格、符合性评审详见竞争性磋商文件第二章的《资格和符合性审查表》，未能通过资格和符合性审查被认定为无效响应，磋商小组应当现场告知有关供应商。只有全部满足《资格和符合性审查表》所列各项要求的投标才是有效投标，只要不满足资格和符合性条款中所列各项要求之一的，将被认定为无效投标。对投标有效性认定意见不一致的，磋商小组按照少数服从多数的原则确定。</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磋商小组所有成员应当集中与单一供应</w:t>
      </w:r>
      <w:r>
        <w:rPr>
          <w:rFonts w:hint="eastAsia" w:ascii="仿宋_GB2312" w:hAnsi="仿宋_GB2312" w:eastAsia="仿宋_GB2312" w:cs="仿宋_GB2312"/>
          <w:color w:val="auto"/>
          <w:sz w:val="24"/>
          <w:szCs w:val="24"/>
          <w:highlight w:val="none"/>
          <w:lang w:eastAsia="zh-TW"/>
        </w:rPr>
        <w:t>商（以</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签到顺序为准）</w:t>
      </w:r>
      <w:r>
        <w:rPr>
          <w:rFonts w:hint="eastAsia" w:ascii="仿宋_GB2312" w:hAnsi="仿宋_GB2312" w:eastAsia="仿宋_GB2312" w:cs="仿宋_GB2312"/>
          <w:color w:val="auto"/>
          <w:sz w:val="24"/>
          <w:szCs w:val="24"/>
          <w:highlight w:val="none"/>
        </w:rPr>
        <w:t>分别进行磋商，并给予所有参加磋商的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平等的磋商机会。</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实质性变动是竞争性磋商文件的有效组成部分，磋商小组应当及时以书面形式同时通知所有参加磋商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。供应商应当按照竞争性磋商文件的变动情况和磋商小组的要求重新提交响应文件，并由其法定代表人或授权代表签字或者加盖公章。</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在磋商中</w:t>
      </w:r>
      <w:r>
        <w:rPr>
          <w:rFonts w:hint="eastAsia" w:ascii="仿宋_GB2312" w:hAnsi="仿宋_GB2312" w:eastAsia="仿宋_GB2312" w:cs="仿宋_GB2312"/>
          <w:color w:val="auto"/>
          <w:sz w:val="24"/>
          <w:szCs w:val="24"/>
          <w:highlight w:val="none"/>
          <w:lang w:eastAsia="zh-TW"/>
        </w:rPr>
        <w:t>，磋商小组</w:t>
      </w:r>
      <w:r>
        <w:rPr>
          <w:rFonts w:hint="eastAsia" w:ascii="仿宋_GB2312" w:hAnsi="仿宋_GB2312" w:eastAsia="仿宋_GB2312" w:cs="仿宋_GB2312"/>
          <w:color w:val="auto"/>
          <w:sz w:val="24"/>
          <w:szCs w:val="24"/>
          <w:highlight w:val="none"/>
        </w:rPr>
        <w:t>及</w:t>
      </w:r>
      <w:r>
        <w:rPr>
          <w:rFonts w:hint="eastAsia" w:ascii="仿宋_GB2312" w:hAnsi="仿宋_GB2312" w:eastAsia="仿宋_GB2312" w:cs="仿宋_GB2312"/>
          <w:color w:val="auto"/>
          <w:sz w:val="24"/>
          <w:szCs w:val="24"/>
          <w:highlight w:val="none"/>
          <w:lang w:eastAsia="zh-TW"/>
        </w:rPr>
        <w:t>有关当事人应当严格遵守保密原则，任何人不得透露与磋商有关的</w:t>
      </w: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的技术</w:t>
      </w:r>
      <w:r>
        <w:rPr>
          <w:rFonts w:hint="eastAsia" w:ascii="仿宋_GB2312" w:hAnsi="仿宋_GB2312" w:eastAsia="仿宋_GB2312" w:cs="仿宋_GB2312"/>
          <w:color w:val="auto"/>
          <w:sz w:val="24"/>
          <w:szCs w:val="24"/>
          <w:highlight w:val="none"/>
        </w:rPr>
        <w:t>资料</w:t>
      </w:r>
      <w:r>
        <w:rPr>
          <w:rFonts w:hint="eastAsia" w:ascii="仿宋_GB2312" w:hAnsi="仿宋_GB2312" w:eastAsia="仿宋_GB2312" w:cs="仿宋_GB2312"/>
          <w:color w:val="auto"/>
          <w:sz w:val="24"/>
          <w:szCs w:val="24"/>
          <w:highlight w:val="none"/>
          <w:lang w:eastAsia="zh-TW"/>
        </w:rPr>
        <w:t>、价格和其他信息。</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竞争性磋商文件能够详细列明采购标的的技术、服务要求的，</w:t>
      </w:r>
      <w:r>
        <w:rPr>
          <w:rFonts w:hint="eastAsia" w:ascii="仿宋_GB2312" w:hAnsi="仿宋_GB2312" w:eastAsia="仿宋_GB2312" w:cs="仿宋_GB2312"/>
          <w:color w:val="auto"/>
          <w:sz w:val="24"/>
          <w:szCs w:val="24"/>
          <w:highlight w:val="none"/>
          <w:lang w:eastAsia="zh-TW"/>
        </w:rPr>
        <w:t>磋商结束后，</w:t>
      </w:r>
      <w:r>
        <w:rPr>
          <w:rFonts w:hint="eastAsia" w:ascii="仿宋_GB2312" w:hAnsi="仿宋_GB2312" w:eastAsia="仿宋_GB2312" w:cs="仿宋_GB2312"/>
          <w:color w:val="auto"/>
          <w:sz w:val="24"/>
          <w:szCs w:val="24"/>
          <w:highlight w:val="none"/>
        </w:rPr>
        <w:t>磋商小组要求</w:t>
      </w:r>
      <w:r>
        <w:rPr>
          <w:rFonts w:hint="eastAsia" w:ascii="仿宋_GB2312" w:hAnsi="仿宋_GB2312" w:eastAsia="仿宋_GB2312" w:cs="仿宋_GB2312"/>
          <w:color w:val="auto"/>
          <w:sz w:val="24"/>
          <w:szCs w:val="24"/>
          <w:highlight w:val="none"/>
          <w:lang w:eastAsia="zh-TW"/>
        </w:rPr>
        <w:t>所有作出实质性响应的有效供应商应在规定的时间内提交最</w:t>
      </w:r>
      <w:r>
        <w:rPr>
          <w:rFonts w:hint="eastAsia" w:ascii="仿宋_GB2312" w:hAnsi="仿宋_GB2312" w:eastAsia="仿宋_GB2312" w:cs="仿宋_GB2312"/>
          <w:color w:val="auto"/>
          <w:sz w:val="24"/>
          <w:szCs w:val="24"/>
          <w:highlight w:val="none"/>
        </w:rPr>
        <w:t>后</w:t>
      </w:r>
      <w:r>
        <w:rPr>
          <w:rFonts w:hint="eastAsia" w:ascii="仿宋_GB2312" w:hAnsi="仿宋_GB2312" w:eastAsia="仿宋_GB2312" w:cs="仿宋_GB2312"/>
          <w:color w:val="auto"/>
          <w:sz w:val="24"/>
          <w:szCs w:val="24"/>
          <w:highlight w:val="none"/>
          <w:lang w:eastAsia="zh-TW"/>
        </w:rPr>
        <w:t>报价</w:t>
      </w:r>
      <w:r>
        <w:rPr>
          <w:rFonts w:hint="eastAsia" w:ascii="仿宋_GB2312" w:hAnsi="仿宋_GB2312" w:eastAsia="仿宋_GB2312" w:cs="仿宋_GB2312"/>
          <w:color w:val="auto"/>
          <w:sz w:val="24"/>
          <w:szCs w:val="24"/>
          <w:highlight w:val="none"/>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如出现竞争性磋商文件不能详细列明采购标的的技术、服务要求，需经磋商由供应商最终设计方案或解决方案的，</w:t>
      </w:r>
      <w:r>
        <w:rPr>
          <w:rFonts w:hint="eastAsia" w:ascii="仿宋_GB2312" w:hAnsi="仿宋_GB2312" w:eastAsia="仿宋_GB2312" w:cs="仿宋_GB2312"/>
          <w:color w:val="auto"/>
          <w:sz w:val="24"/>
          <w:szCs w:val="24"/>
          <w:highlight w:val="none"/>
          <w:lang w:eastAsia="zh-TW"/>
        </w:rPr>
        <w:t>磋商结束后，</w:t>
      </w:r>
      <w:r>
        <w:rPr>
          <w:rFonts w:hint="eastAsia" w:ascii="仿宋_GB2312" w:hAnsi="仿宋_GB2312" w:eastAsia="仿宋_GB2312" w:cs="仿宋_GB2312"/>
          <w:color w:val="auto"/>
          <w:sz w:val="24"/>
          <w:szCs w:val="24"/>
          <w:highlight w:val="none"/>
        </w:rPr>
        <w:t>磋商小组按照少数服从多数的原则，投票推荐3家以上供应商的设计方案或者解决方案</w:t>
      </w:r>
      <w:r>
        <w:rPr>
          <w:rFonts w:hint="eastAsia" w:ascii="仿宋_GB2312" w:hAnsi="仿宋_GB2312" w:eastAsia="仿宋_GB2312" w:cs="仿宋_GB2312"/>
          <w:color w:val="auto"/>
          <w:sz w:val="24"/>
          <w:szCs w:val="24"/>
          <w:highlight w:val="none"/>
          <w:lang w:eastAsia="zh-TW"/>
        </w:rPr>
        <w:t>在规定的时间内提交最</w:t>
      </w:r>
      <w:r>
        <w:rPr>
          <w:rFonts w:hint="eastAsia" w:ascii="仿宋_GB2312" w:hAnsi="仿宋_GB2312" w:eastAsia="仿宋_GB2312" w:cs="仿宋_GB2312"/>
          <w:color w:val="auto"/>
          <w:sz w:val="24"/>
          <w:szCs w:val="24"/>
          <w:highlight w:val="none"/>
        </w:rPr>
        <w:t>后</w:t>
      </w:r>
      <w:r>
        <w:rPr>
          <w:rFonts w:hint="eastAsia" w:ascii="仿宋_GB2312" w:hAnsi="仿宋_GB2312" w:eastAsia="仿宋_GB2312" w:cs="仿宋_GB2312"/>
          <w:color w:val="auto"/>
          <w:sz w:val="24"/>
          <w:szCs w:val="24"/>
          <w:highlight w:val="none"/>
          <w:lang w:eastAsia="zh-TW"/>
        </w:rPr>
        <w:t>报价（最</w:t>
      </w:r>
      <w:r>
        <w:rPr>
          <w:rFonts w:hint="eastAsia" w:ascii="仿宋_GB2312" w:hAnsi="仿宋_GB2312" w:eastAsia="仿宋_GB2312" w:cs="仿宋_GB2312"/>
          <w:color w:val="auto"/>
          <w:sz w:val="24"/>
          <w:szCs w:val="24"/>
          <w:highlight w:val="none"/>
        </w:rPr>
        <w:t>后</w:t>
      </w:r>
      <w:r>
        <w:rPr>
          <w:rFonts w:hint="eastAsia" w:ascii="仿宋_GB2312" w:hAnsi="仿宋_GB2312" w:eastAsia="仿宋_GB2312" w:cs="仿宋_GB2312"/>
          <w:color w:val="auto"/>
          <w:sz w:val="24"/>
          <w:szCs w:val="24"/>
          <w:highlight w:val="none"/>
          <w:lang w:eastAsia="zh-TW"/>
        </w:rPr>
        <w:t>报价时间由磋商小组视磋商进程决定）</w:t>
      </w:r>
      <w:r>
        <w:rPr>
          <w:rFonts w:hint="eastAsia" w:ascii="仿宋_GB2312" w:hAnsi="仿宋_GB2312" w:eastAsia="仿宋_GB2312" w:cs="仿宋_GB2312"/>
          <w:color w:val="auto"/>
          <w:sz w:val="24"/>
          <w:szCs w:val="24"/>
          <w:highlight w:val="none"/>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最后报价是供应商响应文件的有效组成部分。</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对</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的价格出现明显低于或高于同业同期市场平均价的情形时，磋商小组应当在评审意见中详细说明推荐理由。</w:t>
      </w:r>
    </w:p>
    <w:p>
      <w:pPr>
        <w:widowControl w:val="0"/>
        <w:numPr>
          <w:ilvl w:val="1"/>
          <w:numId w:val="3"/>
        </w:numPr>
        <w:autoSpaceDE w:val="0"/>
        <w:autoSpaceDN w:val="0"/>
        <w:adjustRightInd w:val="0"/>
        <w:snapToGrid w:val="0"/>
        <w:spacing w:line="360" w:lineRule="auto"/>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rPr>
        <w:t>报价</w:t>
      </w:r>
      <w:r>
        <w:rPr>
          <w:rFonts w:hint="eastAsia" w:ascii="仿宋_GB2312" w:hAnsi="仿宋_GB2312" w:eastAsia="仿宋_GB2312" w:cs="仿宋_GB2312"/>
          <w:color w:val="auto"/>
          <w:sz w:val="24"/>
          <w:szCs w:val="24"/>
          <w:highlight w:val="none"/>
          <w:lang w:eastAsia="zh-TW"/>
        </w:rPr>
        <w:t>修正误差的原则如下：</w:t>
      </w:r>
    </w:p>
    <w:p>
      <w:pPr>
        <w:widowControl w:val="0"/>
        <w:numPr>
          <w:ilvl w:val="2"/>
          <w:numId w:val="3"/>
        </w:numPr>
        <w:tabs>
          <w:tab w:val="left" w:pos="851"/>
        </w:tabs>
        <w:adjustRightInd w:val="0"/>
        <w:snapToGrid w:val="0"/>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响应文件中的大写金额和小写金额不一致的，以大写金额为准；</w:t>
      </w:r>
    </w:p>
    <w:p>
      <w:pPr>
        <w:widowControl w:val="0"/>
        <w:numPr>
          <w:ilvl w:val="2"/>
          <w:numId w:val="3"/>
        </w:numPr>
        <w:tabs>
          <w:tab w:val="left" w:pos="851"/>
        </w:tabs>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总价金额与按单价汇总金额不一致的，以单价金额计算结果为准；单价金额小数点有明显错位的，应以总价为准，并修改单价；</w:t>
      </w:r>
    </w:p>
    <w:p>
      <w:pPr>
        <w:widowControl w:val="0"/>
        <w:numPr>
          <w:ilvl w:val="2"/>
          <w:numId w:val="3"/>
        </w:numPr>
        <w:tabs>
          <w:tab w:val="left" w:pos="851"/>
        </w:tabs>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对不同文字文本响应文件的解释发生异议的，以中文文本为准；</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磋商小组按上述修正误差的原则调整的价格对其</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具有约束力。如果</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不接受修正后的价格，其报价将被拒绝。</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出现下列情形之一的，采购单位终止竞争性磋商采购活动： </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因情况变化，不再符合规定的竞争性磋商采购方式适用情形的；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出现影响采购公正的违法、违规行为的；</w:t>
      </w:r>
    </w:p>
    <w:p>
      <w:pPr>
        <w:widowControl w:val="0"/>
        <w:numPr>
          <w:ilvl w:val="2"/>
          <w:numId w:val="3"/>
        </w:numPr>
        <w:tabs>
          <w:tab w:val="left" w:pos="851"/>
        </w:tabs>
        <w:autoSpaceDE w:val="0"/>
        <w:autoSpaceDN w:val="0"/>
        <w:adjustRightInd w:val="0"/>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除法律法规规定的情形外，在采购过程中符合要求的供应商或者报价未超过采购预算的供应商不足3家的。</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最后报价是供应商响应文件的有效组成部分。符合“市场竞争不充分的科研项目，以及需要扶持的科技成果转化项目”情形的，提交最后报价的供应商可以为2家。</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政府购买服务项目（含政府和社会资本合作项目），在采购过程中符合要求的供应商（社会资本）只有2家的，竞争性磋商采购活动可以继续进行。</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7" w:name="_Toc434343677"/>
      <w:r>
        <w:rPr>
          <w:rFonts w:hint="eastAsia" w:ascii="仿宋_GB2312" w:hAnsi="仿宋_GB2312" w:eastAsia="仿宋_GB2312" w:cs="仿宋_GB2312"/>
          <w:b/>
          <w:bCs/>
          <w:color w:val="auto"/>
          <w:sz w:val="24"/>
          <w:szCs w:val="24"/>
          <w:highlight w:val="none"/>
        </w:rPr>
        <w:t>评审方法和标准</w:t>
      </w:r>
      <w:bookmarkEnd w:id="127"/>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kern w:val="2"/>
          <w:sz w:val="24"/>
          <w:szCs w:val="24"/>
          <w:highlight w:val="none"/>
        </w:rPr>
        <w:t>磋商结束后，所有作出实质性响应的有效供应商应在规定的时间内集中密封提交最后报价（最后报价时间视磋商进程由磋商小组决定），最后报价是供应商响应文件的有效组成部分。如在磋商中磋商小组没有对磋商文件作实质性变动增加新的需求，除非磋商资料表中另有规定，后一轮报价不得高于前一轮报价，否则视为无效报价，该供应商不再参与下轮谈判和报价，也不被推荐为成交候选人。对</w:t>
      </w:r>
      <w:r>
        <w:rPr>
          <w:rFonts w:hint="eastAsia" w:ascii="仿宋_GB2312" w:hAnsi="仿宋_GB2312" w:eastAsia="仿宋_GB2312" w:cs="仿宋_GB2312"/>
          <w:color w:val="auto"/>
          <w:kern w:val="2"/>
          <w:sz w:val="24"/>
          <w:szCs w:val="24"/>
          <w:highlight w:val="none"/>
          <w:lang w:eastAsia="zh-CN"/>
        </w:rPr>
        <w:t>成交人</w:t>
      </w:r>
      <w:r>
        <w:rPr>
          <w:rFonts w:hint="eastAsia" w:ascii="仿宋_GB2312" w:hAnsi="仿宋_GB2312" w:eastAsia="仿宋_GB2312" w:cs="仿宋_GB2312"/>
          <w:color w:val="auto"/>
          <w:kern w:val="2"/>
          <w:sz w:val="24"/>
          <w:szCs w:val="24"/>
          <w:highlight w:val="none"/>
        </w:rPr>
        <w:t>的价格出现明显低于或高于同业同期市场平均价的情形时，磋商小组应当在评审报告中详细说明推荐理由。</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磋商小组将按照</w:t>
      </w:r>
      <w:r>
        <w:rPr>
          <w:rFonts w:hint="eastAsia" w:ascii="仿宋_GB2312" w:hAnsi="仿宋_GB2312" w:eastAsia="仿宋_GB2312" w:cs="仿宋_GB2312"/>
          <w:b/>
          <w:color w:val="auto"/>
          <w:sz w:val="24"/>
          <w:szCs w:val="24"/>
          <w:highlight w:val="none"/>
        </w:rPr>
        <w:t>磋商</w:t>
      </w:r>
      <w:r>
        <w:rPr>
          <w:rFonts w:hint="eastAsia" w:ascii="仿宋_GB2312" w:hAnsi="仿宋_GB2312" w:eastAsia="仿宋_GB2312" w:cs="仿宋_GB2312"/>
          <w:b/>
          <w:color w:val="auto"/>
          <w:sz w:val="24"/>
          <w:szCs w:val="24"/>
          <w:highlight w:val="none"/>
          <w:lang w:eastAsia="zh-TW"/>
        </w:rPr>
        <w:t>资料表</w:t>
      </w:r>
      <w:r>
        <w:rPr>
          <w:rFonts w:hint="eastAsia" w:ascii="仿宋_GB2312" w:hAnsi="仿宋_GB2312" w:eastAsia="仿宋_GB2312" w:cs="仿宋_GB2312"/>
          <w:color w:val="auto"/>
          <w:sz w:val="24"/>
          <w:szCs w:val="24"/>
          <w:highlight w:val="none"/>
          <w:lang w:eastAsia="zh-TW"/>
        </w:rPr>
        <w:t>中确定的评标方法</w:t>
      </w:r>
      <w:r>
        <w:rPr>
          <w:rFonts w:hint="eastAsia" w:ascii="仿宋_GB2312" w:hAnsi="仿宋_GB2312" w:eastAsia="仿宋_GB2312" w:cs="仿宋_GB2312"/>
          <w:color w:val="auto"/>
          <w:sz w:val="24"/>
          <w:szCs w:val="24"/>
          <w:highlight w:val="none"/>
        </w:rPr>
        <w:t>和</w:t>
      </w:r>
      <w:r>
        <w:rPr>
          <w:rFonts w:hint="eastAsia" w:ascii="仿宋_GB2312" w:hAnsi="仿宋_GB2312" w:eastAsia="仿宋_GB2312" w:cs="仿宋_GB2312"/>
          <w:color w:val="auto"/>
          <w:sz w:val="24"/>
          <w:szCs w:val="24"/>
          <w:highlight w:val="none"/>
          <w:lang w:eastAsia="zh-TW"/>
        </w:rPr>
        <w:t>本竞争性磋商文件第</w:t>
      </w: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TW"/>
        </w:rPr>
        <w:t>章中</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b/>
          <w:bCs/>
          <w:color w:val="auto"/>
          <w:sz w:val="24"/>
          <w:szCs w:val="24"/>
          <w:highlight w:val="none"/>
        </w:rPr>
        <w:t>评分细则</w:t>
      </w:r>
      <w:r>
        <w:rPr>
          <w:rFonts w:hint="eastAsia" w:ascii="仿宋_GB2312" w:hAnsi="仿宋_GB2312" w:eastAsia="仿宋_GB2312" w:cs="仿宋_GB2312"/>
          <w:color w:val="auto"/>
          <w:sz w:val="24"/>
          <w:szCs w:val="24"/>
          <w:highlight w:val="none"/>
          <w:lang w:eastAsia="zh-TW"/>
        </w:rPr>
        <w:t>进行评标。</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另有规定的，</w:t>
      </w:r>
      <w:r>
        <w:rPr>
          <w:rFonts w:hint="eastAsia" w:ascii="仿宋_GB2312" w:hAnsi="仿宋_GB2312" w:eastAsia="仿宋_GB2312" w:cs="仿宋_GB2312"/>
          <w:color w:val="auto"/>
          <w:sz w:val="24"/>
          <w:szCs w:val="24"/>
          <w:highlight w:val="none"/>
          <w:lang w:eastAsia="zh-TW"/>
        </w:rPr>
        <w:t>磋商小组</w:t>
      </w:r>
      <w:r>
        <w:rPr>
          <w:rFonts w:hint="eastAsia" w:ascii="仿宋_GB2312" w:hAnsi="仿宋_GB2312" w:eastAsia="仿宋_GB2312" w:cs="仿宋_GB2312"/>
          <w:color w:val="auto"/>
          <w:sz w:val="24"/>
          <w:szCs w:val="24"/>
          <w:highlight w:val="none"/>
        </w:rPr>
        <w:t>根据综合评分情况按照评审得分由高到低推荐3名成交候选人。评标总得分相同的，按下列顺序比较确定：（1）节能产品；（2）环保产品；（3）</w:t>
      </w:r>
      <w:r>
        <w:rPr>
          <w:rFonts w:hint="eastAsia" w:ascii="仿宋_GB2312" w:hAnsi="仿宋_GB2312" w:eastAsia="仿宋_GB2312" w:cs="仿宋_GB2312"/>
          <w:color w:val="auto"/>
          <w:sz w:val="24"/>
          <w:szCs w:val="24"/>
          <w:highlight w:val="none"/>
          <w:lang w:eastAsia="zh-CN"/>
        </w:rPr>
        <w:t>响应报价</w:t>
      </w:r>
      <w:r>
        <w:rPr>
          <w:rFonts w:hint="eastAsia" w:ascii="仿宋_GB2312" w:hAnsi="仿宋_GB2312" w:eastAsia="仿宋_GB2312" w:cs="仿宋_GB2312"/>
          <w:color w:val="auto"/>
          <w:sz w:val="24"/>
          <w:szCs w:val="24"/>
          <w:highlight w:val="none"/>
        </w:rPr>
        <w:t>（由低到高）；（4）技术部分（或技术商务部分）得分（由高到低）；（5）技术部分（或技术商务部分）评审项目中分值权重占技术部分（或技术商务部分）总分值权重由高到低的次序（得分由高到低）。除</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另有规定的，推荐综合得分排名第一的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为第一成交候选人，排名第二的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为第二成交候选人，排名第三的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为第三成交候选人。</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TW"/>
        </w:rPr>
        <w:t>磋商小组提交评审报告和推荐成交意见报采购人确认</w:t>
      </w:r>
      <w:r>
        <w:rPr>
          <w:rFonts w:hint="eastAsia" w:ascii="仿宋_GB2312" w:hAnsi="仿宋_GB2312" w:eastAsia="仿宋_GB2312" w:cs="仿宋_GB2312"/>
          <w:color w:val="auto"/>
          <w:sz w:val="24"/>
          <w:szCs w:val="24"/>
          <w:highlight w:val="none"/>
        </w:rPr>
        <w:t>，采购人在收到评审报告后在规定时间内，按照评审报告中推荐的成交候选人顺序确定</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，也可以事先授权磋商小组直接确定</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评审结果确定后，采购人根据需要通知磋商小组推荐的第一中标候选人在2个工作日内，按响应文件中所列清单中的相关证件、证明文件、合同和其他文件的原件送采购人核对与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响应文件中的复印件是否一致。采购人在接到原件之日起3个工作日内，核对没有不一致的，须确认</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；核对发现有不一致或第一中标候选人没有按约定提交原件的，报监管部门核实后按虚假应标处理。</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28" w:name="_Toc378586986"/>
      <w:bookmarkStart w:id="129" w:name="_Toc410736164"/>
      <w:bookmarkStart w:id="130" w:name="_Toc410738964"/>
      <w:bookmarkStart w:id="131" w:name="_Toc416771350"/>
      <w:bookmarkStart w:id="132" w:name="_Toc416770240"/>
      <w:r>
        <w:rPr>
          <w:rFonts w:hint="eastAsia" w:ascii="仿宋_GB2312" w:hAnsi="仿宋_GB2312" w:eastAsia="仿宋_GB2312" w:cs="仿宋_GB2312"/>
          <w:b/>
          <w:bCs/>
          <w:color w:val="auto"/>
          <w:sz w:val="24"/>
          <w:szCs w:val="24"/>
          <w:highlight w:val="none"/>
        </w:rPr>
        <w:t>确定成交结果</w:t>
      </w:r>
      <w:bookmarkEnd w:id="128"/>
      <w:bookmarkEnd w:id="129"/>
      <w:bookmarkEnd w:id="130"/>
      <w:bookmarkEnd w:id="131"/>
      <w:bookmarkEnd w:id="132"/>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确定后，采购代理机构将发布采购信息公告的媒体</w:t>
      </w:r>
      <w:r>
        <w:rPr>
          <w:rFonts w:hint="eastAsia" w:ascii="仿宋_GB2312" w:hAnsi="仿宋_GB2312" w:eastAsia="仿宋_GB2312" w:cs="仿宋_GB2312"/>
          <w:color w:val="auto"/>
          <w:sz w:val="24"/>
          <w:szCs w:val="24"/>
          <w:highlight w:val="none"/>
          <w:lang w:eastAsia="zh-TW"/>
        </w:rPr>
        <w:t>上</w:t>
      </w:r>
      <w:r>
        <w:rPr>
          <w:rFonts w:hint="eastAsia" w:ascii="仿宋_GB2312" w:hAnsi="仿宋_GB2312" w:eastAsia="仿宋_GB2312" w:cs="仿宋_GB2312"/>
          <w:color w:val="auto"/>
          <w:sz w:val="24"/>
          <w:szCs w:val="24"/>
          <w:highlight w:val="none"/>
        </w:rPr>
        <w:t>发布成交结果公告。不在成交名单之列者即为未</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，采购代理机构不再以其他方式另行通知。</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成交结果公告后，采购代理机构同时向</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发出《成交通知书》，向采购人及未</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发出《成交结果通知书》，《成交通知书》对</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和采购人具有同等法律效力。</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《成交通知书》将作为授予合同资格的合法依据，是合同的一个组成部分。</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33" w:name="_Toc433127783"/>
      <w:bookmarkStart w:id="134" w:name="_Toc410738966"/>
      <w:bookmarkStart w:id="135" w:name="_Toc410736166"/>
      <w:bookmarkStart w:id="136" w:name="_Toc416770242"/>
      <w:bookmarkStart w:id="137" w:name="_Toc416771352"/>
      <w:r>
        <w:rPr>
          <w:rFonts w:hint="eastAsia" w:ascii="仿宋_GB2312" w:hAnsi="仿宋_GB2312" w:eastAsia="仿宋_GB2312" w:cs="仿宋_GB2312"/>
          <w:b/>
          <w:bCs/>
          <w:color w:val="auto"/>
          <w:sz w:val="24"/>
          <w:szCs w:val="24"/>
          <w:highlight w:val="none"/>
        </w:rPr>
        <w:t>询问、质疑、投诉</w:t>
      </w:r>
      <w:bookmarkEnd w:id="133"/>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询问</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供应商对采购活动事项有疑问的，可以向</w:t>
      </w:r>
      <w:r>
        <w:rPr>
          <w:rFonts w:hint="eastAsia" w:ascii="仿宋_GB2312" w:hAnsi="仿宋_GB2312" w:eastAsia="仿宋_GB2312" w:cs="仿宋_GB2312"/>
          <w:bCs/>
          <w:color w:val="auto"/>
          <w:sz w:val="24"/>
          <w:szCs w:val="24"/>
          <w:highlight w:val="none"/>
          <w:lang w:eastAsia="zh-CN"/>
        </w:rPr>
        <w:t>代理机构</w:t>
      </w:r>
      <w:r>
        <w:rPr>
          <w:rFonts w:hint="eastAsia" w:ascii="仿宋_GB2312" w:hAnsi="仿宋_GB2312" w:eastAsia="仿宋_GB2312" w:cs="仿宋_GB2312"/>
          <w:bCs/>
          <w:color w:val="auto"/>
          <w:sz w:val="24"/>
          <w:szCs w:val="24"/>
          <w:highlight w:val="none"/>
        </w:rPr>
        <w:t>提出询问，询问可以口头方式提出，也可以书面方式提出。</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代理机构</w:t>
      </w:r>
      <w:r>
        <w:rPr>
          <w:rFonts w:hint="eastAsia" w:ascii="仿宋_GB2312" w:hAnsi="仿宋_GB2312" w:eastAsia="仿宋_GB2312" w:cs="仿宋_GB2312"/>
          <w:bCs/>
          <w:color w:val="auto"/>
          <w:sz w:val="24"/>
          <w:szCs w:val="24"/>
          <w:highlight w:val="none"/>
        </w:rPr>
        <w:t>在三个工作日内对供应商依法提出的询问作出答复。</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质疑</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u w:val="none"/>
        </w:rPr>
      </w:pPr>
      <w:r>
        <w:rPr>
          <w:rFonts w:hint="eastAsia" w:ascii="仿宋_GB2312" w:hAnsi="仿宋_GB2312" w:eastAsia="仿宋_GB2312" w:cs="仿宋_GB2312"/>
          <w:bCs/>
          <w:color w:val="auto"/>
          <w:sz w:val="24"/>
          <w:szCs w:val="24"/>
          <w:highlight w:val="none"/>
        </w:rPr>
        <w:t>质疑期限</w:t>
      </w:r>
      <w:r>
        <w:rPr>
          <w:rFonts w:hint="eastAsia" w:ascii="仿宋_GB2312" w:hAnsi="仿宋_GB2312" w:eastAsia="仿宋_GB2312" w:cs="仿宋_GB2312"/>
          <w:bCs/>
          <w:color w:val="auto"/>
          <w:sz w:val="24"/>
          <w:szCs w:val="24"/>
          <w:highlight w:val="none"/>
          <w:u w:val="none"/>
        </w:rPr>
        <w:t>：</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u w:val="none"/>
        </w:rPr>
      </w:pPr>
      <w:r>
        <w:rPr>
          <w:rFonts w:hint="eastAsia" w:ascii="仿宋_GB2312" w:hAnsi="仿宋_GB2312" w:eastAsia="仿宋_GB2312" w:cs="仿宋_GB2312"/>
          <w:bCs/>
          <w:color w:val="auto"/>
          <w:sz w:val="24"/>
          <w:szCs w:val="24"/>
          <w:highlight w:val="none"/>
          <w:u w:val="none"/>
        </w:rPr>
        <w:t>供应商认为采购文件的内容损害其权益的，应在收到采购文件之日或者采购文件公告期届满之日起七个工作日内。</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u w:val="none"/>
        </w:rPr>
      </w:pPr>
      <w:r>
        <w:rPr>
          <w:rFonts w:hint="eastAsia" w:ascii="仿宋_GB2312" w:hAnsi="仿宋_GB2312" w:eastAsia="仿宋_GB2312" w:cs="仿宋_GB2312"/>
          <w:bCs/>
          <w:color w:val="auto"/>
          <w:sz w:val="24"/>
          <w:szCs w:val="24"/>
          <w:highlight w:val="none"/>
          <w:u w:val="none"/>
        </w:rPr>
        <w:t>供应商认为采购过程损害其权益的，应在各采购程序环节结束之日起七个工作日内。</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u w:val="none"/>
        </w:rPr>
        <w:t>供应商认为中标或者成交结果损害</w:t>
      </w:r>
      <w:r>
        <w:rPr>
          <w:rFonts w:hint="eastAsia" w:ascii="仿宋_GB2312" w:hAnsi="仿宋_GB2312" w:eastAsia="仿宋_GB2312" w:cs="仿宋_GB2312"/>
          <w:bCs/>
          <w:color w:val="auto"/>
          <w:sz w:val="24"/>
          <w:szCs w:val="24"/>
          <w:highlight w:val="none"/>
        </w:rPr>
        <w:t>其权益的，应在中标或者成交结果公告期限届满之日起七个工作日内。</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提交要求：</w:t>
      </w:r>
    </w:p>
    <w:p>
      <w:pPr>
        <w:widowControl w:val="0"/>
        <w:numPr>
          <w:ilvl w:val="3"/>
          <w:numId w:val="3"/>
        </w:numPr>
        <w:tabs>
          <w:tab w:val="left" w:pos="993"/>
        </w:tabs>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以书面形式（加盖</w:t>
      </w:r>
      <w:r>
        <w:rPr>
          <w:rFonts w:hint="eastAsia" w:ascii="仿宋_GB2312" w:hAnsi="仿宋_GB2312" w:eastAsia="仿宋_GB2312" w:cs="仿宋_GB2312"/>
          <w:color w:val="auto"/>
          <w:sz w:val="24"/>
          <w:szCs w:val="24"/>
          <w:highlight w:val="none"/>
        </w:rPr>
        <w:t>供应商</w:t>
      </w:r>
      <w:r>
        <w:rPr>
          <w:rFonts w:hint="eastAsia" w:ascii="仿宋_GB2312" w:hAnsi="仿宋_GB2312" w:eastAsia="仿宋_GB2312" w:cs="仿宋_GB2312"/>
          <w:bCs/>
          <w:color w:val="auto"/>
          <w:sz w:val="24"/>
          <w:szCs w:val="24"/>
          <w:highlight w:val="none"/>
        </w:rPr>
        <w:t>公章，</w:t>
      </w:r>
      <w:r>
        <w:rPr>
          <w:rFonts w:hint="eastAsia" w:ascii="仿宋_GB2312" w:hAnsi="仿宋_GB2312" w:eastAsia="仿宋_GB2312" w:cs="仿宋_GB2312"/>
          <w:color w:val="auto"/>
          <w:sz w:val="24"/>
          <w:szCs w:val="24"/>
          <w:highlight w:val="none"/>
        </w:rPr>
        <w:t>供应商以电话、传真或电邮形式提交的质疑属于无效质疑</w:t>
      </w:r>
      <w:r>
        <w:rPr>
          <w:rFonts w:hint="eastAsia" w:ascii="仿宋_GB2312" w:hAnsi="仿宋_GB2312" w:eastAsia="仿宋_GB2312" w:cs="仿宋_GB2312"/>
          <w:bCs/>
          <w:color w:val="auto"/>
          <w:sz w:val="24"/>
          <w:szCs w:val="24"/>
          <w:highlight w:val="none"/>
        </w:rPr>
        <w:t>）向</w:t>
      </w:r>
      <w:r>
        <w:rPr>
          <w:rFonts w:hint="eastAsia" w:ascii="仿宋_GB2312" w:hAnsi="仿宋_GB2312" w:eastAsia="仿宋_GB2312" w:cs="仿宋_GB2312"/>
          <w:bCs/>
          <w:color w:val="auto"/>
          <w:sz w:val="24"/>
          <w:szCs w:val="24"/>
          <w:highlight w:val="none"/>
          <w:lang w:eastAsia="zh-CN"/>
        </w:rPr>
        <w:t>代理机构</w:t>
      </w:r>
      <w:r>
        <w:rPr>
          <w:rFonts w:hint="eastAsia" w:ascii="仿宋_GB2312" w:hAnsi="仿宋_GB2312" w:eastAsia="仿宋_GB2312" w:cs="仿宋_GB2312"/>
          <w:bCs/>
          <w:color w:val="auto"/>
          <w:sz w:val="24"/>
          <w:szCs w:val="24"/>
          <w:highlight w:val="none"/>
        </w:rPr>
        <w:t>提出质疑。</w:t>
      </w:r>
    </w:p>
    <w:p>
      <w:pPr>
        <w:widowControl w:val="0"/>
        <w:numPr>
          <w:ilvl w:val="3"/>
          <w:numId w:val="3"/>
        </w:numPr>
        <w:tabs>
          <w:tab w:val="left" w:pos="993"/>
        </w:tabs>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质疑书内容：应包括具体的质疑事项、事实依据及相关确凿的证明材料、明确的请求、供应商名称及地址、授权代表姓名及其联系电话、质疑时间。质疑书应当署名并由法定代表人或授权代表签字并加盖公章。供应商递交质疑书时需提供质疑书原件、法定代表人授权委托书（应载明委托代理的具体权限及事项）及授权代表身份证复印件。</w:t>
      </w:r>
    </w:p>
    <w:p>
      <w:pPr>
        <w:widowControl w:val="0"/>
        <w:numPr>
          <w:ilvl w:val="3"/>
          <w:numId w:val="3"/>
        </w:numPr>
        <w:tabs>
          <w:tab w:val="left" w:pos="993"/>
        </w:tabs>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供应商质疑应当有明确的请求和必要的证明材料，捏造事实、提供虚假材料或者以非法手段取得证明材料不能作为质疑的证明材料。</w:t>
      </w:r>
    </w:p>
    <w:p>
      <w:pPr>
        <w:widowControl w:val="0"/>
        <w:numPr>
          <w:ilvl w:val="3"/>
          <w:numId w:val="3"/>
        </w:numPr>
        <w:tabs>
          <w:tab w:val="left" w:pos="993"/>
        </w:tabs>
        <w:autoSpaceDE w:val="0"/>
        <w:autoSpaceDN w:val="0"/>
        <w:adjustRightInd w:val="0"/>
        <w:snapToGrid w:val="0"/>
        <w:spacing w:line="360" w:lineRule="auto"/>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代理机构</w:t>
      </w:r>
      <w:r>
        <w:rPr>
          <w:rFonts w:hint="eastAsia" w:ascii="仿宋_GB2312" w:hAnsi="仿宋_GB2312" w:eastAsia="仿宋_GB2312" w:cs="仿宋_GB2312"/>
          <w:bCs/>
          <w:color w:val="auto"/>
          <w:sz w:val="24"/>
          <w:szCs w:val="24"/>
          <w:highlight w:val="none"/>
        </w:rPr>
        <w:t>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对于捏造事实、滥用维权扰乱采购秩序的恶意质疑者或举证不全查无实据被驳回次数在一年内达三次以上，将纳入不良行为记录名单并承担相应的法律责任。</w:t>
      </w:r>
    </w:p>
    <w:p>
      <w:pPr>
        <w:widowControl w:val="0"/>
        <w:numPr>
          <w:ilvl w:val="1"/>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rPr>
        <w:t>投诉</w:t>
      </w:r>
    </w:p>
    <w:p>
      <w:pPr>
        <w:widowControl w:val="0"/>
        <w:numPr>
          <w:ilvl w:val="2"/>
          <w:numId w:val="3"/>
        </w:numPr>
        <w:autoSpaceDE w:val="0"/>
        <w:autoSpaceDN w:val="0"/>
        <w:adjustRightInd w:val="0"/>
        <w:snapToGrid w:val="0"/>
        <w:spacing w:line="360" w:lineRule="auto"/>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质疑供应商对</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的质疑答复不满意，或</w:t>
      </w:r>
      <w:r>
        <w:rPr>
          <w:rFonts w:hint="eastAsia" w:ascii="仿宋_GB2312" w:hAnsi="仿宋_GB2312" w:eastAsia="仿宋_GB2312" w:cs="仿宋_GB2312"/>
          <w:color w:val="auto"/>
          <w:sz w:val="24"/>
          <w:szCs w:val="24"/>
          <w:highlight w:val="none"/>
          <w:lang w:eastAsia="zh-CN"/>
        </w:rPr>
        <w:t>代理机构</w:t>
      </w:r>
      <w:r>
        <w:rPr>
          <w:rFonts w:hint="eastAsia" w:ascii="仿宋_GB2312" w:hAnsi="仿宋_GB2312" w:eastAsia="仿宋_GB2312" w:cs="仿宋_GB2312"/>
          <w:color w:val="auto"/>
          <w:sz w:val="24"/>
          <w:szCs w:val="24"/>
          <w:highlight w:val="none"/>
        </w:rPr>
        <w:t>未在规定期限内作出答复的，可以在答复期满后十五个工作日内向同级监管部门提出投诉。</w:t>
      </w:r>
    </w:p>
    <w:p>
      <w:pPr>
        <w:snapToGrid w:val="0"/>
        <w:spacing w:beforeLines="100" w:afterLines="100" w:line="360" w:lineRule="auto"/>
        <w:jc w:val="center"/>
        <w:outlineLvl w:val="0"/>
        <w:rPr>
          <w:rFonts w:hint="eastAsia" w:ascii="仿宋_GB2312" w:hAnsi="仿宋_GB2312" w:eastAsia="仿宋_GB2312" w:cs="仿宋_GB2312"/>
          <w:b/>
          <w:color w:val="auto"/>
          <w:sz w:val="30"/>
          <w:szCs w:val="30"/>
          <w:highlight w:val="none"/>
          <w:lang w:eastAsia="zh-TW"/>
        </w:rPr>
      </w:pPr>
      <w:bookmarkStart w:id="138" w:name="_Toc23715"/>
      <w:r>
        <w:rPr>
          <w:rFonts w:hint="eastAsia" w:ascii="仿宋_GB2312" w:hAnsi="仿宋_GB2312" w:eastAsia="仿宋_GB2312" w:cs="仿宋_GB2312"/>
          <w:b/>
          <w:color w:val="auto"/>
          <w:sz w:val="30"/>
          <w:szCs w:val="30"/>
          <w:highlight w:val="none"/>
          <w:lang w:eastAsia="zh-TW"/>
        </w:rPr>
        <w:t>六、授予合同</w:t>
      </w:r>
      <w:bookmarkEnd w:id="134"/>
      <w:bookmarkEnd w:id="135"/>
      <w:bookmarkEnd w:id="136"/>
      <w:bookmarkEnd w:id="137"/>
      <w:bookmarkEnd w:id="138"/>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39" w:name="_Toc416771353"/>
      <w:bookmarkStart w:id="140" w:name="_Toc410738967"/>
      <w:bookmarkStart w:id="141" w:name="_Toc416770243"/>
      <w:bookmarkStart w:id="142" w:name="_Toc410736167"/>
      <w:r>
        <w:rPr>
          <w:rFonts w:hint="eastAsia" w:ascii="仿宋_GB2312" w:hAnsi="仿宋_GB2312" w:eastAsia="仿宋_GB2312" w:cs="仿宋_GB2312"/>
          <w:b/>
          <w:bCs/>
          <w:color w:val="auto"/>
          <w:sz w:val="24"/>
          <w:szCs w:val="24"/>
          <w:highlight w:val="none"/>
        </w:rPr>
        <w:t>合同的订立</w:t>
      </w:r>
      <w:bookmarkEnd w:id="139"/>
      <w:bookmarkEnd w:id="140"/>
      <w:bookmarkEnd w:id="141"/>
      <w:bookmarkEnd w:id="142"/>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除非</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 xml:space="preserve">另有规定， </w:t>
      </w:r>
      <w:r>
        <w:rPr>
          <w:rFonts w:hint="eastAsia" w:ascii="仿宋_GB2312" w:hAnsi="仿宋_GB2312" w:eastAsia="仿宋_GB2312" w:cs="仿宋_GB2312"/>
          <w:color w:val="auto"/>
          <w:sz w:val="24"/>
          <w:szCs w:val="24"/>
          <w:highlight w:val="none"/>
          <w:lang w:eastAsia="zh-TW"/>
        </w:rPr>
        <w:t>采购人</w:t>
      </w:r>
      <w:r>
        <w:rPr>
          <w:rFonts w:hint="eastAsia" w:ascii="仿宋_GB2312" w:hAnsi="仿宋_GB2312" w:eastAsia="仿宋_GB2312" w:cs="仿宋_GB2312"/>
          <w:color w:val="auto"/>
          <w:sz w:val="24"/>
          <w:szCs w:val="24"/>
          <w:highlight w:val="none"/>
        </w:rPr>
        <w:t>应当</w:t>
      </w:r>
      <w:r>
        <w:rPr>
          <w:rFonts w:hint="eastAsia" w:ascii="仿宋_GB2312" w:hAnsi="仿宋_GB2312" w:eastAsia="仿宋_GB2312" w:cs="仿宋_GB2312"/>
          <w:color w:val="auto"/>
          <w:sz w:val="24"/>
          <w:szCs w:val="24"/>
          <w:highlight w:val="none"/>
          <w:lang w:eastAsia="zh-TW"/>
        </w:rPr>
        <w:t>自成交通知书发出之日起三十日内，按</w:t>
      </w:r>
      <w:r>
        <w:rPr>
          <w:rFonts w:hint="eastAsia" w:ascii="仿宋_GB2312" w:hAnsi="仿宋_GB2312" w:eastAsia="仿宋_GB2312" w:cs="仿宋_GB2312"/>
          <w:color w:val="auto"/>
          <w:sz w:val="24"/>
          <w:szCs w:val="24"/>
          <w:highlight w:val="none"/>
        </w:rPr>
        <w:t>照</w:t>
      </w:r>
      <w:r>
        <w:rPr>
          <w:rFonts w:hint="eastAsia" w:ascii="仿宋_GB2312" w:hAnsi="仿宋_GB2312" w:eastAsia="仿宋_GB2312" w:cs="仿宋_GB2312"/>
          <w:color w:val="auto"/>
          <w:sz w:val="24"/>
          <w:szCs w:val="24"/>
          <w:highlight w:val="none"/>
          <w:lang w:eastAsia="zh-TW"/>
        </w:rPr>
        <w:t>竞争性磋商文件要求和</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响应文件承诺签订采购合同，但不得超出竞争性磋商文件和</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响应文件的范围、也不得再行订立背离</w:t>
      </w:r>
      <w:r>
        <w:rPr>
          <w:rFonts w:hint="eastAsia" w:ascii="仿宋_GB2312" w:hAnsi="仿宋_GB2312" w:eastAsia="仿宋_GB2312" w:cs="仿宋_GB2312"/>
          <w:color w:val="auto"/>
          <w:sz w:val="24"/>
          <w:szCs w:val="24"/>
          <w:highlight w:val="none"/>
        </w:rPr>
        <w:t>竞争性磋商文件确定的合同文本以及采购标的、规格型号、采购金额、采购数量、技术和服务要求等实质性内容的协议。</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strike/>
          <w:color w:val="auto"/>
          <w:sz w:val="24"/>
          <w:szCs w:val="24"/>
          <w:highlight w:val="none"/>
          <w:lang w:eastAsia="zh-TW"/>
        </w:rPr>
      </w:pPr>
      <w:r>
        <w:rPr>
          <w:rFonts w:hint="eastAsia" w:ascii="仿宋_GB2312" w:hAnsi="仿宋_GB2312" w:eastAsia="仿宋_GB2312" w:cs="仿宋_GB2312"/>
          <w:color w:val="auto"/>
          <w:sz w:val="24"/>
          <w:szCs w:val="24"/>
          <w:highlight w:val="none"/>
        </w:rPr>
        <w:t>因不可抗力或自身原因不能履行采购合同的、不按要求与采购人签订采购合同、</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放弃中标、中标资格被依法确认无效的，采购人可以与排位在</w:t>
      </w: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之后第一位的成交候选人签订采购合同，也可以重新开展采购活动。</w:t>
      </w:r>
    </w:p>
    <w:p>
      <w:pPr>
        <w:widowControl w:val="0"/>
        <w:numPr>
          <w:ilvl w:val="1"/>
          <w:numId w:val="3"/>
        </w:numPr>
        <w:tabs>
          <w:tab w:val="left" w:pos="709"/>
          <w:tab w:val="clear" w:pos="360"/>
        </w:tabs>
        <w:autoSpaceDE w:val="0"/>
        <w:autoSpaceDN w:val="0"/>
        <w:adjustRightInd w:val="0"/>
        <w:snapToGrid w:val="0"/>
        <w:spacing w:line="360" w:lineRule="auto"/>
        <w:ind w:left="709" w:hanging="709"/>
        <w:jc w:val="both"/>
        <w:rPr>
          <w:rFonts w:hint="eastAsia" w:ascii="仿宋_GB2312" w:hAnsi="仿宋_GB2312" w:eastAsia="仿宋_GB2312" w:cs="仿宋_GB2312"/>
          <w:color w:val="auto"/>
          <w:sz w:val="24"/>
          <w:szCs w:val="24"/>
          <w:highlight w:val="none"/>
        </w:rPr>
      </w:pPr>
      <w:bookmarkStart w:id="143" w:name="_Toc410736168"/>
      <w:bookmarkStart w:id="144" w:name="_Toc410738968"/>
      <w:bookmarkStart w:id="145" w:name="_Toc416771354"/>
      <w:bookmarkStart w:id="146" w:name="_Toc416770244"/>
      <w:r>
        <w:rPr>
          <w:rFonts w:hint="eastAsia" w:ascii="仿宋_GB2312" w:hAnsi="仿宋_GB2312" w:eastAsia="仿宋_GB2312" w:cs="仿宋_GB2312"/>
          <w:color w:val="auto"/>
          <w:sz w:val="24"/>
          <w:szCs w:val="24"/>
          <w:highlight w:val="none"/>
        </w:rPr>
        <w:t>自</w:t>
      </w:r>
      <w:r>
        <w:rPr>
          <w:rFonts w:hint="eastAsia" w:ascii="仿宋_GB2312" w:hAnsi="仿宋_GB2312" w:eastAsia="仿宋_GB2312" w:cs="仿宋_GB2312"/>
          <w:color w:val="auto"/>
          <w:sz w:val="24"/>
          <w:szCs w:val="24"/>
          <w:highlight w:val="none"/>
          <w:lang w:eastAsia="zh-TW"/>
        </w:rPr>
        <w:t>采购</w:t>
      </w:r>
      <w:r>
        <w:rPr>
          <w:rFonts w:hint="eastAsia" w:ascii="仿宋_GB2312" w:hAnsi="仿宋_GB2312" w:eastAsia="仿宋_GB2312" w:cs="仿宋_GB2312"/>
          <w:color w:val="auto"/>
          <w:sz w:val="24"/>
          <w:szCs w:val="24"/>
          <w:highlight w:val="none"/>
        </w:rPr>
        <w:t>合同签订之日起2</w:t>
      </w:r>
      <w:r>
        <w:rPr>
          <w:rFonts w:hint="eastAsia" w:ascii="仿宋_GB2312" w:hAnsi="仿宋_GB2312" w:eastAsia="仿宋_GB2312" w:cs="仿宋_GB2312"/>
          <w:color w:val="auto"/>
          <w:sz w:val="24"/>
          <w:szCs w:val="24"/>
          <w:highlight w:val="none"/>
          <w:lang w:eastAsia="zh-TW"/>
        </w:rPr>
        <w:t>个工作日内，采购人应将采购合同</w:t>
      </w:r>
      <w:r>
        <w:rPr>
          <w:rFonts w:hint="eastAsia" w:ascii="仿宋_GB2312" w:hAnsi="仿宋_GB2312" w:eastAsia="仿宋_GB2312" w:cs="仿宋_GB2312"/>
          <w:color w:val="auto"/>
          <w:sz w:val="24"/>
          <w:szCs w:val="24"/>
          <w:highlight w:val="none"/>
        </w:rPr>
        <w:t>在省级以上人民政府财政部门指定的媒体上公告，但采购合同中涉及国家秘密、商业秘密的内容除外</w:t>
      </w:r>
      <w:r>
        <w:rPr>
          <w:rFonts w:hint="eastAsia" w:ascii="仿宋_GB2312" w:hAnsi="仿宋_GB2312" w:eastAsia="仿宋_GB2312" w:cs="仿宋_GB2312"/>
          <w:color w:val="auto"/>
          <w:sz w:val="24"/>
          <w:szCs w:val="24"/>
          <w:highlight w:val="none"/>
          <w:lang w:eastAsia="zh-TW"/>
        </w:rPr>
        <w:t>。</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合同的履行</w:t>
      </w:r>
      <w:bookmarkEnd w:id="143"/>
      <w:bookmarkEnd w:id="144"/>
      <w:bookmarkEnd w:id="145"/>
      <w:bookmarkEnd w:id="146"/>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采购合同订立后，合同各方不得擅自变更、中止或者终止合同。</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lang w:eastAsia="zh-TW"/>
        </w:rPr>
      </w:pPr>
      <w:r>
        <w:rPr>
          <w:rFonts w:hint="eastAsia" w:ascii="仿宋_GB2312" w:hAnsi="仿宋_GB2312" w:eastAsia="仿宋_GB2312" w:cs="仿宋_GB2312"/>
          <w:color w:val="auto"/>
          <w:sz w:val="24"/>
          <w:szCs w:val="24"/>
          <w:highlight w:val="none"/>
          <w:lang w:eastAsia="zh-TW"/>
        </w:rPr>
        <w:t>采购合同履行中，采购人需追加与合同标的相同的货物、工程或者服务的，在不改变合同其他条款的前提下，可以与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lang w:eastAsia="zh-TW"/>
        </w:rPr>
        <w:t>签订补充合同，但所补充合同的采购金额不得超过原</w:t>
      </w:r>
      <w:r>
        <w:rPr>
          <w:rFonts w:hint="eastAsia" w:ascii="仿宋_GB2312" w:hAnsi="仿宋_GB2312" w:eastAsia="仿宋_GB2312" w:cs="仿宋_GB2312"/>
          <w:color w:val="auto"/>
          <w:sz w:val="24"/>
          <w:szCs w:val="24"/>
          <w:highlight w:val="none"/>
        </w:rPr>
        <w:t>合同</w:t>
      </w:r>
      <w:r>
        <w:rPr>
          <w:rFonts w:hint="eastAsia" w:ascii="仿宋_GB2312" w:hAnsi="仿宋_GB2312" w:eastAsia="仿宋_GB2312" w:cs="仿宋_GB2312"/>
          <w:color w:val="auto"/>
          <w:sz w:val="24"/>
          <w:szCs w:val="24"/>
          <w:highlight w:val="none"/>
          <w:lang w:eastAsia="zh-TW"/>
        </w:rPr>
        <w:t>采购金额的百分之十。签订补充合同的必须按规定备案。</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bookmarkStart w:id="147" w:name="_Toc416771355"/>
      <w:bookmarkStart w:id="148" w:name="_Toc410738969"/>
      <w:bookmarkStart w:id="149" w:name="_Toc416770245"/>
      <w:bookmarkStart w:id="150" w:name="_Toc410736169"/>
      <w:r>
        <w:rPr>
          <w:rFonts w:hint="eastAsia" w:ascii="仿宋_GB2312" w:hAnsi="仿宋_GB2312" w:eastAsia="仿宋_GB2312" w:cs="仿宋_GB2312"/>
          <w:b/>
          <w:bCs/>
          <w:color w:val="auto"/>
          <w:sz w:val="24"/>
          <w:szCs w:val="24"/>
          <w:highlight w:val="none"/>
        </w:rPr>
        <w:t>履约保证金</w:t>
      </w:r>
      <w:bookmarkEnd w:id="147"/>
      <w:bookmarkEnd w:id="148"/>
      <w:bookmarkEnd w:id="149"/>
      <w:bookmarkEnd w:id="150"/>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lang w:eastAsia="zh-TW"/>
        </w:rPr>
        <w:t>应按照</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lang w:eastAsia="zh-TW"/>
        </w:rPr>
        <w:t>规定的</w:t>
      </w:r>
      <w:r>
        <w:rPr>
          <w:rFonts w:hint="eastAsia" w:ascii="仿宋_GB2312" w:hAnsi="仿宋_GB2312" w:eastAsia="仿宋_GB2312" w:cs="仿宋_GB2312"/>
          <w:color w:val="auto"/>
          <w:sz w:val="24"/>
          <w:szCs w:val="24"/>
          <w:highlight w:val="none"/>
        </w:rPr>
        <w:t>金额，</w:t>
      </w:r>
      <w:r>
        <w:rPr>
          <w:rFonts w:hint="eastAsia" w:ascii="仿宋_GB2312" w:hAnsi="仿宋_GB2312" w:eastAsia="仿宋_GB2312" w:cs="仿宋_GB2312"/>
          <w:color w:val="auto"/>
          <w:sz w:val="24"/>
          <w:szCs w:val="24"/>
          <w:highlight w:val="none"/>
          <w:lang w:eastAsia="zh-TW"/>
        </w:rPr>
        <w:t>采用竞争性磋商文件中</w:t>
      </w:r>
      <w:r>
        <w:rPr>
          <w:rFonts w:hint="eastAsia" w:ascii="仿宋_GB2312" w:hAnsi="仿宋_GB2312" w:eastAsia="仿宋_GB2312" w:cs="仿宋_GB2312"/>
          <w:color w:val="auto"/>
          <w:sz w:val="24"/>
          <w:szCs w:val="24"/>
          <w:highlight w:val="none"/>
        </w:rPr>
        <w:t>要求的</w:t>
      </w:r>
      <w:r>
        <w:rPr>
          <w:rFonts w:hint="eastAsia" w:ascii="仿宋_GB2312" w:hAnsi="仿宋_GB2312" w:eastAsia="仿宋_GB2312" w:cs="仿宋_GB2312"/>
          <w:color w:val="auto"/>
          <w:sz w:val="24"/>
          <w:szCs w:val="24"/>
          <w:highlight w:val="none"/>
          <w:lang w:eastAsia="zh-TW"/>
        </w:rPr>
        <w:t>形式向采购人提交履约保证金。</w:t>
      </w:r>
    </w:p>
    <w:p>
      <w:pPr>
        <w:widowControl w:val="0"/>
        <w:numPr>
          <w:ilvl w:val="0"/>
          <w:numId w:val="3"/>
        </w:numPr>
        <w:autoSpaceDE w:val="0"/>
        <w:autoSpaceDN w:val="0"/>
        <w:adjustRightInd w:val="0"/>
        <w:snapToGrid w:val="0"/>
        <w:spacing w:line="360" w:lineRule="auto"/>
        <w:ind w:left="357" w:hanging="357"/>
        <w:jc w:val="both"/>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代理服务费</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成交人</w:t>
      </w:r>
      <w:r>
        <w:rPr>
          <w:rFonts w:hint="eastAsia" w:ascii="仿宋_GB2312" w:hAnsi="仿宋_GB2312" w:eastAsia="仿宋_GB2312" w:cs="仿宋_GB2312"/>
          <w:color w:val="auto"/>
          <w:sz w:val="24"/>
          <w:szCs w:val="24"/>
          <w:highlight w:val="none"/>
        </w:rPr>
        <w:t>应按照竞争性磋商文件</w:t>
      </w:r>
      <w:r>
        <w:rPr>
          <w:rFonts w:hint="eastAsia" w:ascii="仿宋_GB2312" w:hAnsi="仿宋_GB2312" w:eastAsia="仿宋_GB2312" w:cs="仿宋_GB2312"/>
          <w:b/>
          <w:color w:val="auto"/>
          <w:sz w:val="24"/>
          <w:szCs w:val="24"/>
          <w:highlight w:val="none"/>
        </w:rPr>
        <w:t>磋商资料表</w:t>
      </w:r>
      <w:r>
        <w:rPr>
          <w:rFonts w:hint="eastAsia" w:ascii="仿宋_GB2312" w:hAnsi="仿宋_GB2312" w:eastAsia="仿宋_GB2312" w:cs="仿宋_GB2312"/>
          <w:color w:val="auto"/>
          <w:sz w:val="24"/>
          <w:szCs w:val="24"/>
          <w:highlight w:val="none"/>
        </w:rPr>
        <w:t>中的规定缴纳</w:t>
      </w:r>
      <w:r>
        <w:rPr>
          <w:rFonts w:hint="eastAsia" w:ascii="仿宋_GB2312" w:hAnsi="仿宋_GB2312" w:eastAsia="仿宋_GB2312" w:cs="仿宋_GB2312"/>
          <w:color w:val="auto"/>
          <w:sz w:val="24"/>
          <w:szCs w:val="24"/>
          <w:highlight w:val="none"/>
          <w:lang w:eastAsia="zh-CN"/>
        </w:rPr>
        <w:t>代理服务费</w:t>
      </w:r>
      <w:r>
        <w:rPr>
          <w:rFonts w:hint="eastAsia" w:ascii="仿宋_GB2312" w:hAnsi="仿宋_GB2312" w:eastAsia="仿宋_GB2312" w:cs="仿宋_GB2312"/>
          <w:color w:val="auto"/>
          <w:sz w:val="24"/>
          <w:szCs w:val="24"/>
          <w:highlight w:val="none"/>
        </w:rPr>
        <w:t>。否则，将不予退还其磋商保证金。</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服务费按差额定率累进法计算。</w:t>
      </w:r>
    </w:p>
    <w:tbl>
      <w:tblPr>
        <w:tblStyle w:val="2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2280"/>
        <w:gridCol w:w="228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中标金额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货物招标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服务招标</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100万元以下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100～500万元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1.1%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0.8%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500～1000万元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0.8%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0.45%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1000～5000万元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0.25%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280" w:type="dxa"/>
          </w:tcPr>
          <w:p>
            <w:pPr>
              <w:autoSpaceDE w:val="0"/>
              <w:autoSpaceDN w:val="0"/>
              <w:adjustRightIn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5000万元～1亿元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0.25%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0.1% </w:t>
            </w:r>
          </w:p>
        </w:tc>
        <w:tc>
          <w:tcPr>
            <w:tcW w:w="2280" w:type="dxa"/>
          </w:tcPr>
          <w:p>
            <w:pPr>
              <w:autoSpaceDE w:val="0"/>
              <w:autoSpaceDN w:val="0"/>
              <w:adjustRightIn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0.2% </w:t>
            </w:r>
          </w:p>
        </w:tc>
      </w:tr>
    </w:tbl>
    <w:p>
      <w:pPr>
        <w:pStyle w:val="60"/>
        <w:autoSpaceDE w:val="0"/>
        <w:autoSpaceDN w:val="0"/>
        <w:adjustRightInd w:val="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例如：某货物招标中标金额为600万元，计算招标代理服务收费额如下： </w:t>
      </w:r>
    </w:p>
    <w:p>
      <w:pPr>
        <w:pStyle w:val="60"/>
        <w:autoSpaceDE w:val="0"/>
        <w:autoSpaceDN w:val="0"/>
        <w:adjustRightInd w:val="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100万元×1.5%=1.5万元 </w:t>
      </w:r>
    </w:p>
    <w:p>
      <w:pPr>
        <w:pStyle w:val="60"/>
        <w:autoSpaceDE w:val="0"/>
        <w:autoSpaceDN w:val="0"/>
        <w:adjustRightInd w:val="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（500-100）万元×1.1%=4.4万元 </w:t>
      </w:r>
    </w:p>
    <w:p>
      <w:pPr>
        <w:pStyle w:val="60"/>
        <w:autoSpaceDE w:val="0"/>
        <w:autoSpaceDN w:val="0"/>
        <w:adjustRightInd w:val="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（600-500）万元×0.8%=0.8万元 </w:t>
      </w:r>
    </w:p>
    <w:p>
      <w:pPr>
        <w:pStyle w:val="60"/>
        <w:spacing w:line="360" w:lineRule="auto"/>
        <w:ind w:left="36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合计收费=1.5+4.4+0.8=6.7（万元）</w:t>
      </w:r>
    </w:p>
    <w:p>
      <w:pPr>
        <w:widowControl w:val="0"/>
        <w:numPr>
          <w:ilvl w:val="1"/>
          <w:numId w:val="3"/>
        </w:numPr>
        <w:tabs>
          <w:tab w:val="left" w:pos="709"/>
          <w:tab w:val="clear" w:pos="360"/>
        </w:tabs>
        <w:autoSpaceDE w:val="0"/>
        <w:autoSpaceDN w:val="0"/>
        <w:adjustRightInd w:val="0"/>
        <w:snapToGrid w:val="0"/>
        <w:spacing w:line="360" w:lineRule="auto"/>
        <w:ind w:left="709" w:hanging="70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经依法取消成交资格的，</w:t>
      </w:r>
      <w:r>
        <w:rPr>
          <w:rFonts w:hint="eastAsia" w:ascii="仿宋_GB2312" w:hAnsi="仿宋_GB2312" w:eastAsia="仿宋_GB2312" w:cs="仿宋_GB2312"/>
          <w:color w:val="auto"/>
          <w:sz w:val="24"/>
          <w:szCs w:val="24"/>
          <w:highlight w:val="none"/>
          <w:lang w:eastAsia="zh-CN"/>
        </w:rPr>
        <w:t>代理服务费</w:t>
      </w:r>
      <w:r>
        <w:rPr>
          <w:rFonts w:hint="eastAsia" w:ascii="仿宋_GB2312" w:hAnsi="仿宋_GB2312" w:eastAsia="仿宋_GB2312" w:cs="仿宋_GB2312"/>
          <w:color w:val="auto"/>
          <w:sz w:val="24"/>
          <w:szCs w:val="24"/>
          <w:highlight w:val="none"/>
        </w:rPr>
        <w:t>不予退还。</w:t>
      </w:r>
    </w:p>
    <w:p>
      <w:pPr>
        <w:numPr>
          <w:ilvl w:val="0"/>
          <w:numId w:val="0"/>
        </w:numPr>
        <w:shd w:val="clear" w:color="auto"/>
        <w:spacing w:line="360" w:lineRule="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35</w:t>
      </w:r>
      <w:r>
        <w:rPr>
          <w:rFonts w:hint="eastAsia" w:ascii="仿宋_GB2312" w:hAnsi="仿宋_GB2312" w:eastAsia="仿宋_GB2312" w:cs="仿宋_GB2312"/>
          <w:color w:val="auto"/>
          <w:kern w:val="0"/>
          <w:sz w:val="21"/>
          <w:szCs w:val="21"/>
          <w:highlight w:val="none"/>
        </w:rPr>
        <w:t>附件</w:t>
      </w:r>
    </w:p>
    <w:p>
      <w:pPr>
        <w:pStyle w:val="3"/>
        <w:shd w:val="clear"/>
        <w:spacing w:after="0" w:line="800" w:lineRule="exac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说明：本部分格式为</w:t>
      </w:r>
      <w:r>
        <w:rPr>
          <w:rFonts w:hint="eastAsia" w:hAnsi="仿宋_GB2312" w:cs="仿宋_GB2312"/>
          <w:color w:val="auto"/>
          <w:kern w:val="0"/>
          <w:sz w:val="21"/>
          <w:szCs w:val="21"/>
          <w:highlight w:val="none"/>
          <w:lang w:val="en-US" w:eastAsia="zh-CN"/>
        </w:rPr>
        <w:t>响应人</w:t>
      </w:r>
      <w:r>
        <w:rPr>
          <w:rFonts w:hint="eastAsia" w:ascii="仿宋_GB2312" w:hAnsi="仿宋_GB2312" w:eastAsia="仿宋_GB2312" w:cs="仿宋_GB2312"/>
          <w:color w:val="auto"/>
          <w:kern w:val="0"/>
          <w:sz w:val="21"/>
          <w:szCs w:val="21"/>
          <w:highlight w:val="none"/>
        </w:rPr>
        <w:t>提交询问函、质疑函、投诉书时使用，不属于</w:t>
      </w:r>
      <w:r>
        <w:rPr>
          <w:rFonts w:hint="eastAsia" w:ascii="仿宋_GB2312" w:hAnsi="仿宋_GB2312" w:eastAsia="仿宋_GB2312" w:cs="仿宋_GB2312"/>
          <w:color w:val="auto"/>
          <w:kern w:val="0"/>
          <w:sz w:val="21"/>
          <w:szCs w:val="21"/>
          <w:highlight w:val="none"/>
          <w:lang w:eastAsia="zh-CN"/>
        </w:rPr>
        <w:t>响应文件</w:t>
      </w:r>
      <w:r>
        <w:rPr>
          <w:rFonts w:hint="eastAsia" w:ascii="仿宋_GB2312" w:hAnsi="仿宋_GB2312" w:eastAsia="仿宋_GB2312" w:cs="仿宋_GB2312"/>
          <w:color w:val="auto"/>
          <w:kern w:val="0"/>
          <w:sz w:val="21"/>
          <w:szCs w:val="21"/>
          <w:highlight w:val="none"/>
        </w:rPr>
        <w:t>格式的组成部分。</w:t>
      </w:r>
    </w:p>
    <w:p>
      <w:pPr>
        <w:shd w:val="clear" w:color="auto"/>
        <w:spacing w:line="360" w:lineRule="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35.1</w:t>
      </w:r>
      <w:r>
        <w:rPr>
          <w:rFonts w:hint="eastAsia" w:ascii="仿宋_GB2312" w:hAnsi="仿宋_GB2312" w:eastAsia="仿宋_GB2312" w:cs="仿宋_GB2312"/>
          <w:color w:val="auto"/>
          <w:kern w:val="0"/>
          <w:sz w:val="21"/>
          <w:szCs w:val="21"/>
          <w:highlight w:val="none"/>
        </w:rPr>
        <w:t>询问函格式</w:t>
      </w:r>
    </w:p>
    <w:p>
      <w:pPr>
        <w:shd w:val="clear" w:color="auto"/>
        <w:spacing w:line="360" w:lineRule="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 </w:t>
      </w:r>
    </w:p>
    <w:p>
      <w:pPr>
        <w:shd w:val="clear" w:color="auto"/>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询问函</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珠海华信达工程顾问有限公司：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我单位已报名并准备参与</w:t>
      </w:r>
      <w:r>
        <w:rPr>
          <w:rFonts w:hint="eastAsia" w:ascii="仿宋_GB2312" w:hAnsi="仿宋_GB2312" w:eastAsia="仿宋_GB2312" w:cs="仿宋_GB2312"/>
          <w:color w:val="auto"/>
          <w:sz w:val="21"/>
          <w:szCs w:val="21"/>
          <w:highlight w:val="none"/>
          <w:u w:val="single"/>
        </w:rPr>
        <w:t xml:space="preserve">（项目名称、项目编号、标段号：）    </w:t>
      </w:r>
      <w:r>
        <w:rPr>
          <w:rFonts w:hint="eastAsia" w:ascii="仿宋_GB2312" w:hAnsi="仿宋_GB2312" w:eastAsia="仿宋_GB2312" w:cs="仿宋_GB2312"/>
          <w:color w:val="auto"/>
          <w:sz w:val="21"/>
          <w:szCs w:val="21"/>
          <w:highlight w:val="none"/>
        </w:rPr>
        <w:t xml:space="preserve">的投标（或报价）活动，现有以下几个内容（或条款）存在疑问（或无法理解），特提出询问。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一、 （事项一）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u w:val="single"/>
        </w:rPr>
        <w:t xml:space="preserve">     （问题或条款内容）</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color w:val="auto"/>
          <w:sz w:val="21"/>
          <w:szCs w:val="21"/>
          <w:highlight w:val="none"/>
          <w:u w:val="single"/>
        </w:rPr>
        <w:t xml:space="preserve">   （说明疑问或无法理解原因）</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r>
        <w:rPr>
          <w:rFonts w:hint="eastAsia" w:ascii="仿宋_GB2312" w:hAnsi="仿宋_GB2312" w:eastAsia="仿宋_GB2312" w:cs="仿宋_GB2312"/>
          <w:color w:val="auto"/>
          <w:sz w:val="21"/>
          <w:szCs w:val="21"/>
          <w:highlight w:val="none"/>
          <w:u w:val="single"/>
        </w:rPr>
        <w:t xml:space="preserve">    （建议）</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w:t>
      </w:r>
      <w:r>
        <w:rPr>
          <w:rFonts w:hint="eastAsia" w:ascii="仿宋_GB2312" w:hAnsi="仿宋_GB2312" w:eastAsia="仿宋_GB2312" w:cs="仿宋_GB2312"/>
          <w:color w:val="auto"/>
          <w:sz w:val="21"/>
          <w:szCs w:val="21"/>
          <w:highlight w:val="none"/>
          <w:u w:val="single"/>
        </w:rPr>
        <w:t xml:space="preserve">          （事项二）</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随附相关证明材料如下：（目录）。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询问人：（公章）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法定代表人（授权代表）：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地址/邮编：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电话： </w:t>
      </w:r>
    </w:p>
    <w:p>
      <w:pPr>
        <w:shd w:val="clear" w:color="auto"/>
        <w:spacing w:line="360" w:lineRule="auto"/>
        <w:ind w:firstLine="840" w:firstLineChars="4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日期： </w:t>
      </w:r>
    </w:p>
    <w:p>
      <w:pPr>
        <w:shd w:val="clear" w:color="auto"/>
        <w:spacing w:line="360" w:lineRule="auto"/>
        <w:ind w:firstLine="210" w:firstLineChars="100"/>
        <w:rPr>
          <w:rFonts w:hint="eastAsia" w:ascii="仿宋_GB2312" w:hAnsi="仿宋_GB2312" w:eastAsia="仿宋_GB2312" w:cs="仿宋_GB2312"/>
          <w:color w:val="auto"/>
          <w:kern w:val="0"/>
          <w:sz w:val="21"/>
          <w:szCs w:val="21"/>
          <w:highlight w:val="none"/>
        </w:rPr>
      </w:pPr>
    </w:p>
    <w:p>
      <w:pPr>
        <w:shd w:val="clear" w:color="auto"/>
        <w:spacing w:line="360" w:lineRule="auto"/>
        <w:ind w:firstLine="210" w:firstLineChars="1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r>
        <w:rPr>
          <w:rFonts w:hint="eastAsia" w:ascii="仿宋_GB2312" w:hAnsi="仿宋_GB2312" w:eastAsia="仿宋_GB2312" w:cs="仿宋_GB2312"/>
          <w:color w:val="auto"/>
          <w:kern w:val="0"/>
          <w:sz w:val="21"/>
          <w:szCs w:val="21"/>
          <w:highlight w:val="none"/>
          <w:lang w:val="en-US" w:eastAsia="zh-CN"/>
        </w:rPr>
        <w:t>5</w:t>
      </w:r>
      <w:r>
        <w:rPr>
          <w:rFonts w:hint="eastAsia" w:ascii="仿宋_GB2312" w:hAnsi="仿宋_GB2312" w:eastAsia="仿宋_GB2312" w:cs="仿宋_GB2312"/>
          <w:color w:val="auto"/>
          <w:kern w:val="0"/>
          <w:sz w:val="21"/>
          <w:szCs w:val="21"/>
          <w:highlight w:val="none"/>
        </w:rPr>
        <w:t>.2质疑函范本</w:t>
      </w:r>
    </w:p>
    <w:p>
      <w:pPr>
        <w:shd w:val="clear" w:color="auto"/>
        <w:spacing w:line="36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质疑函范本</w:t>
      </w:r>
    </w:p>
    <w:p>
      <w:pPr>
        <w:shd w:val="clear" w:color="auto"/>
        <w:adjustRightInd w:val="0"/>
        <w:snapToGrid w:val="0"/>
        <w:spacing w:before="312" w:beforeLines="100"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一、质疑</w:t>
      </w:r>
      <w:r>
        <w:rPr>
          <w:rFonts w:hint="eastAsia" w:ascii="仿宋_GB2312" w:hAnsi="仿宋_GB2312" w:eastAsia="仿宋_GB2312" w:cs="仿宋_GB2312"/>
          <w:bCs/>
          <w:color w:val="auto"/>
          <w:sz w:val="21"/>
          <w:szCs w:val="21"/>
          <w:highlight w:val="none"/>
          <w:lang w:val="en-US" w:eastAsia="zh-CN"/>
        </w:rPr>
        <w:t>人</w:t>
      </w:r>
      <w:r>
        <w:rPr>
          <w:rFonts w:hint="eastAsia" w:ascii="仿宋_GB2312" w:hAnsi="仿宋_GB2312" w:eastAsia="仿宋_GB2312" w:cs="仿宋_GB2312"/>
          <w:bCs/>
          <w:color w:val="auto"/>
          <w:sz w:val="21"/>
          <w:szCs w:val="21"/>
          <w:highlight w:val="none"/>
        </w:rPr>
        <w:t>基本信息</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授权代表：</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地址： </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二、质疑项目基本情况</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质疑项目的名称：</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质疑项目的编号：</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标段号：</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采购人名称：</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采购文件获取日期：</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三、质疑事项具体内容</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质疑事项1：</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事实依据：</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法律依据：</w:t>
      </w: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u w:val="dotted"/>
        </w:rPr>
        <w:t xml:space="preserve">                                                     </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质疑事项2</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p>
      <w:pPr>
        <w:shd w:val="clear" w:color="auto"/>
        <w:adjustRightInd w:val="0"/>
        <w:snapToGrid w:val="0"/>
        <w:spacing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四、与质疑事项相关的质疑请求</w:t>
      </w:r>
    </w:p>
    <w:p>
      <w:pPr>
        <w:shd w:val="clear" w:color="auto"/>
        <w:adjustRightInd w:val="0"/>
        <w:snapToGrid w:val="0"/>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请求：</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签字(签章)：                   公章：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日期：    </w:t>
      </w:r>
    </w:p>
    <w:p>
      <w:pPr>
        <w:shd w:val="clear" w:color="auto"/>
        <w:spacing w:line="360" w:lineRule="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质疑函制作说明：</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sz w:val="21"/>
          <w:szCs w:val="21"/>
          <w:highlight w:val="none"/>
          <w:lang w:val="en-US" w:eastAsia="zh-CN"/>
        </w:rPr>
        <w:t>质疑人</w:t>
      </w:r>
      <w:r>
        <w:rPr>
          <w:rFonts w:hint="eastAsia" w:ascii="仿宋_GB2312" w:hAnsi="仿宋_GB2312" w:eastAsia="仿宋_GB2312" w:cs="仿宋_GB2312"/>
          <w:color w:val="auto"/>
          <w:sz w:val="21"/>
          <w:szCs w:val="21"/>
          <w:highlight w:val="none"/>
        </w:rPr>
        <w:t>提出质疑时，应提交质疑函和必要的证明材料。</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2.质疑</w:t>
      </w:r>
      <w:r>
        <w:rPr>
          <w:rFonts w:hint="eastAsia" w:ascii="仿宋_GB2312" w:hAnsi="仿宋_GB2312" w:eastAsia="仿宋_GB2312" w:cs="仿宋_GB2312"/>
          <w:color w:val="auto"/>
          <w:sz w:val="21"/>
          <w:szCs w:val="21"/>
          <w:highlight w:val="none"/>
          <w:lang w:val="en-US" w:eastAsia="zh-CN"/>
        </w:rPr>
        <w:t>唇揭齿寒</w:t>
      </w:r>
      <w:r>
        <w:rPr>
          <w:rFonts w:hint="eastAsia" w:ascii="仿宋_GB2312" w:hAnsi="仿宋_GB2312" w:eastAsia="仿宋_GB2312" w:cs="仿宋_GB2312"/>
          <w:color w:val="auto"/>
          <w:sz w:val="21"/>
          <w:szCs w:val="21"/>
          <w:highlight w:val="none"/>
        </w:rPr>
        <w:t>若委托代理人进行质疑的，质疑函应按要求列明“授权代表”的有关内容，并在附件中提交由质疑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kern w:val="0"/>
          <w:sz w:val="21"/>
          <w:szCs w:val="21"/>
          <w:highlight w:val="none"/>
        </w:rPr>
        <w:t>签署的授权委托书。授权委托书应载明代理人的姓名或者名称、代理事项、具体权限、期限和相关事项。</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若对项目的某一分包进行质疑，质疑函中应列明具体分包号。</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4.质疑函的质疑事项应具体、明确，并有必要的事实依据和法律依据。</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5.质疑函的质疑请求应与质疑事项相关。</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为自然人的，质疑函应由本人签字；质疑</w:t>
      </w:r>
      <w:r>
        <w:rPr>
          <w:rFonts w:hint="eastAsia" w:ascii="仿宋_GB2312" w:hAnsi="仿宋_GB2312" w:eastAsia="仿宋_GB2312" w:cs="仿宋_GB2312"/>
          <w:color w:val="auto"/>
          <w:sz w:val="21"/>
          <w:szCs w:val="21"/>
          <w:highlight w:val="none"/>
          <w:lang w:val="en-US" w:eastAsia="zh-CN"/>
        </w:rPr>
        <w:t>人</w:t>
      </w:r>
      <w:r>
        <w:rPr>
          <w:rFonts w:hint="eastAsia" w:ascii="仿宋_GB2312" w:hAnsi="仿宋_GB2312" w:eastAsia="仿宋_GB2312" w:cs="仿宋_GB2312"/>
          <w:color w:val="auto"/>
          <w:sz w:val="21"/>
          <w:szCs w:val="21"/>
          <w:highlight w:val="none"/>
        </w:rPr>
        <w:t>为法人或者其他组织的，质疑函应由法定代表人、主要负责人，或者其授权代表签字或者盖章，并加盖公章。</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.3投诉书范本</w:t>
      </w:r>
    </w:p>
    <w:p>
      <w:pPr>
        <w:shd w:val="clear" w:color="auto"/>
        <w:spacing w:line="360" w:lineRule="auto"/>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投诉书范本</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一、投诉相关主体基本情况</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投诉人：</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tabs>
          <w:tab w:val="left" w:pos="6510"/>
        </w:tabs>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法定代表人/主要负责人：</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 xml:space="preserve">  </w:t>
      </w:r>
    </w:p>
    <w:p>
      <w:pPr>
        <w:shd w:val="clear" w:color="auto"/>
        <w:tabs>
          <w:tab w:val="left" w:pos="6510"/>
        </w:tabs>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授权代表：</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被投诉人1：</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被投诉人2</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相关供应商：</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邮编：</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二、投诉项目基本情况</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采购项目名称：</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采购项目编号：</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标段号：</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采购人名称：</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u w:val="singl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代理机构名称：</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采购文件公告:</w:t>
      </w:r>
      <w:r>
        <w:rPr>
          <w:rFonts w:hint="eastAsia" w:ascii="仿宋_GB2312" w:hAnsi="仿宋_GB2312" w:eastAsia="仿宋_GB2312" w:cs="仿宋_GB2312"/>
          <w:color w:val="auto"/>
          <w:sz w:val="21"/>
          <w:szCs w:val="21"/>
          <w:highlight w:val="none"/>
          <w:u w:val="dotted"/>
        </w:rPr>
        <w:t xml:space="preserve">是/否 </w:t>
      </w:r>
      <w:r>
        <w:rPr>
          <w:rFonts w:hint="eastAsia" w:ascii="仿宋_GB2312" w:hAnsi="仿宋_GB2312" w:eastAsia="仿宋_GB2312" w:cs="仿宋_GB2312"/>
          <w:color w:val="auto"/>
          <w:sz w:val="21"/>
          <w:szCs w:val="21"/>
          <w:highlight w:val="none"/>
        </w:rPr>
        <w:t>公告期限：</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采购结果公告:</w:t>
      </w:r>
      <w:r>
        <w:rPr>
          <w:rFonts w:hint="eastAsia" w:ascii="仿宋_GB2312" w:hAnsi="仿宋_GB2312" w:eastAsia="仿宋_GB2312" w:cs="仿宋_GB2312"/>
          <w:color w:val="auto"/>
          <w:sz w:val="21"/>
          <w:szCs w:val="21"/>
          <w:highlight w:val="none"/>
          <w:u w:val="dotted"/>
        </w:rPr>
        <w:t xml:space="preserve">是/否 </w:t>
      </w:r>
      <w:r>
        <w:rPr>
          <w:rFonts w:hint="eastAsia" w:ascii="仿宋_GB2312" w:hAnsi="仿宋_GB2312" w:eastAsia="仿宋_GB2312" w:cs="仿宋_GB2312"/>
          <w:color w:val="auto"/>
          <w:sz w:val="21"/>
          <w:szCs w:val="21"/>
          <w:highlight w:val="none"/>
        </w:rPr>
        <w:t>公告期限：</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三、质疑基本情况</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投诉人于</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日,向</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提出质疑，质疑事项为：</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 xml:space="preserve">  </w:t>
      </w:r>
    </w:p>
    <w:p>
      <w:pPr>
        <w:shd w:val="clear" w:color="auto"/>
        <w:spacing w:line="360" w:lineRule="auto"/>
        <w:ind w:firstLine="315" w:firstLineChars="15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dotted"/>
        </w:rPr>
        <w:t>采购人/代理机构</w:t>
      </w:r>
      <w:r>
        <w:rPr>
          <w:rFonts w:hint="eastAsia" w:ascii="仿宋_GB2312" w:hAnsi="仿宋_GB2312" w:eastAsia="仿宋_GB2312" w:cs="仿宋_GB2312"/>
          <w:color w:val="auto"/>
          <w:sz w:val="21"/>
          <w:szCs w:val="21"/>
          <w:highlight w:val="none"/>
        </w:rPr>
        <w:t>于</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日,就质疑事项作出了答复/没有在法定期限内作出答复。</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四、投诉事项具体内容</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投诉事项 1：</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事实依据：</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法律依据：</w:t>
      </w: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u w:val="dotted"/>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投诉事项2</w:t>
      </w:r>
    </w:p>
    <w:p>
      <w:pPr>
        <w:shd w:val="clear" w:color="auto"/>
        <w:spacing w:line="360" w:lineRule="auto"/>
        <w:rPr>
          <w:rFonts w:hint="eastAsia" w:ascii="仿宋_GB2312" w:hAnsi="仿宋_GB2312" w:eastAsia="仿宋_GB2312" w:cs="仿宋_GB2312"/>
          <w:color w:val="auto"/>
          <w:sz w:val="21"/>
          <w:szCs w:val="21"/>
          <w:highlight w:val="none"/>
          <w:u w:val="dotted"/>
        </w:rPr>
      </w:pPr>
      <w:r>
        <w:rPr>
          <w:rFonts w:hint="eastAsia" w:ascii="仿宋_GB2312" w:hAnsi="仿宋_GB2312" w:eastAsia="仿宋_GB2312" w:cs="仿宋_GB2312"/>
          <w:color w:val="auto"/>
          <w:sz w:val="21"/>
          <w:szCs w:val="21"/>
          <w:highlight w:val="none"/>
        </w:rPr>
        <w:t>……</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五、与投诉事项相关的投诉请求</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请求：</w:t>
      </w:r>
      <w:r>
        <w:rPr>
          <w:rFonts w:hint="eastAsia" w:ascii="仿宋_GB2312" w:hAnsi="仿宋_GB2312" w:eastAsia="仿宋_GB2312" w:cs="仿宋_GB2312"/>
          <w:color w:val="auto"/>
          <w:sz w:val="21"/>
          <w:szCs w:val="21"/>
          <w:highlight w:val="none"/>
          <w:u w:val="dotted"/>
        </w:rPr>
        <w:t xml:space="preserve">                                              </w:t>
      </w:r>
      <w:r>
        <w:rPr>
          <w:rFonts w:hint="eastAsia" w:ascii="仿宋_GB2312" w:hAnsi="仿宋_GB2312" w:eastAsia="仿宋_GB2312" w:cs="仿宋_GB2312"/>
          <w:color w:val="auto"/>
          <w:sz w:val="21"/>
          <w:szCs w:val="21"/>
          <w:highlight w:val="none"/>
        </w:rPr>
        <w:t xml:space="preserve"> </w:t>
      </w:r>
    </w:p>
    <w:p>
      <w:pPr>
        <w:shd w:val="clear" w:color="auto"/>
        <w:spacing w:line="36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 xml:space="preserve">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签字(签章)：                   公章：                      </w:t>
      </w:r>
    </w:p>
    <w:p>
      <w:pPr>
        <w:shd w:val="clear" w:color="auto"/>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日期：    </w:t>
      </w:r>
    </w:p>
    <w:p>
      <w:pPr>
        <w:shd w:val="clear" w:color="auto"/>
        <w:spacing w:line="360" w:lineRule="auto"/>
        <w:rPr>
          <w:rFonts w:hint="eastAsia" w:ascii="仿宋_GB2312" w:hAnsi="仿宋_GB2312" w:eastAsia="仿宋_GB2312" w:cs="仿宋_GB2312"/>
          <w:b/>
          <w:color w:val="auto"/>
          <w:sz w:val="21"/>
          <w:szCs w:val="21"/>
          <w:highlight w:val="none"/>
        </w:rPr>
      </w:pPr>
    </w:p>
    <w:p>
      <w:pPr>
        <w:shd w:val="clear" w:color="auto"/>
        <w:spacing w:line="360" w:lineRule="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投诉书制作说明：</w:t>
      </w:r>
    </w:p>
    <w:p>
      <w:pPr>
        <w:widowControl/>
        <w:shd w:val="clear" w:color="auto"/>
        <w:spacing w:line="360" w:lineRule="auto"/>
        <w:ind w:firstLine="420" w:firstLineChars="2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1.投诉人提起投诉时，应当提交投诉书和必要的证明材料，并按照被投诉人和与投诉事项有关的供应商数量提供投诉书副本。</w:t>
      </w:r>
    </w:p>
    <w:p>
      <w:pPr>
        <w:widowControl/>
        <w:shd w:val="clear" w:color="auto"/>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2.投诉人若委托代理人进行投诉的，投诉书应按照要求列明“授权代表”的有关内容，并在附件中提交由</w:t>
      </w:r>
      <w:r>
        <w:rPr>
          <w:rFonts w:hint="eastAsia" w:ascii="仿宋_GB2312" w:hAnsi="仿宋_GB2312" w:eastAsia="仿宋_GB2312" w:cs="仿宋_GB2312"/>
          <w:color w:val="auto"/>
          <w:kern w:val="0"/>
          <w:sz w:val="21"/>
          <w:szCs w:val="21"/>
          <w:highlight w:val="none"/>
        </w:rPr>
        <w:t>投诉人签署的授权委托书。授权委托书应当载明代理人的姓名或者名称、代理事项、具体权限、期限和相关事项。</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3.投诉人若对项目的某一分包进行投诉，投诉书应列明具体分包号。</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4.投诉书应简要列明质疑事项，质疑函、质疑答复等作为附件材料提供。</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5.投诉书的投诉事项应具体、明确，并有必要的事实依据和法律依据。</w:t>
      </w:r>
    </w:p>
    <w:p>
      <w:pPr>
        <w:widowControl/>
        <w:shd w:val="clear" w:color="auto"/>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6.投诉书的投诉请求应与投诉事项相关。</w:t>
      </w:r>
    </w:p>
    <w:p>
      <w:pPr>
        <w:shd w:val="clear" w:color="auto"/>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7.投诉人为自然人的，投诉书应当由本人签字；投诉人为法人或者其他组织的，投诉书应当由法定代表人、主要负责人，或者其授权代表签字或者盖章，并加盖公章。</w:t>
      </w:r>
    </w:p>
    <w:p>
      <w:pPr>
        <w:shd w:val="clear" w:color="auto"/>
        <w:spacing w:line="240" w:lineRule="auto"/>
        <w:ind w:firstLine="0" w:firstLineChars="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br w:type="page"/>
      </w:r>
    </w:p>
    <w:p>
      <w:pPr>
        <w:pStyle w:val="5"/>
        <w:shd w:val="clear" w:color="auto"/>
        <w:jc w:val="center"/>
        <w:rPr>
          <w:rFonts w:hint="default" w:ascii="仿宋_GB2312" w:hAnsi="仿宋_GB2312" w:eastAsia="仿宋_GB2312" w:cs="仿宋_GB2312"/>
          <w:b w:val="0"/>
          <w:bCs w:val="0"/>
          <w:i/>
          <w:iCs/>
          <w:color w:val="auto"/>
          <w:szCs w:val="48"/>
          <w:highlight w:val="none"/>
          <w:lang w:val="en-US" w:eastAsia="zh-CN"/>
        </w:rPr>
      </w:pPr>
      <w:bookmarkStart w:id="151" w:name="_Toc17208"/>
      <w:r>
        <w:rPr>
          <w:rFonts w:hint="eastAsia" w:ascii="仿宋_GB2312" w:hAnsi="仿宋_GB2312" w:eastAsia="仿宋_GB2312" w:cs="仿宋_GB2312"/>
          <w:color w:val="auto"/>
          <w:szCs w:val="48"/>
          <w:highlight w:val="none"/>
        </w:rPr>
        <w:t>第四章</w:t>
      </w:r>
      <w:bookmarkEnd w:id="151"/>
      <w:r>
        <w:rPr>
          <w:rFonts w:hint="eastAsia" w:ascii="仿宋_GB2312" w:hAnsi="仿宋_GB2312" w:eastAsia="仿宋_GB2312" w:cs="仿宋_GB2312"/>
          <w:color w:val="auto"/>
          <w:szCs w:val="48"/>
          <w:highlight w:val="none"/>
        </w:rPr>
        <w:t xml:space="preserve"> 合同条款资料表</w:t>
      </w:r>
    </w:p>
    <w:tbl>
      <w:tblPr>
        <w:tblStyle w:val="2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tcPr>
          <w:p>
            <w:pPr>
              <w:shd w:val="clear"/>
              <w:tabs>
                <w:tab w:val="left" w:pos="840"/>
              </w:tabs>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8228" w:type="dxa"/>
          </w:tcPr>
          <w:p>
            <w:pPr>
              <w:shd w:val="clear"/>
              <w:tabs>
                <w:tab w:val="left" w:pos="840"/>
              </w:tabs>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rPr>
            </w:pPr>
          </w:p>
        </w:tc>
        <w:tc>
          <w:tcPr>
            <w:tcW w:w="8228" w:type="dxa"/>
          </w:tcPr>
          <w:p>
            <w:pPr>
              <w:pStyle w:val="71"/>
              <w:numPr>
                <w:ilvl w:val="0"/>
                <w:numId w:val="0"/>
              </w:numPr>
              <w:tabs>
                <w:tab w:val="left" w:pos="341"/>
              </w:tabs>
              <w:spacing w:before="91" w:afterLines="0" w:line="321" w:lineRule="auto"/>
              <w:ind w:left="24" w:right="-15"/>
              <w:jc w:val="both"/>
              <w:rPr>
                <w:rFonts w:hint="eastAsia"/>
              </w:rPr>
            </w:pPr>
            <w:r>
              <w:rPr>
                <w:rFonts w:hint="eastAsia" w:ascii="仿宋_GB2312" w:hAnsi="仿宋_GB2312" w:eastAsia="仿宋_GB2312" w:cs="仿宋_GB2312"/>
                <w:color w:val="auto"/>
                <w:sz w:val="24"/>
                <w:szCs w:val="24"/>
                <w:highlight w:val="none"/>
                <w:lang w:eastAsia="zh-CN"/>
              </w:rPr>
              <w:t>响应报价</w:t>
            </w:r>
            <w:r>
              <w:rPr>
                <w:rFonts w:hint="eastAsia" w:ascii="仿宋_GB2312" w:hAnsi="仿宋_GB2312" w:eastAsia="仿宋_GB2312" w:cs="仿宋_GB2312"/>
                <w:color w:val="auto"/>
                <w:sz w:val="24"/>
                <w:szCs w:val="24"/>
                <w:highlight w:val="none"/>
              </w:rPr>
              <w:t>：包括但不限于完成本设计服务所发生的方案设计费、施工图纸设计费、现场勘查费、人工费、协调费、设计修改费、估算费、估算修改费、审查费、材料费及递送费、场地办公费、设备费、交通费、管理费、考察费、专家咨询费、加班费、专利技术使用费（包括自有专利技术以及使用他人的专利技术）、其他知识产权使用费（包括自有知识产权以及使用他人的知识产权）、利润、税金等各项应有费用。除非双方另有约定，</w:t>
            </w: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无需就合同所述的</w:t>
            </w:r>
            <w:r>
              <w:rPr>
                <w:rFonts w:hint="eastAsia" w:ascii="仿宋_GB2312" w:hAnsi="仿宋_GB2312" w:eastAsia="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rPr>
              <w:t>服务向其他人员或任何第三方支付任何其他费用。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lang w:eastAsia="zh-CN"/>
              </w:rPr>
            </w:pPr>
          </w:p>
        </w:tc>
        <w:tc>
          <w:tcPr>
            <w:tcW w:w="8228" w:type="dxa"/>
          </w:tcPr>
          <w:p>
            <w:pPr>
              <w:pStyle w:val="8"/>
              <w:numPr>
                <w:ilvl w:val="0"/>
                <w:numId w:val="0"/>
              </w:numPr>
              <w:autoSpaceDE w:val="0"/>
              <w:autoSpaceDN w:val="0"/>
              <w:adjustRightInd w:val="0"/>
              <w:spacing w:before="91" w:afterLines="0" w:line="321" w:lineRule="auto"/>
              <w:ind w:right="-15" w:firstLine="0" w:firstLineChars="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服务期限：</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before="91" w:afterLines="0" w:line="321" w:lineRule="auto"/>
              <w:ind w:left="0" w:right="-15" w:firstLine="240" w:firstLineChars="1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1、签订设计合同后在15个日历天内提交初步设计方案及概算文件；</w:t>
            </w:r>
          </w:p>
          <w:p>
            <w:pPr>
              <w:pStyle w:val="8"/>
              <w:numPr>
                <w:ilvl w:val="0"/>
                <w:numId w:val="0"/>
              </w:numPr>
              <w:autoSpaceDE w:val="0"/>
              <w:autoSpaceDN w:val="0"/>
              <w:adjustRightInd w:val="0"/>
              <w:spacing w:before="91" w:afterLines="0" w:line="321" w:lineRule="auto"/>
              <w:ind w:left="0" w:right="-15" w:firstLine="240" w:firstLineChars="1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2、取得甲方的设计方案同意意见后，15个日历天内提交施工图文件及预算等相关成果文件；</w:t>
            </w:r>
          </w:p>
          <w:p>
            <w:pPr>
              <w:pStyle w:val="8"/>
              <w:numPr>
                <w:ilvl w:val="0"/>
                <w:numId w:val="0"/>
              </w:numPr>
              <w:autoSpaceDE w:val="0"/>
              <w:autoSpaceDN w:val="0"/>
              <w:adjustRightInd w:val="0"/>
              <w:spacing w:before="91" w:afterLines="0" w:line="321" w:lineRule="auto"/>
              <w:ind w:right="-15" w:firstLine="240" w:firstLineChars="1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3、在港澳大道3号地下人行通提升改建项目施工期间，乙方应积极配合施工过程中相关可能发生的设计、施工、预算等变更手续，服务直至改造施工项目完工。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60" w:type="dxa"/>
            <w:vAlign w:val="center"/>
          </w:tcPr>
          <w:p>
            <w:pPr>
              <w:numPr>
                <w:ilvl w:val="0"/>
                <w:numId w:val="4"/>
              </w:numPr>
              <w:shd w:val="clear"/>
              <w:tabs>
                <w:tab w:val="left" w:pos="840"/>
              </w:tabs>
              <w:spacing w:line="360" w:lineRule="auto"/>
              <w:ind w:left="425" w:hanging="425"/>
              <w:jc w:val="center"/>
              <w:rPr>
                <w:rFonts w:hint="default" w:ascii="仿宋_GB2312" w:hAnsi="仿宋_GB2312" w:eastAsia="仿宋_GB2312" w:cs="仿宋_GB2312"/>
                <w:color w:val="auto"/>
                <w:sz w:val="24"/>
                <w:szCs w:val="24"/>
                <w:highlight w:val="none"/>
                <w:lang w:val="en-US" w:eastAsia="zh-CN"/>
              </w:rPr>
            </w:pPr>
          </w:p>
        </w:tc>
        <w:tc>
          <w:tcPr>
            <w:tcW w:w="8228" w:type="dxa"/>
          </w:tcPr>
          <w:p>
            <w:pPr>
              <w:pStyle w:val="8"/>
              <w:numPr>
                <w:ilvl w:val="0"/>
                <w:numId w:val="0"/>
              </w:numPr>
              <w:shd w:val="clear"/>
              <w:autoSpaceDE w:val="0"/>
              <w:autoSpaceDN w:val="0"/>
              <w:adjustRightInd w:val="0"/>
              <w:spacing w:before="91" w:beforeAutospacing="0" w:after="0" w:afterLines="0" w:afterAutospacing="0" w:line="321" w:lineRule="auto"/>
              <w:ind w:left="24" w:right="-15"/>
              <w:jc w:val="both"/>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主要工作内容及质量要求：具体详见用户需求书。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lang w:val="en-US" w:eastAsia="zh-CN"/>
              </w:rPr>
            </w:pPr>
          </w:p>
        </w:tc>
        <w:tc>
          <w:tcPr>
            <w:tcW w:w="8228" w:type="dxa"/>
          </w:tcPr>
          <w:p>
            <w:pPr>
              <w:pStyle w:val="8"/>
              <w:numPr>
                <w:ilvl w:val="0"/>
                <w:numId w:val="0"/>
              </w:numPr>
              <w:shd w:val="clear"/>
              <w:autoSpaceDE w:val="0"/>
              <w:autoSpaceDN w:val="0"/>
              <w:adjustRightInd w:val="0"/>
              <w:spacing w:before="91" w:beforeAutospacing="0" w:after="0" w:afterLines="0" w:afterAutospacing="0" w:line="321" w:lineRule="auto"/>
              <w:ind w:left="24" w:right="-15" w:firstLine="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付款方法和支付比例：合同签订后，</w:t>
            </w:r>
            <w:r>
              <w:rPr>
                <w:rFonts w:hint="eastAsia" w:ascii="仿宋_GB2312" w:hAnsi="仿宋_GB2312" w:eastAsia="仿宋_GB2312" w:cs="仿宋_GB2312"/>
                <w:iCs w:val="0"/>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lang w:val="en-US" w:eastAsia="zh-CN"/>
              </w:rPr>
              <w:t>提交的方案设计图、概算文件及施工图设计成果文件，经</w:t>
            </w:r>
            <w:r>
              <w:rPr>
                <w:rFonts w:hint="eastAsia" w:ascii="仿宋_GB2312" w:hAnsi="仿宋_GB2312" w:eastAsia="仿宋_GB2312" w:cs="仿宋_GB2312"/>
                <w:iCs w:val="0"/>
                <w:color w:val="auto"/>
                <w:sz w:val="24"/>
                <w:szCs w:val="24"/>
                <w:highlight w:val="none"/>
                <w:lang w:val="en-US" w:eastAsia="zh-CN"/>
              </w:rPr>
              <w:t>甲方</w:t>
            </w:r>
            <w:r>
              <w:rPr>
                <w:rFonts w:hint="eastAsia" w:ascii="仿宋_GB2312" w:hAnsi="仿宋_GB2312" w:eastAsia="仿宋_GB2312" w:cs="仿宋_GB2312"/>
                <w:color w:val="auto"/>
                <w:sz w:val="24"/>
                <w:szCs w:val="24"/>
                <w:highlight w:val="none"/>
                <w:lang w:val="en-US" w:eastAsia="zh-CN"/>
              </w:rPr>
              <w:t>书面确认后，</w:t>
            </w:r>
            <w:r>
              <w:rPr>
                <w:rFonts w:hint="eastAsia" w:ascii="仿宋_GB2312" w:hAnsi="仿宋_GB2312" w:eastAsia="仿宋_GB2312" w:cs="仿宋_GB2312"/>
                <w:iCs w:val="0"/>
                <w:color w:val="auto"/>
                <w:sz w:val="24"/>
                <w:szCs w:val="24"/>
                <w:highlight w:val="none"/>
                <w:lang w:val="en-US" w:eastAsia="zh-CN"/>
              </w:rPr>
              <w:t>甲方</w:t>
            </w:r>
            <w:r>
              <w:rPr>
                <w:rFonts w:hint="eastAsia" w:ascii="仿宋_GB2312" w:hAnsi="仿宋_GB2312" w:eastAsia="仿宋_GB2312" w:cs="仿宋_GB2312"/>
                <w:iCs w:val="0"/>
                <w:color w:val="auto"/>
                <w:sz w:val="24"/>
                <w:szCs w:val="24"/>
                <w:highlight w:val="none"/>
              </w:rPr>
              <w:t>支付至最终设计费的80%，待项目施工完成后，</w:t>
            </w:r>
            <w:r>
              <w:rPr>
                <w:rFonts w:hint="eastAsia" w:ascii="仿宋_GB2312" w:hAnsi="仿宋_GB2312" w:eastAsia="仿宋_GB2312" w:cs="仿宋_GB2312"/>
                <w:iCs w:val="0"/>
                <w:color w:val="auto"/>
                <w:sz w:val="24"/>
                <w:szCs w:val="24"/>
                <w:highlight w:val="none"/>
                <w:lang w:val="en-US" w:eastAsia="zh-CN"/>
              </w:rPr>
              <w:t>甲方</w:t>
            </w:r>
            <w:r>
              <w:rPr>
                <w:rFonts w:hint="eastAsia" w:ascii="仿宋_GB2312" w:hAnsi="仿宋_GB2312" w:eastAsia="仿宋_GB2312" w:cs="仿宋_GB2312"/>
                <w:iCs w:val="0"/>
                <w:color w:val="auto"/>
                <w:sz w:val="24"/>
                <w:szCs w:val="24"/>
                <w:highlight w:val="none"/>
              </w:rPr>
              <w:t>支付剩余20%尾款。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0" w:type="dxa"/>
            <w:vAlign w:val="center"/>
          </w:tcPr>
          <w:p>
            <w:pPr>
              <w:numPr>
                <w:ilvl w:val="0"/>
                <w:numId w:val="4"/>
              </w:numPr>
              <w:shd w:val="clear"/>
              <w:tabs>
                <w:tab w:val="left" w:pos="840"/>
              </w:tabs>
              <w:spacing w:line="360" w:lineRule="auto"/>
              <w:ind w:left="425" w:hanging="425"/>
              <w:jc w:val="center"/>
              <w:rPr>
                <w:rFonts w:hint="default" w:ascii="仿宋_GB2312" w:hAnsi="仿宋_GB2312" w:eastAsia="仿宋_GB2312" w:cs="仿宋_GB2312"/>
                <w:color w:val="auto"/>
                <w:sz w:val="24"/>
                <w:szCs w:val="24"/>
                <w:highlight w:val="none"/>
                <w:lang w:val="en-US" w:eastAsia="zh-CN"/>
              </w:rPr>
            </w:pPr>
          </w:p>
        </w:tc>
        <w:tc>
          <w:tcPr>
            <w:tcW w:w="8228" w:type="dxa"/>
          </w:tcPr>
          <w:p>
            <w:pPr>
              <w:pStyle w:val="23"/>
              <w:numPr>
                <w:ilvl w:val="-1"/>
                <w:numId w:val="0"/>
              </w:numPr>
              <w:shd w:val="clear"/>
              <w:spacing w:before="0" w:beforeAutospacing="0" w:after="0" w:afterAutospacing="0" w:line="240" w:lineRule="auto"/>
              <w:ind w:left="0" w:firstLine="0" w:firstLineChars="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24"/>
                <w:szCs w:val="24"/>
                <w:highlight w:val="none"/>
              </w:rPr>
              <w:t>服务标准：符合国家、广东省</w:t>
            </w:r>
            <w:r>
              <w:rPr>
                <w:rFonts w:hint="eastAsia" w:ascii="仿宋_GB2312" w:hAnsi="仿宋_GB2312" w:eastAsia="仿宋_GB2312" w:cs="仿宋_GB2312"/>
                <w:color w:val="auto"/>
                <w:sz w:val="24"/>
                <w:szCs w:val="24"/>
                <w:highlight w:val="none"/>
                <w:lang w:val="en-US" w:eastAsia="zh-CN"/>
              </w:rPr>
              <w:t>及横琴粤澳深度合作区</w:t>
            </w:r>
            <w:r>
              <w:rPr>
                <w:rFonts w:hint="eastAsia" w:ascii="仿宋_GB2312" w:hAnsi="仿宋_GB2312" w:eastAsia="仿宋_GB2312" w:cs="仿宋_GB2312"/>
                <w:color w:val="auto"/>
                <w:sz w:val="24"/>
                <w:szCs w:val="24"/>
                <w:highlight w:val="none"/>
              </w:rPr>
              <w:t>相关法律法规及有关规定的要求，并按要求通过有关机构审查。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lang w:eastAsia="zh-CN"/>
              </w:rPr>
            </w:pPr>
          </w:p>
        </w:tc>
        <w:tc>
          <w:tcPr>
            <w:tcW w:w="8228" w:type="dxa"/>
          </w:tcPr>
          <w:p>
            <w:pPr>
              <w:numPr>
                <w:ilvl w:val="0"/>
                <w:numId w:val="0"/>
              </w:numPr>
              <w:shd w:val="clear" w:color="auto" w:fill="auto"/>
              <w:snapToGrid w:val="0"/>
              <w:spacing w:line="300" w:lineRule="auto"/>
              <w:ind w:firstLine="0" w:firstLineChars="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val="0"/>
                <w:bCs w:val="0"/>
                <w:color w:val="auto"/>
                <w:spacing w:val="0"/>
                <w:sz w:val="24"/>
                <w:szCs w:val="24"/>
                <w:highlight w:val="none"/>
                <w:lang w:val="en-US" w:eastAsia="zh-CN"/>
              </w:rPr>
              <w:t>验收要求：按照国家、广东省及横琴粤澳深度合作区相关法律法规及有关规定的要求，并按要求通过有关机构审查。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60" w:type="dxa"/>
            <w:vAlign w:val="center"/>
          </w:tcPr>
          <w:p>
            <w:pPr>
              <w:numPr>
                <w:ilvl w:val="0"/>
                <w:numId w:val="4"/>
              </w:numPr>
              <w:shd w:val="clear"/>
              <w:tabs>
                <w:tab w:val="left" w:pos="840"/>
              </w:tabs>
              <w:spacing w:line="360" w:lineRule="auto"/>
              <w:ind w:left="425" w:hanging="425"/>
              <w:jc w:val="center"/>
              <w:rPr>
                <w:rFonts w:hint="eastAsia" w:ascii="仿宋_GB2312" w:hAnsi="仿宋_GB2312" w:eastAsia="仿宋_GB2312" w:cs="仿宋_GB2312"/>
                <w:color w:val="auto"/>
                <w:sz w:val="24"/>
                <w:szCs w:val="24"/>
                <w:highlight w:val="none"/>
                <w:lang w:val="en-US" w:eastAsia="zh-CN"/>
              </w:rPr>
            </w:pPr>
          </w:p>
        </w:tc>
        <w:tc>
          <w:tcPr>
            <w:tcW w:w="8228" w:type="dxa"/>
          </w:tcPr>
          <w:p>
            <w:pPr>
              <w:pStyle w:val="2"/>
              <w:ind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违约责任：</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1.乙方提供的服务未能满足合同、磋商文件或甲方要求，甲方累计3次书面通知要求整改而乙方未按要求整改或整改后仍达不到要求的，甲方有权解除合同，且乙方须支付合同价的10%作为违约金。</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2.合同履行期限内乙方未按要求配置的设备、人员未满足合同约定，须按甲方要求的期限进行整改，且每次乙方须按照合同金额的2%支付违约金。</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合同履约期间，项目负责人必须按照响应文件中所承诺的人员进行配置，原则上不得变更，因项目负责人身体等客观原因不能继续履行项目职责，经甲方书面同意方可变更；若出现第二次变更，则乙方需支付5000元的违约金；若需第三次变更项目负责人，则乙方需支付1万元的违约金，同时甲方有权单方面终止合同，由此给甲方造成的损失全部由乙方承担，相关损失赔偿不限于诉讼费、律师费等。</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4.因违约方违约导致守约方为维护合法权益产生的一切费用由违约方承担，该费用包括但不限于诉讼或仲裁费、保全费、律师费、公告费、鉴定费、调查费、评估费、执行费、差旅费、赔偿款、拍卖费。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5.乙方不得转、分包服务业务，否则，终止本合同，同时乙方退还全部甲方已付合同款；甲方未支付合同款的，不再向乙方支付任何款项。由此产生的一切后果由乙方负责。</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6.其它违约责任按《中华人民共和国民法典》处理。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60" w:type="dxa"/>
            <w:vAlign w:val="center"/>
          </w:tcPr>
          <w:p>
            <w:pPr>
              <w:numPr>
                <w:ilvl w:val="0"/>
                <w:numId w:val="4"/>
              </w:numPr>
              <w:shd w:val="clear"/>
              <w:tabs>
                <w:tab w:val="left" w:pos="840"/>
              </w:tabs>
              <w:spacing w:line="360" w:lineRule="auto"/>
              <w:ind w:left="425" w:hanging="425"/>
              <w:jc w:val="center"/>
              <w:rPr>
                <w:rFonts w:hint="default" w:ascii="仿宋_GB2312" w:hAnsi="仿宋_GB2312" w:eastAsia="仿宋_GB2312" w:cs="仿宋_GB2312"/>
                <w:color w:val="auto"/>
                <w:sz w:val="24"/>
                <w:szCs w:val="24"/>
                <w:highlight w:val="none"/>
                <w:lang w:val="en-US" w:eastAsia="zh-CN"/>
              </w:rPr>
            </w:pPr>
          </w:p>
        </w:tc>
        <w:tc>
          <w:tcPr>
            <w:tcW w:w="8228" w:type="dxa"/>
          </w:tcPr>
          <w:p>
            <w:pPr>
              <w:pStyle w:val="2"/>
              <w:ind w:firstLine="0" w:firstLineChars="0"/>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bidi="ar-SA"/>
              </w:rPr>
              <w:t>权利和义务</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1.甲方的权利和义务</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1.1甲方在规定的时间内向乙方提交资料及文件，并对其完整性、正确性及时限负责，甲方不得要求乙方违反国家有关标准进行设计。如因甲方提供基础资料时间滞后，则乙方提交成果的时间相应顺延。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1.2因甲方原因造成工程停建、缓建、发生重大变更，以致合同不能正常履行时，乙方不得要求进行经济索赔，但甲方可顺延工期或按现状完成的工作量结算。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1.3项目实施过程中，甲方无需再向乙方支付其他任何费用，乙方应自行承担其工作人员的食、宿、交通费用以及服务中发生的其他费用。</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1.4乙方完成的所有成果归甲方所有，甲方可根据项目需要合理利用，乙方不得有任何异议。</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1.5乙方在从事服务过程中，甲方有权派专人监督、检查。对乙方不符合合同规定的服务内容，甲方有权要求乙方限期改正。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1.6乙方依约履行合同的前提下，甲方按合同约定履行付款义务。因乙方原因致使成果文件质量不合格，其责任由乙方承担，乙方应修改完善，否则甲方不予支付费用。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1.7甲方要求乙方比合同规定时间提前交付设计资料及文件时,乙方应积极配合。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2.乙方责任与权利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2.1乙方应按国家规定和合同约定的现行规范及相关行业标准、规程进行工程设计，按合同规定的内容、时间及份数向甲方交付设计成果资料及相关文件，并对其负责。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2.2设计合理使用年限为国家规定年限。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2.3乙方交付设计资料及文件后，按规定参加有关的设计审查，并根据审查结论负责对该审查意见做必要修改调整补充。乙方按合同规定时限交付设计资料及文件，负责向甲方及施工单位进行设计交底、处理有关设计问题和参加竣工验收。 </w:t>
            </w:r>
          </w:p>
          <w:p>
            <w:pPr>
              <w:pStyle w:val="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2.4乙方的初步设计概算必须限定在投资估算额度内，乙方完成设计图、概算书、施工图后，甲方提出优化设计要求的，乙方必须针对调整方案在甲方要求的合理时间内进行限额、图纸等相关优化。 </w:t>
            </w:r>
          </w:p>
          <w:p>
            <w:pPr>
              <w:pStyle w:val="2"/>
              <w:rPr>
                <w:rFonts w:hint="default"/>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2.5编制概算必须按国家、省、市有关规定进行，认真、准确、及时出具成果文件。</w:t>
            </w:r>
          </w:p>
        </w:tc>
      </w:tr>
    </w:tbl>
    <w:p>
      <w:pPr>
        <w:rPr>
          <w:rFonts w:hint="eastAsia" w:ascii="仿宋_GB2312" w:hAnsi="仿宋_GB2312" w:eastAsia="仿宋_GB2312" w:cs="仿宋_GB2312"/>
          <w:color w:val="auto"/>
          <w:szCs w:val="48"/>
          <w:highlight w:val="yellow"/>
          <w:lang w:eastAsia="zh-CN"/>
        </w:rPr>
      </w:pPr>
    </w:p>
    <w:p>
      <w:pPr>
        <w:rPr>
          <w:rFonts w:hint="eastAsia" w:ascii="仿宋_GB2312" w:hAnsi="仿宋_GB2312" w:eastAsia="仿宋_GB2312" w:cs="仿宋_GB2312"/>
          <w:color w:val="auto"/>
          <w:szCs w:val="48"/>
          <w:highlight w:val="none"/>
          <w:lang w:eastAsia="zh-CN"/>
        </w:rPr>
      </w:pPr>
      <w:r>
        <w:rPr>
          <w:rFonts w:hint="eastAsia" w:ascii="仿宋_GB2312" w:hAnsi="仿宋_GB2312" w:eastAsia="仿宋_GB2312" w:cs="仿宋_GB2312"/>
          <w:color w:val="auto"/>
          <w:szCs w:val="48"/>
          <w:highlight w:val="yellow"/>
          <w:lang w:eastAsia="zh-CN"/>
        </w:rPr>
        <w:br w:type="page"/>
      </w:r>
    </w:p>
    <w:p>
      <w:pPr>
        <w:pStyle w:val="5"/>
        <w:spacing w:after="100" w:line="579" w:lineRule="auto"/>
        <w:jc w:val="center"/>
        <w:rPr>
          <w:rFonts w:hint="eastAsia" w:ascii="仿宋_GB2312" w:hAnsi="仿宋_GB2312" w:eastAsia="仿宋_GB2312" w:cs="仿宋_GB2312"/>
          <w:b/>
          <w:bCs/>
          <w:color w:val="auto"/>
          <w:spacing w:val="0"/>
          <w:sz w:val="24"/>
          <w:szCs w:val="24"/>
          <w:highlight w:val="none"/>
          <w:lang w:eastAsia="zh-CN"/>
        </w:rPr>
      </w:pPr>
      <w:r>
        <w:rPr>
          <w:rFonts w:hint="eastAsia" w:ascii="仿宋_GB2312" w:hAnsi="仿宋_GB2312" w:eastAsia="仿宋_GB2312" w:cs="仿宋_GB2312"/>
          <w:color w:val="auto"/>
          <w:szCs w:val="48"/>
          <w:highlight w:val="none"/>
          <w:lang w:eastAsia="zh-CN"/>
        </w:rPr>
        <w:t>第五章</w:t>
      </w:r>
      <w:r>
        <w:rPr>
          <w:rFonts w:hint="eastAsia" w:ascii="仿宋_GB2312" w:hAnsi="仿宋_GB2312" w:eastAsia="仿宋_GB2312" w:cs="仿宋_GB2312"/>
          <w:color w:val="auto"/>
          <w:szCs w:val="48"/>
          <w:highlight w:val="none"/>
          <w:lang w:val="en-US" w:eastAsia="zh-CN"/>
        </w:rPr>
        <w:t xml:space="preserve">  </w:t>
      </w:r>
      <w:r>
        <w:rPr>
          <w:rFonts w:hint="eastAsia" w:ascii="仿宋_GB2312" w:hAnsi="仿宋_GB2312" w:eastAsia="仿宋_GB2312" w:cs="仿宋_GB2312"/>
          <w:color w:val="auto"/>
          <w:szCs w:val="48"/>
          <w:highlight w:val="none"/>
        </w:rPr>
        <w:t>用户需求书</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一、项目名称</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横琴粤澳深度合作区城市规划和建设局横琴粤澳深度合作区港澳大道3号地下人行通道提升改建工程设计服务项目</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二、项目背景</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横琴粤澳深度合作区港澳大道3号地下人行通道整体面积约710m²，邻近新地标澳门新街坊教育区，目前已开放使用近8年，随着时间的推移，人行通道设施墙面及附属设施逐渐老化和病害增多，拟对港澳大道3号地下人行通道进行提升改建，前期需招选一家设计单位承担港澳大道3号地下人行通道提升改建工程的设计服务。</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三、项目总体目标</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港澳大道3号地下人行通道在提升改建后融入更多的澳门元素，以配合做好澳门新街坊项目周边的市政配套工作，打造宜居宜业的粤澳居民生活环境。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四、主要工作内容及质量要求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（一）主要工作内容</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对横琴粤澳深度合作区港澳大道3号地下人行通道进行提升改建设计，使其融入更多的澳门元素，服务内容包括方案设计、施工图设计以及施工配合阶段的设计工作，具体要求如下：</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（1）对</w:t>
      </w:r>
      <w:r>
        <w:rPr>
          <w:rFonts w:hint="eastAsia" w:ascii="仿宋_GB2312" w:hAnsi="仿宋_GB2312" w:eastAsia="仿宋_GB2312" w:cs="仿宋_GB2312"/>
          <w:color w:val="auto"/>
          <w:sz w:val="24"/>
          <w:szCs w:val="24"/>
          <w:highlight w:val="none"/>
          <w:lang w:eastAsia="zh-CN"/>
        </w:rPr>
        <w:t>现</w:t>
      </w:r>
      <w:r>
        <w:rPr>
          <w:rFonts w:hint="eastAsia" w:ascii="仿宋_GB2312" w:hAnsi="仿宋_GB2312" w:eastAsia="仿宋_GB2312" w:cs="仿宋_GB2312"/>
          <w:color w:val="auto"/>
          <w:sz w:val="24"/>
          <w:szCs w:val="24"/>
          <w:highlight w:val="none"/>
        </w:rPr>
        <w:t>有地下行人通道的形像陈旧、</w:t>
      </w:r>
      <w:r>
        <w:rPr>
          <w:rFonts w:hint="eastAsia" w:ascii="仿宋_GB2312" w:hAnsi="仿宋_GB2312" w:eastAsia="仿宋_GB2312" w:cs="仿宋_GB2312"/>
          <w:color w:val="auto"/>
          <w:sz w:val="24"/>
          <w:szCs w:val="24"/>
          <w:highlight w:val="none"/>
          <w:lang w:eastAsia="zh-CN"/>
        </w:rPr>
        <w:t>光线昏暗</w:t>
      </w:r>
      <w:r>
        <w:rPr>
          <w:rFonts w:hint="eastAsia" w:ascii="仿宋_GB2312" w:hAnsi="仿宋_GB2312" w:eastAsia="仿宋_GB2312" w:cs="仿宋_GB2312"/>
          <w:color w:val="auto"/>
          <w:sz w:val="24"/>
          <w:szCs w:val="24"/>
          <w:highlight w:val="none"/>
        </w:rPr>
        <w:t>等状况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提出以重新塑造入口鲜明形</w:t>
      </w:r>
      <w:r>
        <w:rPr>
          <w:rFonts w:hint="eastAsia" w:ascii="仿宋_GB2312" w:hAnsi="仿宋_GB2312" w:eastAsia="仿宋_GB2312" w:cs="仿宋_GB2312"/>
          <w:color w:val="auto"/>
          <w:sz w:val="24"/>
          <w:szCs w:val="24"/>
          <w:highlight w:val="none"/>
          <w:lang w:val="en-US" w:eastAsia="zh-CN"/>
        </w:rPr>
        <w:t>象</w:t>
      </w:r>
      <w:r>
        <w:rPr>
          <w:rFonts w:hint="eastAsia" w:ascii="仿宋_GB2312" w:hAnsi="仿宋_GB2312" w:eastAsia="仿宋_GB2312" w:cs="仿宋_GB2312"/>
          <w:color w:val="auto"/>
          <w:sz w:val="24"/>
          <w:szCs w:val="24"/>
          <w:highlight w:val="none"/>
        </w:rPr>
        <w:t>、展现横琴与澳门的文化特色并解决现有问题为改建目的, 并透过此项目的修复改建形成中葡融合的文化延伸。</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（2）以鲜</w:t>
      </w:r>
      <w:r>
        <w:rPr>
          <w:rFonts w:hint="eastAsia" w:ascii="仿宋_GB2312" w:hAnsi="仿宋_GB2312" w:eastAsia="仿宋_GB2312" w:cs="仿宋_GB2312"/>
          <w:color w:val="auto"/>
          <w:sz w:val="24"/>
          <w:szCs w:val="24"/>
          <w:highlight w:val="none"/>
          <w:lang w:eastAsia="zh-CN"/>
        </w:rPr>
        <w:t>明</w:t>
      </w:r>
      <w:r>
        <w:rPr>
          <w:rFonts w:hint="eastAsia" w:ascii="仿宋_GB2312" w:hAnsi="仿宋_GB2312" w:eastAsia="仿宋_GB2312" w:cs="仿宋_GB2312"/>
          <w:color w:val="auto"/>
          <w:sz w:val="24"/>
          <w:szCs w:val="24"/>
          <w:highlight w:val="none"/>
        </w:rPr>
        <w:t>色彩的立面展示出清新明亮入口,以澳葡建筑</w:t>
      </w:r>
      <w:r>
        <w:rPr>
          <w:rFonts w:hint="eastAsia" w:ascii="仿宋_GB2312" w:hAnsi="仿宋_GB2312" w:eastAsia="仿宋_GB2312" w:cs="仿宋_GB2312"/>
          <w:color w:val="auto"/>
          <w:sz w:val="24"/>
          <w:szCs w:val="24"/>
          <w:highlight w:val="none"/>
          <w:lang w:eastAsia="zh-CN"/>
        </w:rPr>
        <w:t>文化</w:t>
      </w:r>
      <w:r>
        <w:rPr>
          <w:rFonts w:hint="eastAsia" w:ascii="仿宋_GB2312" w:hAnsi="仿宋_GB2312" w:eastAsia="仿宋_GB2312" w:cs="仿宋_GB2312"/>
          <w:color w:val="auto"/>
          <w:sz w:val="24"/>
          <w:szCs w:val="24"/>
          <w:highlight w:val="none"/>
        </w:rPr>
        <w:t>特有的</w:t>
      </w:r>
      <w:r>
        <w:rPr>
          <w:rFonts w:hint="eastAsia" w:ascii="仿宋_GB2312" w:hAnsi="仿宋_GB2312" w:eastAsia="仿宋_GB2312" w:cs="仿宋_GB2312"/>
          <w:color w:val="auto"/>
          <w:sz w:val="24"/>
          <w:szCs w:val="24"/>
          <w:highlight w:val="none"/>
          <w:lang w:eastAsia="zh-CN"/>
        </w:rPr>
        <w:t>设计</w:t>
      </w:r>
      <w:r>
        <w:rPr>
          <w:rFonts w:hint="eastAsia" w:ascii="仿宋_GB2312" w:hAnsi="仿宋_GB2312" w:eastAsia="仿宋_GB2312" w:cs="仿宋_GB2312"/>
          <w:color w:val="auto"/>
          <w:sz w:val="24"/>
          <w:szCs w:val="24"/>
          <w:highlight w:val="none"/>
        </w:rPr>
        <w:t>融入整体通道</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并呼应横琴</w:t>
      </w:r>
      <w:r>
        <w:rPr>
          <w:rFonts w:hint="eastAsia" w:ascii="仿宋_GB2312" w:hAnsi="仿宋_GB2312" w:eastAsia="仿宋_GB2312" w:cs="仿宋_GB2312"/>
          <w:color w:val="auto"/>
          <w:sz w:val="24"/>
          <w:szCs w:val="24"/>
          <w:highlight w:val="none"/>
          <w:lang w:eastAsia="zh-CN"/>
        </w:rPr>
        <w:t>特色文化元素</w:t>
      </w:r>
      <w:r>
        <w:rPr>
          <w:rFonts w:hint="eastAsia" w:ascii="仿宋_GB2312" w:hAnsi="仿宋_GB2312" w:eastAsia="仿宋_GB2312" w:cs="仿宋_GB2312"/>
          <w:color w:val="auto"/>
          <w:sz w:val="24"/>
          <w:szCs w:val="24"/>
          <w:highlight w:val="none"/>
        </w:rPr>
        <w:t>融合为一。</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（3）建筑</w:t>
      </w:r>
      <w:r>
        <w:rPr>
          <w:rFonts w:hint="eastAsia" w:ascii="仿宋_GB2312" w:hAnsi="仿宋_GB2312" w:eastAsia="仿宋_GB2312" w:cs="仿宋_GB2312"/>
          <w:color w:val="auto"/>
          <w:sz w:val="24"/>
          <w:szCs w:val="24"/>
          <w:highlight w:val="none"/>
          <w:lang w:eastAsia="zh-CN"/>
        </w:rPr>
        <w:t>敞开段以</w:t>
      </w:r>
      <w:r>
        <w:rPr>
          <w:rFonts w:hint="eastAsia" w:ascii="仿宋_GB2312" w:hAnsi="仿宋_GB2312" w:eastAsia="仿宋_GB2312" w:cs="仿宋_GB2312"/>
          <w:color w:val="auto"/>
          <w:sz w:val="24"/>
          <w:szCs w:val="24"/>
          <w:highlight w:val="none"/>
        </w:rPr>
        <w:t>半开放式的空间,同时有效区分车道和人行道的内外空间关系。</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（4）以葡式砖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中式砖</w:t>
      </w:r>
      <w:r>
        <w:rPr>
          <w:rFonts w:hint="eastAsia" w:ascii="仿宋_GB2312" w:hAnsi="仿宋_GB2312" w:eastAsia="仿宋_GB2312" w:cs="仿宋_GB2312"/>
          <w:color w:val="auto"/>
          <w:sz w:val="24"/>
          <w:szCs w:val="24"/>
          <w:highlight w:val="none"/>
          <w:lang w:eastAsia="zh-CN"/>
        </w:rPr>
        <w:t>融合</w:t>
      </w:r>
      <w:r>
        <w:rPr>
          <w:rFonts w:hint="eastAsia" w:ascii="仿宋_GB2312" w:hAnsi="仿宋_GB2312" w:eastAsia="仿宋_GB2312" w:cs="仿宋_GB2312"/>
          <w:color w:val="auto"/>
          <w:sz w:val="24"/>
          <w:szCs w:val="24"/>
          <w:highlight w:val="none"/>
        </w:rPr>
        <w:t>点缀</w:t>
      </w:r>
      <w:r>
        <w:rPr>
          <w:rFonts w:hint="eastAsia" w:ascii="仿宋_GB2312" w:hAnsi="仿宋_GB2312" w:eastAsia="仿宋_GB2312" w:cs="仿宋_GB2312"/>
          <w:color w:val="auto"/>
          <w:sz w:val="24"/>
          <w:szCs w:val="24"/>
          <w:highlight w:val="none"/>
          <w:lang w:eastAsia="zh-CN"/>
        </w:rPr>
        <w:t>通道</w:t>
      </w:r>
      <w:r>
        <w:rPr>
          <w:rFonts w:hint="eastAsia" w:ascii="仿宋_GB2312" w:hAnsi="仿宋_GB2312" w:eastAsia="仿宋_GB2312" w:cs="仿宋_GB2312"/>
          <w:color w:val="auto"/>
          <w:sz w:val="24"/>
          <w:szCs w:val="24"/>
          <w:highlight w:val="none"/>
        </w:rPr>
        <w:t>外观，既有建</w:t>
      </w:r>
      <w:r>
        <w:rPr>
          <w:rFonts w:hint="eastAsia" w:ascii="仿宋_GB2312" w:hAnsi="仿宋_GB2312" w:eastAsia="仿宋_GB2312" w:cs="仿宋_GB2312"/>
          <w:color w:val="auto"/>
          <w:sz w:val="24"/>
          <w:szCs w:val="24"/>
          <w:highlight w:val="none"/>
          <w:lang w:val="en-US" w:eastAsia="zh-CN"/>
        </w:rPr>
        <w:t>筑</w:t>
      </w:r>
      <w:r>
        <w:rPr>
          <w:rFonts w:hint="eastAsia" w:ascii="仿宋_GB2312" w:hAnsi="仿宋_GB2312" w:eastAsia="仿宋_GB2312" w:cs="仿宋_GB2312"/>
          <w:color w:val="auto"/>
          <w:sz w:val="24"/>
          <w:szCs w:val="24"/>
          <w:highlight w:val="none"/>
        </w:rPr>
        <w:t>物内部除了富有葡式元素的室内设计,通道内还设有澳葡景点</w:t>
      </w:r>
      <w:r>
        <w:rPr>
          <w:rFonts w:hint="eastAsia" w:ascii="仿宋_GB2312" w:hAnsi="仿宋_GB2312" w:eastAsia="仿宋_GB2312" w:cs="仿宋_GB2312"/>
          <w:color w:val="auto"/>
          <w:sz w:val="24"/>
          <w:szCs w:val="24"/>
          <w:highlight w:val="none"/>
          <w:lang w:eastAsia="zh-CN"/>
        </w:rPr>
        <w:t>展示区域</w:t>
      </w:r>
      <w:r>
        <w:rPr>
          <w:rFonts w:hint="eastAsia" w:ascii="仿宋_GB2312" w:hAnsi="仿宋_GB2312" w:eastAsia="仿宋_GB2312" w:cs="仿宋_GB2312"/>
          <w:color w:val="auto"/>
          <w:sz w:val="24"/>
          <w:szCs w:val="24"/>
          <w:highlight w:val="none"/>
        </w:rPr>
        <w:t>, 以赋予中葡融合的空间感受。</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设计文件应包括工程概算书，并按相关要求配合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完成设计及概算的审批。</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设计成果必须满足其他涉及投资管控、项目建设程序、工程审计等各方面的相关要求。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4.按照政府采购小额零星工程项目实施，设计的项目建安费总概算不得超过400万元人民币。</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（二）服务要求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必须于合同签订后3个工作日之内开展设计工作。</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val="0"/>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成交人应</w:t>
      </w:r>
      <w:r>
        <w:rPr>
          <w:rFonts w:hint="eastAsia" w:ascii="仿宋_GB2312" w:hAnsi="仿宋_GB2312" w:eastAsia="仿宋_GB2312" w:cs="仿宋_GB2312"/>
          <w:bCs w:val="0"/>
          <w:color w:val="auto"/>
          <w:sz w:val="24"/>
          <w:szCs w:val="24"/>
          <w:highlight w:val="none"/>
        </w:rPr>
        <w:t>执行现行国家、部委及地方制定的设计和施工的现行标准、规范、规程和标准图集、文件要求等规定。</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应在</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rPr>
        <w:t>工程施工、材料设备</w:t>
      </w:r>
      <w:r>
        <w:rPr>
          <w:rFonts w:hint="eastAsia" w:ascii="仿宋_GB2312" w:hAnsi="仿宋_GB2312" w:eastAsia="仿宋_GB2312" w:cs="仿宋_GB2312"/>
          <w:color w:val="auto"/>
          <w:sz w:val="24"/>
          <w:szCs w:val="24"/>
          <w:highlight w:val="none"/>
          <w:lang w:val="en-US" w:eastAsia="zh-CN"/>
        </w:rPr>
        <w:t>使用及安装</w:t>
      </w:r>
      <w:r>
        <w:rPr>
          <w:rFonts w:hint="eastAsia" w:ascii="仿宋_GB2312" w:hAnsi="仿宋_GB2312" w:eastAsia="仿宋_GB2312" w:cs="仿宋_GB2312"/>
          <w:color w:val="auto"/>
          <w:sz w:val="24"/>
          <w:szCs w:val="24"/>
          <w:highlight w:val="none"/>
        </w:rPr>
        <w:t>过程中提供技术指导（包括主要材料设备清单、技术规格书等），</w:t>
      </w:r>
      <w:r>
        <w:rPr>
          <w:rFonts w:hint="eastAsia" w:ascii="仿宋_GB2312" w:hAnsi="仿宋_GB2312" w:eastAsia="仿宋_GB2312" w:cs="仿宋_GB2312"/>
          <w:color w:val="auto"/>
          <w:sz w:val="24"/>
          <w:szCs w:val="24"/>
          <w:highlight w:val="none"/>
          <w:lang w:val="en-US" w:eastAsia="zh-CN"/>
        </w:rPr>
        <w:t>以及现场</w:t>
      </w:r>
      <w:r>
        <w:rPr>
          <w:rFonts w:hint="eastAsia" w:ascii="仿宋_GB2312" w:hAnsi="仿宋_GB2312" w:eastAsia="仿宋_GB2312" w:cs="仿宋_GB2312"/>
          <w:bCs w:val="0"/>
          <w:color w:val="auto"/>
          <w:sz w:val="24"/>
          <w:szCs w:val="24"/>
          <w:highlight w:val="none"/>
        </w:rPr>
        <w:t>施工配合服务</w:t>
      </w:r>
      <w:r>
        <w:rPr>
          <w:rFonts w:hint="eastAsia" w:ascii="仿宋_GB2312" w:hAnsi="仿宋_GB2312" w:eastAsia="仿宋_GB2312" w:cs="仿宋_GB2312"/>
          <w:color w:val="auto"/>
          <w:sz w:val="24"/>
          <w:szCs w:val="24"/>
          <w:highlight w:val="none"/>
        </w:rPr>
        <w:t>。</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w:t>
      </w:r>
      <w:r>
        <w:rPr>
          <w:rFonts w:hint="eastAsia" w:ascii="仿宋_GB2312" w:hAnsi="仿宋_GB2312" w:eastAsia="仿宋_GB2312" w:cs="仿宋_GB2312"/>
          <w:color w:val="auto"/>
          <w:sz w:val="24"/>
          <w:szCs w:val="24"/>
          <w:highlight w:val="none"/>
        </w:rPr>
        <w:t>对于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召开的</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相关会议，</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应根据</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的要求派出相关专业人员参加，并积极配合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做好</w:t>
      </w:r>
      <w:r>
        <w:rPr>
          <w:rFonts w:hint="eastAsia" w:ascii="仿宋_GB2312" w:hAnsi="仿宋_GB2312" w:eastAsia="仿宋_GB2312" w:cs="仿宋_GB2312"/>
          <w:color w:val="auto"/>
          <w:sz w:val="24"/>
          <w:szCs w:val="24"/>
          <w:highlight w:val="none"/>
          <w:lang w:val="en-US" w:eastAsia="zh-CN"/>
        </w:rPr>
        <w:t>设计服务</w:t>
      </w:r>
      <w:r>
        <w:rPr>
          <w:rFonts w:hint="eastAsia" w:ascii="仿宋_GB2312" w:hAnsi="仿宋_GB2312" w:eastAsia="仿宋_GB2312" w:cs="仿宋_GB2312"/>
          <w:color w:val="auto"/>
          <w:sz w:val="24"/>
          <w:szCs w:val="24"/>
          <w:highlight w:val="none"/>
        </w:rPr>
        <w:t>工作。</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5.</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要求（包括时间要求、深度要求等）提供本工程设计成果文件。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6.</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应负责编写</w:t>
      </w:r>
      <w:r>
        <w:rPr>
          <w:rFonts w:hint="eastAsia" w:ascii="仿宋_GB2312" w:hAnsi="仿宋_GB2312" w:eastAsia="仿宋_GB2312" w:cs="仿宋_GB2312"/>
          <w:color w:val="auto"/>
          <w:sz w:val="24"/>
          <w:szCs w:val="24"/>
          <w:highlight w:val="none"/>
          <w:lang w:val="en-US" w:eastAsia="zh-CN"/>
        </w:rPr>
        <w:t>本项目</w:t>
      </w:r>
      <w:r>
        <w:rPr>
          <w:rFonts w:hint="eastAsia" w:ascii="仿宋_GB2312" w:hAnsi="仿宋_GB2312" w:eastAsia="仿宋_GB2312" w:cs="仿宋_GB2312"/>
          <w:color w:val="auto"/>
          <w:sz w:val="24"/>
          <w:szCs w:val="24"/>
          <w:highlight w:val="none"/>
        </w:rPr>
        <w:t>工程施工、材料设备等</w:t>
      </w:r>
      <w:r>
        <w:rPr>
          <w:rFonts w:hint="eastAsia" w:ascii="仿宋_GB2312" w:hAnsi="仿宋_GB2312" w:eastAsia="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rPr>
        <w:t>文件中的技术和质量标准。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7.</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应对</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或经</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转发的第三方提出的咨询于24小时内予以回复。</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b/>
          <w:bCs/>
          <w:color w:val="auto"/>
          <w:sz w:val="24"/>
          <w:szCs w:val="24"/>
          <w:highlight w:val="none"/>
          <w:lang w:val="en-US" w:eastAsia="zh-CN"/>
        </w:rPr>
        <w:t>★</w:t>
      </w:r>
      <w:r>
        <w:rPr>
          <w:rFonts w:hint="eastAsia" w:ascii="仿宋_GB2312" w:hAnsi="仿宋_GB2312" w:eastAsia="仿宋_GB2312" w:cs="仿宋_GB2312"/>
          <w:b/>
          <w:bCs/>
          <w:color w:val="auto"/>
          <w:sz w:val="24"/>
          <w:szCs w:val="24"/>
          <w:highlight w:val="none"/>
          <w:lang w:val="en-US" w:eastAsia="zh-CN"/>
        </w:rPr>
        <w:t>五、</w:t>
      </w:r>
      <w:r>
        <w:rPr>
          <w:rFonts w:hint="eastAsia" w:ascii="仿宋_GB2312" w:hAnsi="仿宋_GB2312" w:eastAsia="仿宋_GB2312" w:cs="仿宋_GB2312"/>
          <w:b/>
          <w:bCs/>
          <w:color w:val="auto"/>
          <w:sz w:val="24"/>
          <w:szCs w:val="24"/>
          <w:highlight w:val="none"/>
        </w:rPr>
        <w:t>人员要求</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color w:val="auto"/>
          <w:sz w:val="24"/>
          <w:szCs w:val="24"/>
          <w:highlight w:val="yellow"/>
          <w:lang w:val="en-US" w:eastAsia="zh-CN"/>
        </w:rPr>
      </w:pPr>
      <w:r>
        <w:rPr>
          <w:rFonts w:hint="eastAsia" w:ascii="仿宋_GB2312" w:hAnsi="仿宋_GB2312" w:eastAsia="仿宋_GB2312" w:cs="仿宋_GB2312"/>
          <w:b w:val="0"/>
          <w:bCs w:val="0"/>
          <w:color w:val="auto"/>
          <w:sz w:val="24"/>
          <w:szCs w:val="24"/>
          <w:highlight w:val="none"/>
          <w:lang w:val="en-US" w:eastAsia="zh-CN"/>
        </w:rPr>
        <w:t>内地拟派项目负责人具有注册建筑师资格证书。港澳拟派项目负责人具有横琴粤澳深度合作区城市规划和建设局颁发的港澳建筑及相关工程专业人士执业资格备案认可书，备案业务范围为[注册建筑师]资格。或具有广东省住房和城乡建设厅备案认可的证明文件，备案业务范围为[注册建筑师]。</w:t>
      </w:r>
    </w:p>
    <w:p>
      <w:pPr>
        <w:pStyle w:val="8"/>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、服务期限</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2、取得采购人的设计方案同意意见后，15个日历天内提交施工图文件及预算等相关成果文件；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3、在港澳大道3号地下人行通提升改建项目施工期间，成交人应积极配合施工过程中相关可能发生的设计、施工、预算等变更手续， 服务直至改造施工项目完工。</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rPr>
        <w:t>、付款方法和支付比例</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合同签订后，</w:t>
      </w:r>
      <w:r>
        <w:rPr>
          <w:rFonts w:hint="eastAsia" w:ascii="仿宋_GB2312" w:hAnsi="仿宋_GB2312" w:eastAsia="仿宋_GB2312" w:cs="仿宋_GB2312"/>
          <w:color w:val="auto"/>
          <w:sz w:val="24"/>
          <w:szCs w:val="24"/>
          <w:highlight w:val="none"/>
          <w:lang w:val="en-US" w:eastAsia="zh-CN"/>
        </w:rPr>
        <w:t>成交人提交的方案设计图、</w:t>
      </w:r>
      <w:r>
        <w:rPr>
          <w:rFonts w:hint="eastAsia" w:ascii="仿宋_GB2312" w:hAnsi="仿宋_GB2312" w:eastAsia="仿宋_GB2312" w:cs="仿宋_GB2312"/>
          <w:b w:val="0"/>
          <w:bCs w:val="0"/>
          <w:color w:val="auto"/>
          <w:sz w:val="24"/>
          <w:szCs w:val="24"/>
          <w:highlight w:val="none"/>
          <w:lang w:val="en-US" w:eastAsia="zh-CN"/>
        </w:rPr>
        <w:t>概算文件</w:t>
      </w:r>
      <w:r>
        <w:rPr>
          <w:rFonts w:hint="eastAsia" w:ascii="仿宋_GB2312" w:hAnsi="仿宋_GB2312" w:eastAsia="仿宋_GB2312" w:cs="仿宋_GB2312"/>
          <w:color w:val="auto"/>
          <w:sz w:val="24"/>
          <w:szCs w:val="24"/>
          <w:highlight w:val="none"/>
          <w:lang w:val="en-US" w:eastAsia="zh-CN"/>
        </w:rPr>
        <w:t>及施工图设计成果文件，经采购人书面确认后，采购人</w:t>
      </w:r>
      <w:r>
        <w:rPr>
          <w:rFonts w:hint="eastAsia" w:ascii="仿宋_GB2312" w:hAnsi="仿宋_GB2312" w:eastAsia="仿宋_GB2312" w:cs="仿宋_GB2312"/>
          <w:iCs w:val="0"/>
          <w:color w:val="auto"/>
          <w:sz w:val="24"/>
          <w:szCs w:val="24"/>
          <w:highlight w:val="none"/>
        </w:rPr>
        <w:t>支付至最终设计费的80%，待项目施工完成后，</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iCs w:val="0"/>
          <w:color w:val="auto"/>
          <w:sz w:val="24"/>
          <w:szCs w:val="24"/>
          <w:highlight w:val="none"/>
        </w:rPr>
        <w:t>支付剩余20%尾款。</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、项目预算及报价上限</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预算总金额：人民币贰拾伍万元整（250000.00元）。上述预算为本项目最高限价，超出最高限价的报价文件将作为无效报价处理。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投标</w:t>
      </w:r>
      <w:r>
        <w:rPr>
          <w:rFonts w:hint="eastAsia" w:ascii="仿宋_GB2312" w:hAnsi="仿宋_GB2312" w:eastAsia="仿宋_GB2312" w:cs="仿宋_GB2312"/>
          <w:color w:val="auto"/>
          <w:sz w:val="24"/>
          <w:szCs w:val="24"/>
          <w:highlight w:val="none"/>
        </w:rPr>
        <w:t>报价：包括但不限于完成本设计服务所发生的方案设计费、施工图纸设计费、现场勘查费、人工费、协调费、设计修改费、估算费、估算修改费、审查费、材料费及递送费、场地办公费、设备费、交通费、管理费、考察费、专家咨询费、加班费、专利技术使用费（包括自有专利技术以及使用他人的专利技术）、其他知识产权使用费（包括自有知识产权以及使用他人的知识产权）、利润、税金等各项应有费用。除非双方另有约定，</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无需就合同所述的</w:t>
      </w:r>
      <w:r>
        <w:rPr>
          <w:rFonts w:hint="eastAsia" w:ascii="仿宋_GB2312" w:hAnsi="仿宋_GB2312" w:eastAsia="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rPr>
        <w:t>服务向其</w:t>
      </w:r>
      <w:r>
        <w:rPr>
          <w:rFonts w:hint="eastAsia" w:ascii="仿宋_GB2312" w:hAnsi="仿宋_GB2312" w:eastAsia="仿宋_GB2312" w:cs="仿宋_GB2312"/>
          <w:color w:val="auto"/>
          <w:sz w:val="24"/>
          <w:szCs w:val="24"/>
          <w:highlight w:val="none"/>
          <w:lang w:val="en-US" w:eastAsia="zh-CN"/>
        </w:rPr>
        <w:t>他</w:t>
      </w:r>
      <w:r>
        <w:rPr>
          <w:rFonts w:hint="eastAsia" w:ascii="仿宋_GB2312" w:hAnsi="仿宋_GB2312" w:eastAsia="仿宋_GB2312" w:cs="仿宋_GB2312"/>
          <w:color w:val="auto"/>
          <w:sz w:val="24"/>
          <w:szCs w:val="24"/>
          <w:highlight w:val="none"/>
        </w:rPr>
        <w:t>人员或任何第三方支付任何其他费用。</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九、服务标准</w:t>
      </w:r>
    </w:p>
    <w:p>
      <w:pPr>
        <w:keepNext w:val="0"/>
        <w:keepLines w:val="0"/>
        <w:widowControl/>
        <w:suppressLineNumbers w:val="0"/>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val="en-US" w:eastAsia="zh-CN" w:bidi="ar"/>
        </w:rPr>
        <w:t>符合国家、广东省及</w:t>
      </w:r>
      <w:r>
        <w:rPr>
          <w:rFonts w:hint="eastAsia" w:ascii="仿宋_GB2312" w:hAnsi="仿宋_GB2312" w:eastAsia="仿宋_GB2312" w:cs="仿宋_GB2312"/>
          <w:b w:val="0"/>
          <w:bCs w:val="0"/>
          <w:color w:val="000000"/>
          <w:sz w:val="24"/>
          <w:szCs w:val="24"/>
          <w:highlight w:val="none"/>
          <w:lang w:val="en-US" w:eastAsia="zh-CN" w:bidi="ar"/>
        </w:rPr>
        <w:t>横琴粤澳深度合作区</w:t>
      </w:r>
      <w:r>
        <w:rPr>
          <w:rFonts w:hint="eastAsia" w:ascii="仿宋_GB2312" w:hAnsi="仿宋_GB2312" w:eastAsia="仿宋_GB2312" w:cs="仿宋_GB2312"/>
          <w:color w:val="000000"/>
          <w:kern w:val="0"/>
          <w:sz w:val="24"/>
          <w:szCs w:val="24"/>
          <w:highlight w:val="none"/>
          <w:lang w:val="en-US" w:eastAsia="zh-CN" w:bidi="ar"/>
        </w:rPr>
        <w:t>相关法律法规及有关规定的要求，并按要求通过有关机构审查。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十、验收要求</w:t>
      </w:r>
    </w:p>
    <w:p>
      <w:pPr>
        <w:pStyle w:val="8"/>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color w:val="000000"/>
          <w:sz w:val="24"/>
          <w:szCs w:val="24"/>
          <w:highlight w:val="none"/>
          <w:lang w:val="en-US" w:eastAsia="zh-CN" w:bidi="ar"/>
        </w:rPr>
      </w:pPr>
      <w:r>
        <w:rPr>
          <w:rFonts w:hint="eastAsia" w:ascii="仿宋_GB2312" w:hAnsi="仿宋_GB2312" w:eastAsia="仿宋_GB2312" w:cs="仿宋_GB2312"/>
          <w:b w:val="0"/>
          <w:bCs w:val="0"/>
          <w:color w:val="000000"/>
          <w:sz w:val="24"/>
          <w:szCs w:val="24"/>
          <w:highlight w:val="none"/>
          <w:lang w:val="en-US" w:eastAsia="zh-CN" w:bidi="ar"/>
        </w:rPr>
        <w:t>按照国家、广东省及横琴粤澳深度合作区相关法律法规及有关规定的要求，并按要求通过有关机构审查。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十一、成果要求</w:t>
      </w:r>
    </w:p>
    <w:p>
      <w:pPr>
        <w:widowControl/>
        <w:numPr>
          <w:ilvl w:val="0"/>
          <w:numId w:val="0"/>
        </w:numPr>
        <w:autoSpaceDE w:val="0"/>
        <w:autoSpaceDN w:val="0"/>
        <w:adjustRightInd w:val="0"/>
        <w:spacing w:line="360" w:lineRule="auto"/>
        <w:ind w:firstLine="480" w:firstLineChars="200"/>
        <w:jc w:val="left"/>
        <w:textAlignment w:val="baseline"/>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设计方案</w:t>
      </w:r>
      <w:r>
        <w:rPr>
          <w:rFonts w:hint="eastAsia" w:ascii="仿宋_GB2312" w:hAnsi="仿宋_GB2312" w:eastAsia="仿宋_GB2312" w:cs="仿宋_GB2312"/>
          <w:color w:val="auto"/>
          <w:kern w:val="0"/>
          <w:sz w:val="24"/>
          <w:szCs w:val="24"/>
          <w:highlight w:val="none"/>
          <w:lang w:val="en-US" w:eastAsia="zh-CN" w:bidi="ar"/>
        </w:rPr>
        <w:t>（纸质+电子），按需提供。</w:t>
      </w:r>
    </w:p>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施工图设计（纸质+电子）</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bidi="ar"/>
        </w:rPr>
        <w:t>按需提供。</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3.工程概算书</w:t>
      </w:r>
      <w:r>
        <w:rPr>
          <w:rFonts w:hint="eastAsia" w:ascii="仿宋_GB2312" w:hAnsi="仿宋_GB2312" w:eastAsia="仿宋_GB2312" w:cs="仿宋_GB2312"/>
          <w:color w:val="auto"/>
          <w:sz w:val="24"/>
          <w:szCs w:val="24"/>
          <w:highlight w:val="none"/>
        </w:rPr>
        <w:t>（纸质+电子）</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bidi="ar"/>
        </w:rPr>
        <w:t>按需提供。</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十二、权利和义务</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1.采购人的权利和义务</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采购人在规定的时间内向成交人提交资料及文件，并对其完整性、正确性及时限负责，采购人不得要求成交人违反国家有关标准进行设计。如因采购人提供基础资料时间滞后，则成交人提交成果的时间相应顺延。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（2）因采购人原因造成工程停建、缓建、发生重大变更，以致合同不能正常履行时，成交人不得要求进行经济索赔，但采购人可顺延工期或按现状完成的工作量结算。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（3）项目实施过程中，采购人无需再向成交人支付其他任何费用，成交人应自行承担其工作人员的食、宿、交通费用以及服务中发生的其他费用。</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（4）成交人完成的所有成果归采购人所有，采购人可根据项目需要合理利用，成交人不得有任何异议。</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（5）成交人在从事服务过程中，采购人有权派专人监督、检查。对成交人不符合合同规定的服务内容，采购人有权要求成交人限期改正。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（6）成交人依约履行合同的前提下，采购人按合同约定履行付款义务。因成交人原因致使成果文件质量不合格，其责任由成交人承担，成交人应修改完善，否则采购人不予支付费用。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（7）采购人要求成交人比合同规定时间提前交付设计资料及文件时,成交人应积极配合。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2.成交人责任与权利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（1）成交人应按国家规定和合同约定的现行规范及相关行业标准、规程进行工程设计，按合同规定的内容、时间及份数向采购人交付设计成果资料及相关文件，并对其负责。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（2）设计合理使用年限为国家规定年限。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3）成交人交付设计资料及文件后，按规定参加有关的设计审查，并根据审查结论负责对该审查意见做必要修改调整补充。成交人按合同规定时限交付设计资料及文件，负责向采购人及施工单位进行设计交底、处理有关设计问题和参加竣工验收。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4）成交人的初步设计概算必须必须限定在投资估算额度内，成交人完成设计图、概算书、施工图后，采购人提出优化设计要求的，成交人必须针对调整方案在甲方要求的合理时间内进行限额、图纸等相关优化。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（5）编制概算必须按国家、省、市有关规定进行，认真、准确、及时出具成果文件。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color w:val="auto"/>
          <w:sz w:val="24"/>
          <w:szCs w:val="24"/>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十三、违约责任</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1.成交人提供的服务未能满足合同、采购文件或采购人要求，采购人累计3次书面通知要求整改而成交人未按要求整改或整改后仍达不到要求的，采购人有权解除合同，且成交人须支付合同价的10%作为违约金。</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2.合同履行期限内成交人未按要求配置的设备、人员未满足合同约定，须按采购人要求的期限进行整改，且每次成交人须按照合同金额的2%支付违约金。</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合同履约期间，项目负责人必须按照响应文件中所承诺的人员进行配置，原则上不得变更，因项目负责人身体等客观原因不能继续履行项目职责，经采购人同意方可变更；若出现第二次变更，则成交人需支付5000元的违约金；若需第三次变更项目负责人，则成交人需支付1万元的违约金，同时采购人有权单方面终止合同，由此给采购人造成的损失全部由成交人承担，相关损失赔偿不限于诉讼费、律师费等。</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4.因违约方违约导致守约方为维护合法权益产生的一切费用由违约方承担，该费用包括但不限于诉讼或仲裁费、保全费、律师费、公告费、鉴定费、调查费、评估费、执行费、差旅费、赔偿款、拍卖费。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5.成交人不得转、分包服务业务，否则，终止本合同，同时成交人退还全部采购人已付合同款。由此产生的一切后果由成交人负责。</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6.其它违约责任按《中华人民共和国民法典》处理。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rPr>
        <w:t>、保密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双方均应保护对方的知识产权，未经对方同意，任何一方均不得对他方的资料及文件擅自修改、复制使用或向第三人转让披露及用于本合同项目外的项目。如发生以上情况，泄密方承担一切由此引起的后果并承担赔偿责任。</w:t>
      </w:r>
    </w:p>
    <w:p>
      <w:pPr>
        <w:pStyle w:val="8"/>
        <w:widowControl w:val="0"/>
        <w:autoSpaceDE w:val="0"/>
        <w:autoSpaceDN w:val="0"/>
        <w:adjustRightInd w:val="0"/>
        <w:spacing w:line="360" w:lineRule="auto"/>
        <w:ind w:firstLine="480" w:firstLineChars="200"/>
        <w:jc w:val="both"/>
        <w:textAlignment w:val="baseline"/>
        <w:rPr>
          <w:rFonts w:hint="default"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保证其所提交的设计成果不得侵犯到任何第三人的合法权益（包括但不限于知识产权、或专有技术或商业秘密或其他合法权利）。因侵犯他人的著作权、专利权或其他知识产权所引起的一切法律责任均由</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承担。若</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因利用</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所提交的成果而被指控侵犯他人权利，由此而产生的或与此有关的任何责任由</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承担，</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有权就由此发生的所有费用和损失（包括但不限于</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因此而支付的赔偿金、仲裁费、律师费、调查费等）向</w:t>
      </w:r>
      <w:r>
        <w:rPr>
          <w:rFonts w:hint="eastAsia" w:ascii="仿宋_GB2312" w:hAnsi="仿宋_GB2312" w:eastAsia="仿宋_GB2312" w:cs="仿宋_GB2312"/>
          <w:color w:val="auto"/>
          <w:sz w:val="24"/>
          <w:szCs w:val="24"/>
          <w:highlight w:val="none"/>
          <w:lang w:val="en-US" w:eastAsia="zh-CN"/>
        </w:rPr>
        <w:t>成交人</w:t>
      </w:r>
      <w:r>
        <w:rPr>
          <w:rFonts w:hint="eastAsia" w:ascii="仿宋_GB2312" w:hAnsi="仿宋_GB2312" w:eastAsia="仿宋_GB2312" w:cs="仿宋_GB2312"/>
          <w:color w:val="auto"/>
          <w:sz w:val="24"/>
          <w:szCs w:val="24"/>
          <w:highlight w:val="none"/>
        </w:rPr>
        <w:t>追偿。</w:t>
      </w:r>
      <w:r>
        <w:rPr>
          <w:rFonts w:hint="default" w:ascii="仿宋_GB2312" w:hAnsi="仿宋_GB2312" w:eastAsia="仿宋_GB2312" w:cs="仿宋_GB2312"/>
          <w:b w:val="0"/>
          <w:bCs w:val="0"/>
          <w:color w:val="auto"/>
          <w:spacing w:val="0"/>
          <w:sz w:val="28"/>
          <w:szCs w:val="28"/>
          <w:highlight w:val="none"/>
          <w:lang w:val="en-US" w:eastAsia="zh-CN"/>
        </w:rPr>
        <w:br w:type="page"/>
      </w:r>
    </w:p>
    <w:p>
      <w:pPr>
        <w:pStyle w:val="2"/>
        <w:spacing w:line="360" w:lineRule="auto"/>
        <w:ind w:firstLine="560" w:firstLineChars="200"/>
        <w:rPr>
          <w:rFonts w:hint="default" w:ascii="仿宋_GB2312" w:hAnsi="仿宋_GB2312" w:eastAsia="仿宋_GB2312" w:cs="仿宋_GB2312"/>
          <w:b w:val="0"/>
          <w:bCs w:val="0"/>
          <w:color w:val="auto"/>
          <w:spacing w:val="0"/>
          <w:sz w:val="28"/>
          <w:szCs w:val="28"/>
          <w:highlight w:val="none"/>
          <w:lang w:val="en-US" w:eastAsia="zh-CN"/>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spacing w:line="360" w:lineRule="auto"/>
        <w:jc w:val="center"/>
        <w:rPr>
          <w:rFonts w:hint="eastAsia" w:ascii="仿宋_GB2312" w:hAnsi="仿宋_GB2312" w:eastAsia="仿宋_GB2312" w:cs="仿宋_GB2312"/>
          <w:b/>
          <w:color w:val="auto"/>
          <w:sz w:val="44"/>
          <w:highlight w:val="none"/>
        </w:rPr>
      </w:pPr>
    </w:p>
    <w:p>
      <w:pPr>
        <w:pStyle w:val="15"/>
        <w:rPr>
          <w:rFonts w:hint="default" w:ascii="宋体" w:hAnsi="Courier New"/>
          <w:b w:val="0"/>
          <w:color w:val="auto"/>
          <w:sz w:val="21"/>
          <w:highlight w:val="none"/>
        </w:rPr>
      </w:pPr>
    </w:p>
    <w:p>
      <w:pPr>
        <w:spacing w:line="360" w:lineRule="auto"/>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w:t>
      </w:r>
      <w:r>
        <w:rPr>
          <w:rFonts w:hint="eastAsia" w:ascii="仿宋_GB2312" w:hAnsi="仿宋_GB2312" w:eastAsia="仿宋_GB2312" w:cs="仿宋_GB2312"/>
          <w:b/>
          <w:color w:val="auto"/>
          <w:sz w:val="44"/>
          <w:highlight w:val="none"/>
          <w:lang w:eastAsia="zh-CN"/>
        </w:rPr>
        <w:t>六</w:t>
      </w:r>
      <w:r>
        <w:rPr>
          <w:rFonts w:hint="eastAsia" w:ascii="仿宋_GB2312" w:hAnsi="仿宋_GB2312" w:eastAsia="仿宋_GB2312" w:cs="仿宋_GB2312"/>
          <w:b/>
          <w:color w:val="auto"/>
          <w:sz w:val="44"/>
          <w:highlight w:val="none"/>
        </w:rPr>
        <w:t>章</w:t>
      </w:r>
    </w:p>
    <w:p>
      <w:pPr>
        <w:spacing w:line="360" w:lineRule="auto"/>
        <w:jc w:val="center"/>
        <w:rPr>
          <w:rFonts w:hint="eastAsia" w:ascii="仿宋_GB2312" w:hAnsi="仿宋_GB2312" w:eastAsia="仿宋_GB2312" w:cs="仿宋_GB2312"/>
          <w:b/>
          <w:color w:val="auto"/>
          <w:sz w:val="44"/>
          <w:highlight w:val="none"/>
        </w:rPr>
      </w:pPr>
    </w:p>
    <w:p>
      <w:pPr>
        <w:tabs>
          <w:tab w:val="left" w:pos="720"/>
        </w:tabs>
        <w:spacing w:line="360" w:lineRule="auto"/>
        <w:jc w:val="center"/>
        <w:rPr>
          <w:rFonts w:hint="eastAsia" w:ascii="仿宋_GB2312" w:hAnsi="仿宋_GB2312" w:eastAsia="仿宋_GB2312" w:cs="仿宋_GB2312"/>
          <w:b/>
          <w:color w:val="auto"/>
          <w:sz w:val="72"/>
          <w:szCs w:val="72"/>
          <w:highlight w:val="none"/>
        </w:rPr>
      </w:pPr>
      <w:bookmarkStart w:id="152" w:name="_Toc410738972"/>
      <w:bookmarkStart w:id="153" w:name="_Toc416771358"/>
      <w:bookmarkStart w:id="154" w:name="_Toc410736172"/>
      <w:bookmarkStart w:id="155" w:name="_Toc416770248"/>
      <w:r>
        <w:rPr>
          <w:rFonts w:hint="eastAsia" w:ascii="仿宋_GB2312" w:hAnsi="仿宋_GB2312" w:eastAsia="仿宋_GB2312" w:cs="仿宋_GB2312"/>
          <w:b/>
          <w:color w:val="auto"/>
          <w:sz w:val="44"/>
          <w:highlight w:val="none"/>
        </w:rPr>
        <w:t>合同条款</w:t>
      </w:r>
      <w:bookmarkEnd w:id="152"/>
      <w:bookmarkEnd w:id="153"/>
      <w:bookmarkEnd w:id="154"/>
      <w:bookmarkEnd w:id="155"/>
      <w:r>
        <w:rPr>
          <w:rFonts w:hint="eastAsia" w:ascii="仿宋_GB2312" w:hAnsi="仿宋_GB2312" w:eastAsia="仿宋_GB2312" w:cs="仿宋_GB2312"/>
          <w:color w:val="auto"/>
          <w:highlight w:val="none"/>
        </w:rPr>
        <w:br w:type="page"/>
      </w:r>
    </w:p>
    <w:p>
      <w:pPr>
        <w:jc w:val="center"/>
        <w:rPr>
          <w:rStyle w:val="30"/>
          <w:rFonts w:hint="eastAsia" w:ascii="仿宋_GB2312" w:hAnsi="仿宋_GB2312" w:eastAsia="仿宋_GB2312" w:cs="仿宋_GB2312"/>
          <w:bCs w:val="0"/>
          <w:color w:val="auto"/>
          <w:sz w:val="44"/>
          <w:szCs w:val="44"/>
          <w:highlight w:val="none"/>
          <w:lang w:eastAsia="zh-CN"/>
        </w:rPr>
      </w:pPr>
      <w:r>
        <w:rPr>
          <w:rStyle w:val="30"/>
          <w:rFonts w:hint="eastAsia" w:ascii="仿宋_GB2312" w:hAnsi="仿宋_GB2312" w:eastAsia="仿宋_GB2312" w:cs="仿宋_GB2312"/>
          <w:bCs w:val="0"/>
          <w:color w:val="auto"/>
          <w:sz w:val="44"/>
          <w:szCs w:val="44"/>
          <w:highlight w:val="none"/>
        </w:rPr>
        <w:t>横琴粤澳深度合作区</w:t>
      </w:r>
      <w:r>
        <w:rPr>
          <w:rStyle w:val="30"/>
          <w:rFonts w:hint="eastAsia" w:ascii="仿宋_GB2312" w:hAnsi="仿宋_GB2312" w:eastAsia="仿宋_GB2312" w:cs="仿宋_GB2312"/>
          <w:bCs w:val="0"/>
          <w:color w:val="auto"/>
          <w:sz w:val="44"/>
          <w:szCs w:val="44"/>
          <w:highlight w:val="none"/>
          <w:lang w:val="en-US" w:eastAsia="zh-CN"/>
        </w:rPr>
        <w:t>采购</w:t>
      </w:r>
      <w:r>
        <w:rPr>
          <w:rStyle w:val="30"/>
          <w:rFonts w:hint="eastAsia" w:ascii="仿宋_GB2312" w:hAnsi="仿宋_GB2312" w:eastAsia="仿宋_GB2312" w:cs="仿宋_GB2312"/>
          <w:bCs w:val="0"/>
          <w:color w:val="auto"/>
          <w:sz w:val="44"/>
          <w:szCs w:val="44"/>
          <w:highlight w:val="none"/>
          <w:lang w:eastAsia="zh-CN"/>
        </w:rPr>
        <w:t>项目</w:t>
      </w: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jc w:val="center"/>
        <w:rPr>
          <w:rFonts w:hint="eastAsia" w:ascii="仿宋_GB2312" w:hAnsi="仿宋_GB2312" w:eastAsia="仿宋_GB2312" w:cs="仿宋_GB2312"/>
          <w:b/>
          <w:color w:val="auto"/>
          <w:sz w:val="84"/>
          <w:szCs w:val="84"/>
          <w:highlight w:val="none"/>
        </w:rPr>
      </w:pPr>
      <w:r>
        <w:rPr>
          <w:rFonts w:hint="eastAsia" w:ascii="仿宋_GB2312" w:hAnsi="仿宋_GB2312" w:eastAsia="仿宋_GB2312" w:cs="仿宋_GB2312"/>
          <w:b/>
          <w:color w:val="auto"/>
          <w:sz w:val="84"/>
          <w:szCs w:val="84"/>
          <w:highlight w:val="none"/>
        </w:rPr>
        <w:t>合 同 书</w:t>
      </w: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spacing w:line="600" w:lineRule="auto"/>
        <w:ind w:left="2086" w:leftChars="190" w:hanging="1687" w:hangingChars="600"/>
        <w:rPr>
          <w:rFonts w:hint="eastAsia" w:ascii="仿宋_GB2312" w:hAnsi="仿宋_GB2312" w:eastAsia="仿宋_GB2312" w:cs="仿宋_GB2312"/>
          <w:color w:val="auto"/>
          <w:spacing w:val="-20"/>
          <w:sz w:val="28"/>
          <w:szCs w:val="28"/>
          <w:highlight w:val="none"/>
          <w:u w:val="single"/>
          <w:lang w:val="en-US" w:eastAsia="zh-CN"/>
        </w:rPr>
      </w:pPr>
      <w:r>
        <w:rPr>
          <w:rFonts w:hint="eastAsia" w:ascii="仿宋_GB2312" w:hAnsi="仿宋_GB2312" w:eastAsia="仿宋_GB2312" w:cs="仿宋_GB2312"/>
          <w:b/>
          <w:color w:val="auto"/>
          <w:sz w:val="28"/>
          <w:szCs w:val="28"/>
          <w:highlight w:val="none"/>
          <w:lang w:val="en-US" w:eastAsia="zh-CN"/>
        </w:rPr>
        <w:t>项目</w:t>
      </w:r>
      <w:r>
        <w:rPr>
          <w:rFonts w:hint="eastAsia" w:ascii="仿宋_GB2312" w:hAnsi="仿宋_GB2312" w:eastAsia="仿宋_GB2312" w:cs="仿宋_GB2312"/>
          <w:b/>
          <w:color w:val="auto"/>
          <w:sz w:val="28"/>
          <w:szCs w:val="28"/>
          <w:highlight w:val="none"/>
        </w:rPr>
        <w:t>名称：</w:t>
      </w:r>
      <w:r>
        <w:rPr>
          <w:rFonts w:hint="eastAsia" w:ascii="仿宋_GB2312" w:hAnsi="仿宋_GB2312" w:eastAsia="仿宋_GB2312" w:cs="仿宋_GB2312"/>
          <w:b/>
          <w:color w:val="auto"/>
          <w:sz w:val="28"/>
          <w:szCs w:val="28"/>
          <w:highlight w:val="none"/>
          <w:u w:val="single"/>
        </w:rPr>
        <w:t>横琴粤澳深度合作区城市规划和建设局横琴粤澳深度合作区港澳大道3号地下人行通道提升改建工程设计服务项目</w:t>
      </w:r>
      <w:r>
        <w:rPr>
          <w:rStyle w:val="30"/>
          <w:rFonts w:hint="eastAsia" w:ascii="仿宋_GB2312" w:hAnsi="仿宋_GB2312" w:eastAsia="仿宋_GB2312" w:cs="仿宋_GB2312"/>
          <w:bCs w:val="0"/>
          <w:color w:val="auto"/>
          <w:spacing w:val="-20"/>
          <w:sz w:val="28"/>
          <w:szCs w:val="28"/>
          <w:highlight w:val="none"/>
          <w:u w:val="single"/>
          <w:lang w:val="en-US" w:eastAsia="zh-CN"/>
        </w:rPr>
        <w:t xml:space="preserve">         </w:t>
      </w:r>
    </w:p>
    <w:p>
      <w:pPr>
        <w:spacing w:line="600" w:lineRule="auto"/>
        <w:ind w:left="0" w:leftChars="0" w:firstLine="562" w:firstLineChars="200"/>
        <w:rPr>
          <w:rFonts w:hint="default" w:ascii="仿宋_GB2312" w:hAnsi="仿宋_GB2312" w:eastAsia="仿宋_GB2312" w:cs="仿宋_GB2312"/>
          <w:b/>
          <w:color w:val="auto"/>
          <w:sz w:val="28"/>
          <w:szCs w:val="28"/>
          <w:highlight w:val="none"/>
          <w:u w:val="single"/>
          <w:lang w:val="en-US" w:eastAsia="zh-CN"/>
        </w:rPr>
      </w:pPr>
      <w:r>
        <w:rPr>
          <w:rFonts w:hint="eastAsia" w:ascii="仿宋_GB2312" w:hAnsi="仿宋_GB2312" w:eastAsia="仿宋_GB2312" w:cs="仿宋_GB2312"/>
          <w:b/>
          <w:color w:val="auto"/>
          <w:sz w:val="28"/>
          <w:szCs w:val="28"/>
          <w:highlight w:val="none"/>
          <w:lang w:eastAsia="zh-CN"/>
        </w:rPr>
        <w:t>甲方</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pacing w:val="20"/>
          <w:sz w:val="28"/>
          <w:szCs w:val="28"/>
          <w:highlight w:val="none"/>
          <w:u w:val="single"/>
          <w:lang w:eastAsia="zh-CN"/>
        </w:rPr>
        <w:t>横琴粤澳深度合作区城市规划和建设局</w:t>
      </w:r>
      <w:r>
        <w:rPr>
          <w:rFonts w:hint="eastAsia" w:ascii="仿宋_GB2312" w:hAnsi="仿宋_GB2312" w:eastAsia="仿宋_GB2312" w:cs="仿宋_GB2312"/>
          <w:b/>
          <w:color w:val="auto"/>
          <w:sz w:val="28"/>
          <w:szCs w:val="28"/>
          <w:highlight w:val="none"/>
          <w:u w:val="single"/>
          <w:lang w:val="en-US" w:eastAsia="zh-CN"/>
        </w:rPr>
        <w:t xml:space="preserve">            </w:t>
      </w:r>
    </w:p>
    <w:p>
      <w:pPr>
        <w:spacing w:line="600" w:lineRule="auto"/>
        <w:ind w:left="0" w:leftChars="0" w:firstLine="562"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eastAsia="zh-CN"/>
        </w:rPr>
        <w:t>乙方</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u w:val="single"/>
          <w:lang w:val="en-US" w:eastAsia="zh-CN"/>
        </w:rPr>
        <w:t xml:space="preserve">                                                       </w:t>
      </w:r>
    </w:p>
    <w:p>
      <w:pPr>
        <w:spacing w:line="480" w:lineRule="auto"/>
        <w:ind w:firstLine="1320" w:firstLineChars="550"/>
        <w:rPr>
          <w:rFonts w:hint="eastAsia" w:ascii="仿宋_GB2312" w:hAnsi="仿宋_GB2312" w:eastAsia="仿宋_GB2312" w:cs="仿宋_GB2312"/>
          <w:color w:val="auto"/>
          <w:sz w:val="24"/>
          <w:highlight w:val="none"/>
        </w:rPr>
      </w:pPr>
    </w:p>
    <w:p>
      <w:pPr>
        <w:spacing w:line="720" w:lineRule="auto"/>
        <w:ind w:firstLine="1265" w:firstLineChars="45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签订日期：       年      月      日</w:t>
      </w: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5"/>
        <w:rPr>
          <w:rFonts w:hint="default"/>
          <w:color w:val="auto"/>
          <w:highlight w:val="none"/>
        </w:rPr>
      </w:pPr>
    </w:p>
    <w:p>
      <w:pPr>
        <w:rPr>
          <w:rFonts w:hint="eastAsia" w:ascii="仿宋_GB2312" w:hAnsi="仿宋_GB2312" w:eastAsia="仿宋_GB2312" w:cs="仿宋_GB2312"/>
          <w:color w:val="auto"/>
          <w:highlight w:val="none"/>
        </w:rPr>
      </w:pPr>
    </w:p>
    <w:p>
      <w:pPr>
        <w:tabs>
          <w:tab w:val="left" w:pos="840"/>
        </w:tabs>
        <w:spacing w:line="480" w:lineRule="auto"/>
        <w:ind w:firstLine="454"/>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24"/>
          <w:highlight w:val="none"/>
        </w:rPr>
        <w:t>甲方：</w:t>
      </w:r>
      <w:r>
        <w:rPr>
          <w:rFonts w:hint="eastAsia" w:ascii="仿宋_GB2312" w:hAnsi="仿宋_GB2312" w:eastAsia="仿宋_GB2312" w:cs="仿宋_GB2312"/>
          <w:b/>
          <w:color w:val="auto"/>
          <w:spacing w:val="20"/>
          <w:sz w:val="28"/>
          <w:szCs w:val="28"/>
          <w:highlight w:val="none"/>
          <w:u w:val="single"/>
          <w:lang w:eastAsia="zh-CN"/>
        </w:rPr>
        <w:t>横琴粤澳深度合作区城市规划和建设局</w:t>
      </w:r>
      <w:r>
        <w:rPr>
          <w:rFonts w:hint="eastAsia" w:ascii="仿宋_GB2312" w:hAnsi="仿宋_GB2312" w:eastAsia="仿宋_GB2312" w:cs="仿宋_GB2312"/>
          <w:b/>
          <w:color w:val="auto"/>
          <w:sz w:val="24"/>
          <w:szCs w:val="28"/>
          <w:highlight w:val="none"/>
          <w:u w:val="single"/>
          <w:lang w:val="en-US" w:eastAsia="zh-CN"/>
        </w:rPr>
        <w:t xml:space="preserve">       </w:t>
      </w:r>
    </w:p>
    <w:p>
      <w:pPr>
        <w:tabs>
          <w:tab w:val="left" w:pos="840"/>
        </w:tabs>
        <w:spacing w:line="480" w:lineRule="auto"/>
        <w:ind w:firstLine="454"/>
        <w:rPr>
          <w:rFonts w:hint="eastAsia" w:ascii="仿宋_GB2312" w:hAnsi="仿宋_GB2312" w:eastAsia="仿宋_GB2312" w:cs="仿宋_GB2312"/>
          <w:b/>
          <w:color w:val="auto"/>
          <w:sz w:val="22"/>
          <w:highlight w:val="none"/>
          <w:lang w:val="en-US" w:eastAsia="zh-CN"/>
        </w:rPr>
      </w:pPr>
      <w:r>
        <w:rPr>
          <w:rFonts w:hint="eastAsia" w:ascii="仿宋_GB2312" w:hAnsi="仿宋_GB2312" w:eastAsia="仿宋_GB2312" w:cs="仿宋_GB2312"/>
          <w:b/>
          <w:color w:val="auto"/>
          <w:sz w:val="24"/>
          <w:highlight w:val="none"/>
        </w:rPr>
        <w:t>乙方：</w:t>
      </w:r>
      <w:r>
        <w:rPr>
          <w:rFonts w:hint="eastAsia" w:ascii="仿宋_GB2312" w:hAnsi="仿宋_GB2312" w:eastAsia="仿宋_GB2312" w:cs="仿宋_GB2312"/>
          <w:b/>
          <w:color w:val="auto"/>
          <w:sz w:val="24"/>
          <w:szCs w:val="28"/>
          <w:highlight w:val="none"/>
          <w:u w:val="single"/>
          <w:lang w:val="en-US" w:eastAsia="zh-CN"/>
        </w:rPr>
        <w:t xml:space="preserve">                                                      </w:t>
      </w:r>
    </w:p>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pPr>
        <w:spacing w:line="300" w:lineRule="auto"/>
        <w:ind w:firstLine="480" w:firstLineChars="200"/>
        <w:jc w:val="both"/>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根据</w:t>
      </w:r>
      <w:r>
        <w:rPr>
          <w:rFonts w:hint="eastAsia" w:ascii="仿宋_GB2312" w:hAnsi="仿宋_GB2312" w:eastAsia="仿宋_GB2312" w:cs="仿宋_GB2312"/>
          <w:iCs/>
          <w:color w:val="auto"/>
          <w:sz w:val="24"/>
          <w:szCs w:val="24"/>
          <w:highlight w:val="none"/>
          <w:lang w:val="en-US" w:eastAsia="zh-CN" w:bidi="ar-SA"/>
        </w:rPr>
        <w:t>横琴粤澳深度合作区城市规划和建设局横琴粤澳深度合作区港澳大道3号地下人行通道提升改建工程设计服务项目</w:t>
      </w:r>
      <w:r>
        <w:rPr>
          <w:rFonts w:hint="eastAsia" w:ascii="仿宋_GB2312" w:hAnsi="仿宋_GB2312" w:eastAsia="仿宋_GB2312" w:cs="仿宋_GB2312"/>
          <w:bCs/>
          <w:color w:val="auto"/>
          <w:sz w:val="24"/>
          <w:highlight w:val="none"/>
          <w:lang w:val="en-US" w:eastAsia="zh-CN"/>
        </w:rPr>
        <w:t>采购</w:t>
      </w:r>
      <w:r>
        <w:rPr>
          <w:rFonts w:hint="eastAsia" w:ascii="仿宋_GB2312" w:hAnsi="仿宋_GB2312" w:eastAsia="仿宋_GB2312" w:cs="仿宋_GB2312"/>
          <w:bCs/>
          <w:color w:val="auto"/>
          <w:sz w:val="24"/>
          <w:highlight w:val="none"/>
        </w:rPr>
        <w:t>内容及采购结果，</w:t>
      </w:r>
      <w:r>
        <w:rPr>
          <w:rFonts w:hint="eastAsia" w:ascii="仿宋_GB2312" w:hAnsi="仿宋_GB2312" w:eastAsia="仿宋_GB2312" w:cs="仿宋_GB2312"/>
          <w:color w:val="auto"/>
          <w:sz w:val="24"/>
          <w:highlight w:val="none"/>
        </w:rPr>
        <w:t>依照《中华人民共和国</w:t>
      </w:r>
      <w:r>
        <w:rPr>
          <w:rFonts w:hint="eastAsia" w:ascii="仿宋_GB2312" w:hAnsi="仿宋_GB2312" w:eastAsia="仿宋_GB2312" w:cs="仿宋_GB2312"/>
          <w:color w:val="auto"/>
          <w:sz w:val="24"/>
          <w:highlight w:val="none"/>
          <w:lang w:eastAsia="zh-CN"/>
        </w:rPr>
        <w:t>民法典</w:t>
      </w:r>
      <w:r>
        <w:rPr>
          <w:rFonts w:hint="eastAsia" w:ascii="仿宋_GB2312" w:hAnsi="仿宋_GB2312" w:eastAsia="仿宋_GB2312" w:cs="仿宋_GB2312"/>
          <w:color w:val="auto"/>
          <w:sz w:val="24"/>
          <w:highlight w:val="none"/>
        </w:rPr>
        <w:t>》及有关法律、法规，遵循平等、自愿、公平和诚实信用的原则，</w:t>
      </w:r>
      <w:r>
        <w:rPr>
          <w:rFonts w:hint="eastAsia" w:ascii="仿宋_GB2312" w:hAnsi="仿宋_GB2312" w:eastAsia="仿宋_GB2312" w:cs="仿宋_GB2312"/>
          <w:bCs/>
          <w:color w:val="auto"/>
          <w:sz w:val="24"/>
          <w:highlight w:val="none"/>
        </w:rPr>
        <w:t>双方协商一致，订立以下合同：</w:t>
      </w:r>
    </w:p>
    <w:p>
      <w:pPr>
        <w:rPr>
          <w:rFonts w:hint="eastAsia" w:ascii="仿宋_GB2312" w:hAnsi="仿宋_GB2312" w:eastAsia="仿宋_GB2312" w:cs="仿宋_GB2312"/>
          <w:bCs/>
          <w:color w:val="auto"/>
          <w:sz w:val="24"/>
          <w:szCs w:val="24"/>
          <w:highlight w:val="none"/>
        </w:rPr>
      </w:pP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b/>
          <w:bCs/>
          <w:color w:val="auto"/>
          <w:sz w:val="24"/>
          <w:szCs w:val="24"/>
          <w:highlight w:val="none"/>
        </w:rPr>
      </w:pPr>
      <w:r>
        <w:rPr>
          <w:rFonts w:hint="eastAsia"/>
          <w:b/>
          <w:bCs/>
          <w:color w:val="auto"/>
          <w:sz w:val="24"/>
          <w:szCs w:val="24"/>
          <w:highlight w:val="none"/>
        </w:rPr>
        <w:t>一、项目名称</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横琴粤澳深度合作区城市规划和建设局横琴粤澳深度合作区港澳大道3号地下人行通道提升改建工程设计服务项目</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color w:val="auto"/>
          <w:sz w:val="24"/>
          <w:szCs w:val="24"/>
          <w:highlight w:val="none"/>
        </w:rPr>
      </w:pPr>
      <w:r>
        <w:rPr>
          <w:rFonts w:hint="eastAsia"/>
          <w:b/>
          <w:bCs/>
          <w:color w:val="auto"/>
          <w:sz w:val="24"/>
          <w:szCs w:val="24"/>
          <w:highlight w:val="none"/>
        </w:rPr>
        <w:t>二、项目背景</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横琴粤澳深度合作区港澳大道3号地下人行通道整体面积约710m²，邻近新地标澳门新街坊教育区，目前已开放使用近8年，随着时间的推移，人行通道设施墙面及附属设施逐渐老化和病害增多，拟对港澳大道3号地下人行通道进行提升改建，前期需招选一家设计单位承担港澳大道3号地下人行通道提升改建工程的设计服务。</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color w:val="auto"/>
          <w:sz w:val="24"/>
          <w:szCs w:val="24"/>
          <w:highlight w:val="none"/>
        </w:rPr>
      </w:pPr>
      <w:r>
        <w:rPr>
          <w:rFonts w:hint="eastAsia"/>
          <w:b/>
          <w:bCs/>
          <w:color w:val="auto"/>
          <w:sz w:val="24"/>
          <w:szCs w:val="24"/>
          <w:highlight w:val="none"/>
        </w:rPr>
        <w:t>三、项目总体目标</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color w:val="auto"/>
          <w:sz w:val="20"/>
          <w:szCs w:val="20"/>
          <w:highlight w:val="none"/>
        </w:rPr>
      </w:pPr>
      <w:r>
        <w:rPr>
          <w:rFonts w:hint="eastAsia" w:ascii="仿宋_GB2312" w:hAnsi="仿宋_GB2312" w:eastAsia="仿宋_GB2312" w:cs="仿宋_GB2312"/>
          <w:iCs/>
          <w:color w:val="auto"/>
          <w:sz w:val="24"/>
          <w:szCs w:val="24"/>
          <w:highlight w:val="none"/>
        </w:rPr>
        <w:t>港澳大道3号地下人行通道在提升改建后融入更多的澳门元素，以配合做好澳门新街坊项目周边的市政配套工作，打造宜居宜业的粤澳居民生活环境。</w:t>
      </w:r>
      <w:r>
        <w:rPr>
          <w:rFonts w:hint="eastAsia"/>
          <w:color w:val="auto"/>
          <w:sz w:val="20"/>
          <w:szCs w:val="20"/>
          <w:highlight w:val="none"/>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color w:val="auto"/>
          <w:sz w:val="24"/>
          <w:szCs w:val="24"/>
          <w:highlight w:val="none"/>
        </w:rPr>
      </w:pPr>
      <w:r>
        <w:rPr>
          <w:rFonts w:hint="eastAsia"/>
          <w:b/>
          <w:bCs/>
          <w:color w:val="auto"/>
          <w:sz w:val="24"/>
          <w:szCs w:val="24"/>
          <w:highlight w:val="none"/>
        </w:rPr>
        <w:t>四、主要工作内容及质量要求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1.对横琴粤澳深度合作区港澳大道3号地下人行通道进行提升改建设计，使其融入更多的澳门元素，服务内容包括方案设计、施工图设计以及施工配合阶段的设计工作，具体要求如下：</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（1）对现有地下行人通道的形像陈旧、光线昏暗等状况，提出以重新塑造入口鲜明形</w:t>
      </w:r>
      <w:r>
        <w:rPr>
          <w:rFonts w:hint="eastAsia" w:ascii="仿宋_GB2312" w:hAnsi="仿宋_GB2312" w:eastAsia="仿宋_GB2312" w:cs="仿宋_GB2312"/>
          <w:iCs/>
          <w:color w:val="auto"/>
          <w:sz w:val="24"/>
          <w:szCs w:val="24"/>
          <w:highlight w:val="none"/>
          <w:lang w:val="en-US" w:eastAsia="zh-CN"/>
        </w:rPr>
        <w:t>象</w:t>
      </w:r>
      <w:r>
        <w:rPr>
          <w:rFonts w:hint="eastAsia" w:ascii="仿宋_GB2312" w:hAnsi="仿宋_GB2312" w:eastAsia="仿宋_GB2312" w:cs="仿宋_GB2312"/>
          <w:iCs/>
          <w:color w:val="auto"/>
          <w:sz w:val="24"/>
          <w:szCs w:val="24"/>
          <w:highlight w:val="none"/>
        </w:rPr>
        <w:t>、展现横琴与澳门的文化特色并解决现有问题为改建目的, 并透过此项目的修复改建形成中葡融合的文化延伸。</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（2）以鲜明色彩的立面展示出清新明亮入口,以澳葡建筑文化特有的设计融入整体通道，并呼应横琴特色文化元素融合为一。</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（3）建筑敞开段以半开放式的空间,同时有效区分车道和人行道的内外空间关系。</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（4）以葡式砖、中式砖融合点缀通道外观，既有建</w:t>
      </w:r>
      <w:r>
        <w:rPr>
          <w:rFonts w:hint="eastAsia" w:ascii="仿宋_GB2312" w:hAnsi="仿宋_GB2312" w:eastAsia="仿宋_GB2312" w:cs="仿宋_GB2312"/>
          <w:iCs/>
          <w:color w:val="auto"/>
          <w:sz w:val="24"/>
          <w:szCs w:val="24"/>
          <w:highlight w:val="none"/>
          <w:lang w:val="en-US" w:eastAsia="zh-CN"/>
        </w:rPr>
        <w:t>筑</w:t>
      </w:r>
      <w:r>
        <w:rPr>
          <w:rFonts w:hint="eastAsia" w:ascii="仿宋_GB2312" w:hAnsi="仿宋_GB2312" w:eastAsia="仿宋_GB2312" w:cs="仿宋_GB2312"/>
          <w:iCs/>
          <w:color w:val="auto"/>
          <w:sz w:val="24"/>
          <w:szCs w:val="24"/>
          <w:highlight w:val="none"/>
        </w:rPr>
        <w:t>物内部除了富有葡式元素的室内设计,通道内还设有澳葡景点展示区域, 以赋予中葡融合的空间感受。</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2.设计文件应包括工程概算书，并按相关要求配合采购人完成设计及概算的审批。</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3.设计成果必须满足其他涉及投资管控、项目建设程序、工程审计等各方面的相关要求。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4.按照政府采购小额零星工程项目实施，设计的项目建安费总概算不得超过400万元人民币。</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（二）服务要求</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rPr>
        <w:t>1</w:t>
      </w:r>
      <w:r>
        <w:rPr>
          <w:rFonts w:hint="eastAsia" w:ascii="仿宋_GB2312" w:hAnsi="仿宋_GB2312" w:eastAsia="仿宋_GB2312" w:cs="仿宋_GB2312"/>
          <w:iCs/>
          <w:color w:val="auto"/>
          <w:sz w:val="24"/>
          <w:szCs w:val="24"/>
          <w:highlight w:val="none"/>
          <w:lang w:eastAsia="zh-CN"/>
        </w:rPr>
        <w:t>.</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必须于合同签订后3个工作日之内开展设计工作。</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0"/>
        <w:jc w:val="left"/>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bCs w:val="0"/>
          <w:iCs/>
          <w:color w:val="auto"/>
          <w:sz w:val="24"/>
          <w:szCs w:val="24"/>
          <w:highlight w:val="none"/>
          <w:lang w:val="en-US" w:eastAsia="zh-CN"/>
        </w:rPr>
        <w:t>2.</w:t>
      </w:r>
      <w:r>
        <w:rPr>
          <w:rFonts w:hint="eastAsia" w:ascii="仿宋_GB2312" w:hAnsi="仿宋_GB2312" w:eastAsia="仿宋_GB2312" w:cs="仿宋_GB2312"/>
          <w:iCs/>
          <w:color w:val="auto"/>
          <w:sz w:val="24"/>
          <w:szCs w:val="24"/>
          <w:highlight w:val="none"/>
          <w:lang w:val="en-US" w:eastAsia="zh-CN"/>
        </w:rPr>
        <w:t>乙方应</w:t>
      </w:r>
      <w:r>
        <w:rPr>
          <w:rFonts w:hint="eastAsia" w:ascii="仿宋_GB2312" w:hAnsi="仿宋_GB2312" w:eastAsia="仿宋_GB2312" w:cs="仿宋_GB2312"/>
          <w:bCs w:val="0"/>
          <w:iCs/>
          <w:color w:val="auto"/>
          <w:sz w:val="24"/>
          <w:szCs w:val="24"/>
          <w:highlight w:val="none"/>
        </w:rPr>
        <w:t>执行现行国家、部委及地方制定的设计和施工的现行标准、规范、规程和标准图集、文件要求等规定。</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rPr>
        <w:t>3</w:t>
      </w:r>
      <w:r>
        <w:rPr>
          <w:rFonts w:hint="eastAsia" w:ascii="仿宋_GB2312" w:hAnsi="仿宋_GB2312" w:eastAsia="仿宋_GB2312" w:cs="仿宋_GB2312"/>
          <w:iCs/>
          <w:color w:val="auto"/>
          <w:sz w:val="24"/>
          <w:szCs w:val="24"/>
          <w:highlight w:val="none"/>
          <w:lang w:eastAsia="zh-CN"/>
        </w:rPr>
        <w:t>.</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应在</w:t>
      </w:r>
      <w:r>
        <w:rPr>
          <w:rFonts w:hint="eastAsia" w:ascii="仿宋_GB2312" w:hAnsi="仿宋_GB2312" w:eastAsia="仿宋_GB2312" w:cs="仿宋_GB2312"/>
          <w:iCs/>
          <w:color w:val="auto"/>
          <w:sz w:val="24"/>
          <w:szCs w:val="24"/>
          <w:highlight w:val="none"/>
          <w:lang w:val="en-US" w:eastAsia="zh-CN"/>
        </w:rPr>
        <w:t>本项目</w:t>
      </w:r>
      <w:r>
        <w:rPr>
          <w:rFonts w:hint="eastAsia" w:ascii="仿宋_GB2312" w:hAnsi="仿宋_GB2312" w:eastAsia="仿宋_GB2312" w:cs="仿宋_GB2312"/>
          <w:iCs/>
          <w:color w:val="auto"/>
          <w:sz w:val="24"/>
          <w:szCs w:val="24"/>
          <w:highlight w:val="none"/>
        </w:rPr>
        <w:t>工程施工、材料设备</w:t>
      </w:r>
      <w:r>
        <w:rPr>
          <w:rFonts w:hint="eastAsia" w:ascii="仿宋_GB2312" w:hAnsi="仿宋_GB2312" w:eastAsia="仿宋_GB2312" w:cs="仿宋_GB2312"/>
          <w:iCs/>
          <w:color w:val="auto"/>
          <w:sz w:val="24"/>
          <w:szCs w:val="24"/>
          <w:highlight w:val="none"/>
          <w:lang w:val="en-US" w:eastAsia="zh-CN"/>
        </w:rPr>
        <w:t>使用及安装</w:t>
      </w:r>
      <w:r>
        <w:rPr>
          <w:rFonts w:hint="eastAsia" w:ascii="仿宋_GB2312" w:hAnsi="仿宋_GB2312" w:eastAsia="仿宋_GB2312" w:cs="仿宋_GB2312"/>
          <w:iCs/>
          <w:color w:val="auto"/>
          <w:sz w:val="24"/>
          <w:szCs w:val="24"/>
          <w:highlight w:val="none"/>
        </w:rPr>
        <w:t>过程中提供技术指导，（包括主要材料设备清单、技术规格书等），</w:t>
      </w:r>
      <w:r>
        <w:rPr>
          <w:rFonts w:hint="eastAsia" w:ascii="仿宋_GB2312" w:hAnsi="仿宋_GB2312" w:eastAsia="仿宋_GB2312" w:cs="仿宋_GB2312"/>
          <w:iCs/>
          <w:color w:val="auto"/>
          <w:sz w:val="24"/>
          <w:szCs w:val="24"/>
          <w:highlight w:val="none"/>
          <w:lang w:val="en-US" w:eastAsia="zh-CN"/>
        </w:rPr>
        <w:t>以及现场</w:t>
      </w:r>
      <w:r>
        <w:rPr>
          <w:rFonts w:hint="eastAsia" w:ascii="仿宋_GB2312" w:hAnsi="仿宋_GB2312" w:eastAsia="仿宋_GB2312" w:cs="仿宋_GB2312"/>
          <w:bCs w:val="0"/>
          <w:iCs/>
          <w:color w:val="auto"/>
          <w:sz w:val="24"/>
          <w:szCs w:val="24"/>
          <w:highlight w:val="none"/>
        </w:rPr>
        <w:t>施工配合服务</w:t>
      </w:r>
      <w:r>
        <w:rPr>
          <w:rFonts w:hint="eastAsia" w:ascii="仿宋_GB2312" w:hAnsi="仿宋_GB2312" w:eastAsia="仿宋_GB2312" w:cs="仿宋_GB2312"/>
          <w:iCs/>
          <w:color w:val="auto"/>
          <w:sz w:val="24"/>
          <w:szCs w:val="24"/>
          <w:highlight w:val="none"/>
        </w:rPr>
        <w:t>。</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4.</w:t>
      </w:r>
      <w:r>
        <w:rPr>
          <w:rFonts w:hint="eastAsia" w:ascii="仿宋_GB2312" w:hAnsi="仿宋_GB2312" w:eastAsia="仿宋_GB2312" w:cs="仿宋_GB2312"/>
          <w:iCs/>
          <w:color w:val="auto"/>
          <w:sz w:val="24"/>
          <w:szCs w:val="24"/>
          <w:highlight w:val="none"/>
        </w:rPr>
        <w:t>对于</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召开的</w:t>
      </w:r>
      <w:r>
        <w:rPr>
          <w:rFonts w:hint="eastAsia" w:ascii="仿宋_GB2312" w:hAnsi="仿宋_GB2312" w:eastAsia="仿宋_GB2312" w:cs="仿宋_GB2312"/>
          <w:iCs/>
          <w:color w:val="auto"/>
          <w:sz w:val="24"/>
          <w:szCs w:val="24"/>
          <w:highlight w:val="none"/>
          <w:lang w:val="en-US" w:eastAsia="zh-CN"/>
        </w:rPr>
        <w:t>项目</w:t>
      </w:r>
      <w:r>
        <w:rPr>
          <w:rFonts w:hint="eastAsia" w:ascii="仿宋_GB2312" w:hAnsi="仿宋_GB2312" w:eastAsia="仿宋_GB2312" w:cs="仿宋_GB2312"/>
          <w:iCs/>
          <w:color w:val="auto"/>
          <w:sz w:val="24"/>
          <w:szCs w:val="24"/>
          <w:highlight w:val="none"/>
        </w:rPr>
        <w:t>相关会议，</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应根据</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的要求派出相关专业人员参加，并积极配合</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做好</w:t>
      </w:r>
      <w:r>
        <w:rPr>
          <w:rFonts w:hint="eastAsia" w:ascii="仿宋_GB2312" w:hAnsi="仿宋_GB2312" w:eastAsia="仿宋_GB2312" w:cs="仿宋_GB2312"/>
          <w:iCs/>
          <w:color w:val="auto"/>
          <w:sz w:val="24"/>
          <w:szCs w:val="24"/>
          <w:highlight w:val="none"/>
          <w:lang w:val="en-US" w:eastAsia="zh-CN"/>
        </w:rPr>
        <w:t>设计服务</w:t>
      </w:r>
      <w:r>
        <w:rPr>
          <w:rFonts w:hint="eastAsia" w:ascii="仿宋_GB2312" w:hAnsi="仿宋_GB2312" w:eastAsia="仿宋_GB2312" w:cs="仿宋_GB2312"/>
          <w:iCs/>
          <w:color w:val="auto"/>
          <w:sz w:val="24"/>
          <w:szCs w:val="24"/>
          <w:highlight w:val="none"/>
        </w:rPr>
        <w:t>工作。</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5.</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根据</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要求（包括时间要求、深度要求等）提供本工程设计成果文件。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6.</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应负责编写</w:t>
      </w:r>
      <w:r>
        <w:rPr>
          <w:rFonts w:hint="eastAsia" w:ascii="仿宋_GB2312" w:hAnsi="仿宋_GB2312" w:eastAsia="仿宋_GB2312" w:cs="仿宋_GB2312"/>
          <w:iCs/>
          <w:color w:val="auto"/>
          <w:sz w:val="24"/>
          <w:szCs w:val="24"/>
          <w:highlight w:val="none"/>
          <w:lang w:val="en-US" w:eastAsia="zh-CN"/>
        </w:rPr>
        <w:t>本项目</w:t>
      </w:r>
      <w:r>
        <w:rPr>
          <w:rFonts w:hint="eastAsia" w:ascii="仿宋_GB2312" w:hAnsi="仿宋_GB2312" w:eastAsia="仿宋_GB2312" w:cs="仿宋_GB2312"/>
          <w:iCs/>
          <w:color w:val="auto"/>
          <w:sz w:val="24"/>
          <w:szCs w:val="24"/>
          <w:highlight w:val="none"/>
        </w:rPr>
        <w:t>工程施工、材料设备等</w:t>
      </w:r>
      <w:r>
        <w:rPr>
          <w:rFonts w:hint="eastAsia" w:ascii="仿宋_GB2312" w:hAnsi="仿宋_GB2312" w:eastAsia="仿宋_GB2312" w:cs="仿宋_GB2312"/>
          <w:iCs/>
          <w:color w:val="auto"/>
          <w:sz w:val="24"/>
          <w:szCs w:val="24"/>
          <w:highlight w:val="none"/>
          <w:lang w:val="en-US" w:eastAsia="zh-CN"/>
        </w:rPr>
        <w:t>采购</w:t>
      </w:r>
      <w:r>
        <w:rPr>
          <w:rFonts w:hint="eastAsia" w:ascii="仿宋_GB2312" w:hAnsi="仿宋_GB2312" w:eastAsia="仿宋_GB2312" w:cs="仿宋_GB2312"/>
          <w:iCs/>
          <w:color w:val="auto"/>
          <w:sz w:val="24"/>
          <w:szCs w:val="24"/>
          <w:highlight w:val="none"/>
        </w:rPr>
        <w:t>文件中的技术和质量标准。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eastAsia="zh-CN"/>
        </w:rPr>
        <w:t>7.</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应对</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转发的第三方提出的咨询于24小时内予以回复。</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b/>
          <w:bCs/>
          <w:color w:val="auto"/>
          <w:sz w:val="24"/>
          <w:szCs w:val="24"/>
          <w:highlight w:val="none"/>
        </w:rPr>
      </w:pPr>
      <w:r>
        <w:rPr>
          <w:rFonts w:hint="eastAsia"/>
          <w:b/>
          <w:bCs/>
          <w:color w:val="auto"/>
          <w:sz w:val="24"/>
          <w:szCs w:val="24"/>
          <w:highlight w:val="none"/>
          <w:lang w:val="en-US" w:eastAsia="zh-CN"/>
        </w:rPr>
        <w:t>★五、</w:t>
      </w:r>
      <w:r>
        <w:rPr>
          <w:rFonts w:hint="eastAsia"/>
          <w:b/>
          <w:bCs/>
          <w:color w:val="auto"/>
          <w:sz w:val="24"/>
          <w:szCs w:val="24"/>
          <w:highlight w:val="none"/>
        </w:rPr>
        <w:t>人员要求</w:t>
      </w:r>
    </w:p>
    <w:p>
      <w:pPr>
        <w:pStyle w:val="8"/>
        <w:keepNext w:val="0"/>
        <w:keepLines w:val="0"/>
        <w:pageBreakBefore w:val="0"/>
        <w:widowControl/>
        <w:numPr>
          <w:ilvl w:val="0"/>
          <w:numId w:val="0"/>
        </w:numPr>
        <w:kinsoku/>
        <w:wordWrap/>
        <w:overflowPunct/>
        <w:topLinePunct w:val="0"/>
        <w:autoSpaceDE w:val="0"/>
        <w:autoSpaceDN w:val="0"/>
        <w:bidi w:val="0"/>
        <w:adjustRightInd w:val="0"/>
        <w:snapToGrid/>
        <w:spacing w:before="91" w:afterLines="0" w:line="321" w:lineRule="auto"/>
        <w:ind w:right="-15" w:firstLine="480" w:firstLineChars="200"/>
        <w:jc w:val="both"/>
        <w:textAlignment w:val="baseline"/>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内地</w:t>
      </w:r>
      <w:r>
        <w:rPr>
          <w:rFonts w:hint="eastAsia" w:ascii="仿宋_GB2312" w:hAnsi="仿宋_GB2312" w:eastAsia="仿宋_GB2312" w:cs="仿宋_GB2312"/>
          <w:color w:val="auto"/>
          <w:sz w:val="24"/>
          <w:szCs w:val="24"/>
          <w:highlight w:val="none"/>
        </w:rPr>
        <w:t>拟派项目负责人具有注册建筑师资格证书。港澳拟派项目负责人具有横琴粤澳深度合作区城市规划和建设局颁发</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港澳建筑及相关工程专业人士执业资格备案认可书，备案业务范围为[注册建筑师]资格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或具有广东省住房和城乡建设厅备案认可的证明文件，备案业务范围为[注册建筑师]。</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b/>
          <w:bCs/>
          <w:color w:val="auto"/>
          <w:sz w:val="24"/>
          <w:szCs w:val="24"/>
          <w:highlight w:val="none"/>
        </w:rPr>
      </w:pPr>
      <w:r>
        <w:rPr>
          <w:rFonts w:hint="eastAsia"/>
          <w:b/>
          <w:bCs/>
          <w:color w:val="auto"/>
          <w:sz w:val="24"/>
          <w:szCs w:val="24"/>
          <w:highlight w:val="none"/>
          <w:lang w:val="en-US" w:eastAsia="zh-CN"/>
        </w:rPr>
        <w:t>六</w:t>
      </w:r>
      <w:r>
        <w:rPr>
          <w:rFonts w:hint="eastAsia"/>
          <w:b/>
          <w:bCs/>
          <w:color w:val="auto"/>
          <w:sz w:val="24"/>
          <w:szCs w:val="24"/>
          <w:highlight w:val="none"/>
        </w:rPr>
        <w:t>、服务期限</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2、取得甲方的设计方案同意意见后，15个日历天内提交施工图文件及预算等相关成果文件；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_GB2312" w:hAnsi="仿宋_GB2312" w:eastAsia="仿宋_GB2312" w:cs="仿宋_GB2312"/>
          <w:b w:val="0"/>
          <w:bCs w:val="0"/>
          <w:iCs/>
          <w:color w:val="auto"/>
          <w:sz w:val="24"/>
          <w:szCs w:val="24"/>
          <w:highlight w:val="none"/>
          <w:lang w:val="en-US" w:eastAsia="zh-CN"/>
        </w:rPr>
      </w:pPr>
      <w:r>
        <w:rPr>
          <w:rFonts w:hint="eastAsia" w:ascii="仿宋_GB2312" w:hAnsi="仿宋_GB2312" w:eastAsia="仿宋_GB2312" w:cs="仿宋_GB2312"/>
          <w:b w:val="0"/>
          <w:bCs w:val="0"/>
          <w:iCs/>
          <w:color w:val="auto"/>
          <w:sz w:val="24"/>
          <w:szCs w:val="24"/>
          <w:highlight w:val="none"/>
          <w:lang w:val="en-US" w:eastAsia="zh-CN"/>
        </w:rPr>
        <w:t>3、在港澳大道3号地下人行通提升改建项目施工期间，乙方应积极配合施工过程中相关可能发生的设计、施工、预算等变更手续， 服务直至改造施工项目完工。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0"/>
        <w:jc w:val="both"/>
        <w:textAlignment w:val="baseline"/>
        <w:rPr>
          <w:rFonts w:hint="eastAsia"/>
          <w:b/>
          <w:bCs/>
          <w:color w:val="auto"/>
          <w:sz w:val="24"/>
          <w:szCs w:val="24"/>
          <w:highlight w:val="none"/>
        </w:rPr>
      </w:pPr>
      <w:r>
        <w:rPr>
          <w:rFonts w:hint="eastAsia"/>
          <w:b/>
          <w:bCs/>
          <w:color w:val="auto"/>
          <w:sz w:val="24"/>
          <w:szCs w:val="24"/>
          <w:highlight w:val="none"/>
          <w:lang w:val="en-US" w:eastAsia="zh-CN"/>
        </w:rPr>
        <w:t>七、</w:t>
      </w:r>
      <w:r>
        <w:rPr>
          <w:rFonts w:hint="eastAsia"/>
          <w:b/>
          <w:bCs/>
          <w:color w:val="auto"/>
          <w:sz w:val="24"/>
          <w:szCs w:val="24"/>
          <w:highlight w:val="none"/>
        </w:rPr>
        <w:t>付款方法和支付比例</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iCs/>
          <w:color w:val="auto"/>
          <w:sz w:val="24"/>
          <w:szCs w:val="24"/>
          <w:highlight w:val="none"/>
        </w:rPr>
      </w:pPr>
      <w:r>
        <w:rPr>
          <w:rFonts w:hint="eastAsia"/>
          <w:b/>
          <w:bCs/>
          <w:color w:val="auto"/>
          <w:sz w:val="24"/>
          <w:szCs w:val="24"/>
          <w:highlight w:val="none"/>
          <w:lang w:val="en-US" w:eastAsia="zh-CN"/>
        </w:rPr>
        <w:t xml:space="preserve">    </w:t>
      </w:r>
      <w:r>
        <w:rPr>
          <w:rFonts w:hint="eastAsia" w:ascii="仿宋_GB2312" w:hAnsi="仿宋_GB2312" w:eastAsia="仿宋_GB2312" w:cs="仿宋_GB2312"/>
          <w:iCs/>
          <w:color w:val="auto"/>
          <w:sz w:val="24"/>
          <w:szCs w:val="24"/>
          <w:highlight w:val="none"/>
        </w:rPr>
        <w:t>合同签订后，</w:t>
      </w:r>
      <w:r>
        <w:rPr>
          <w:rFonts w:hint="eastAsia" w:ascii="仿宋_GB2312" w:hAnsi="仿宋_GB2312" w:eastAsia="仿宋_GB2312" w:cs="仿宋_GB2312"/>
          <w:iCs/>
          <w:color w:val="auto"/>
          <w:sz w:val="24"/>
          <w:szCs w:val="24"/>
          <w:highlight w:val="none"/>
          <w:lang w:val="en-US" w:eastAsia="zh-CN"/>
        </w:rPr>
        <w:t>乙方</w:t>
      </w:r>
      <w:r>
        <w:rPr>
          <w:rFonts w:hint="eastAsia" w:ascii="仿宋_GB2312" w:hAnsi="仿宋_GB2312" w:eastAsia="仿宋_GB2312" w:cs="仿宋_GB2312"/>
          <w:iCs/>
          <w:color w:val="auto"/>
          <w:sz w:val="24"/>
          <w:szCs w:val="24"/>
          <w:highlight w:val="none"/>
        </w:rPr>
        <w:t>提交的方案设计图</w:t>
      </w:r>
      <w:r>
        <w:rPr>
          <w:rFonts w:hint="eastAsia" w:ascii="仿宋_GB2312" w:hAnsi="仿宋_GB2312" w:eastAsia="仿宋_GB2312" w:cs="仿宋_GB2312"/>
          <w:iCs/>
          <w:color w:val="auto"/>
          <w:sz w:val="24"/>
          <w:szCs w:val="24"/>
          <w:highlight w:val="none"/>
          <w:lang w:eastAsia="zh-CN"/>
        </w:rPr>
        <w:t>、概算文件</w:t>
      </w:r>
      <w:r>
        <w:rPr>
          <w:rFonts w:hint="eastAsia" w:ascii="仿宋_GB2312" w:hAnsi="仿宋_GB2312" w:eastAsia="仿宋_GB2312" w:cs="仿宋_GB2312"/>
          <w:iCs/>
          <w:color w:val="auto"/>
          <w:sz w:val="24"/>
          <w:szCs w:val="24"/>
          <w:highlight w:val="none"/>
        </w:rPr>
        <w:t>及施工图设计成果文件，经</w:t>
      </w:r>
      <w:r>
        <w:rPr>
          <w:rFonts w:hint="eastAsia" w:ascii="仿宋_GB2312" w:hAnsi="仿宋_GB2312" w:eastAsia="仿宋_GB2312" w:cs="仿宋_GB2312"/>
          <w:iCs/>
          <w:color w:val="auto"/>
          <w:sz w:val="24"/>
          <w:szCs w:val="24"/>
          <w:highlight w:val="none"/>
          <w:lang w:val="en-US" w:eastAsia="zh-CN"/>
        </w:rPr>
        <w:t>甲方</w:t>
      </w:r>
      <w:r>
        <w:rPr>
          <w:rFonts w:hint="eastAsia" w:ascii="仿宋_GB2312" w:hAnsi="仿宋_GB2312" w:eastAsia="仿宋_GB2312" w:cs="仿宋_GB2312"/>
          <w:iCs/>
          <w:color w:val="auto"/>
          <w:sz w:val="24"/>
          <w:szCs w:val="24"/>
          <w:highlight w:val="none"/>
        </w:rPr>
        <w:t>书面确认后，甲方支付至最终设计费的80%，待项目施工完成后，甲方支付剩余20%尾款。</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八</w:t>
      </w:r>
      <w:r>
        <w:rPr>
          <w:rFonts w:hint="eastAsia"/>
          <w:b/>
          <w:bCs/>
          <w:color w:val="auto"/>
          <w:sz w:val="24"/>
          <w:szCs w:val="24"/>
          <w:highlight w:val="none"/>
        </w:rPr>
        <w:t>、</w:t>
      </w:r>
      <w:r>
        <w:rPr>
          <w:rFonts w:hint="eastAsia"/>
          <w:b/>
          <w:bCs/>
          <w:color w:val="auto"/>
          <w:sz w:val="24"/>
          <w:szCs w:val="24"/>
          <w:highlight w:val="none"/>
          <w:lang w:val="en-US" w:eastAsia="zh-CN"/>
        </w:rPr>
        <w:t xml:space="preserve">合同金额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rPr>
        <w:t>包括但不限于完成本设计服务所发生的方案设计费、施工图纸设计费、现场勘查费、人工费、协调费、设计修改费、估算费、估算修改费、审查费、材料费及递送费、场地办公费、设备费、交通费、管理费、考察费、专家咨询费、加班费、专利技术使用费（包括自有专利技术以及使用他人的专利技术）、其他知识产权使用费（包括自有知识产权以及使用他人的知识产权）、利润、税金等各项应有费用。除非双方另有约定，</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无需就合同所述的</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服务向其</w:t>
      </w:r>
      <w:r>
        <w:rPr>
          <w:rFonts w:hint="eastAsia" w:ascii="仿宋" w:hAnsi="仿宋" w:eastAsia="仿宋" w:cs="仿宋"/>
          <w:color w:val="auto"/>
          <w:sz w:val="24"/>
          <w:szCs w:val="24"/>
          <w:highlight w:val="none"/>
          <w:lang w:val="en-US" w:eastAsia="zh-CN"/>
        </w:rPr>
        <w:t>他</w:t>
      </w:r>
      <w:r>
        <w:rPr>
          <w:rFonts w:hint="eastAsia" w:ascii="仿宋" w:hAnsi="仿宋" w:eastAsia="仿宋" w:cs="仿宋"/>
          <w:color w:val="auto"/>
          <w:sz w:val="24"/>
          <w:szCs w:val="24"/>
          <w:highlight w:val="none"/>
        </w:rPr>
        <w:t>人员或任何第三方支付任何其他费用。</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宋体" w:hAnsi="Times New Roman" w:eastAsia="宋体" w:cs="Times New Roman"/>
          <w:b/>
          <w:bCs/>
          <w:color w:val="auto"/>
          <w:sz w:val="20"/>
          <w:szCs w:val="20"/>
          <w:highlight w:val="none"/>
          <w:lang w:val="en-US" w:eastAsia="zh-CN"/>
        </w:rPr>
      </w:pPr>
      <w:r>
        <w:rPr>
          <w:rFonts w:hint="eastAsia" w:cs="Times New Roman"/>
          <w:b/>
          <w:bCs/>
          <w:color w:val="auto"/>
          <w:sz w:val="24"/>
          <w:szCs w:val="24"/>
          <w:highlight w:val="none"/>
          <w:lang w:val="en-US" w:eastAsia="zh-CN"/>
        </w:rPr>
        <w:t>九</w:t>
      </w:r>
      <w:r>
        <w:rPr>
          <w:rFonts w:hint="eastAsia" w:ascii="宋体" w:hAnsi="Times New Roman" w:eastAsia="宋体" w:cs="Times New Roman"/>
          <w:b/>
          <w:bCs/>
          <w:color w:val="auto"/>
          <w:sz w:val="24"/>
          <w:szCs w:val="24"/>
          <w:highlight w:val="none"/>
          <w:lang w:val="en-US" w:eastAsia="zh-CN"/>
        </w:rPr>
        <w:t>、服务标准</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宋体" w:eastAsia="宋体" w:cs="Times New Roman"/>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符合国家、广东省及横琴粤澳深度合作区相关法律法规及有关规定的要求，并按要求通过有关机构审查。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宋体" w:eastAsia="宋体" w:cs="Times New Roman"/>
          <w:b/>
          <w:bCs/>
          <w:color w:val="auto"/>
          <w:sz w:val="24"/>
          <w:szCs w:val="24"/>
          <w:highlight w:val="none"/>
          <w:lang w:val="en-US" w:eastAsia="zh-CN"/>
        </w:rPr>
      </w:pPr>
      <w:r>
        <w:rPr>
          <w:rFonts w:hint="eastAsia" w:ascii="宋体" w:eastAsia="宋体" w:cs="Times New Roman"/>
          <w:b/>
          <w:bCs/>
          <w:color w:val="auto"/>
          <w:sz w:val="24"/>
          <w:szCs w:val="24"/>
          <w:highlight w:val="none"/>
          <w:lang w:val="en-US" w:eastAsia="zh-CN"/>
        </w:rPr>
        <w:t>十、验收要求</w:t>
      </w:r>
    </w:p>
    <w:p>
      <w:pPr>
        <w:pStyle w:val="8"/>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000000"/>
          <w:sz w:val="24"/>
          <w:szCs w:val="24"/>
          <w:lang w:val="en-US" w:eastAsia="zh-CN" w:bidi="ar"/>
        </w:rPr>
        <w:t>按照国家、广东省及横琴粤澳深度合作区相关法律法规及有关规定的要求，并按要求通过有关机构审查。</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ascii="宋体" w:hAnsi="Times New Roman" w:eastAsia="宋体" w:cs="Times New Roman"/>
          <w:b/>
          <w:bCs/>
          <w:color w:val="auto"/>
          <w:sz w:val="20"/>
          <w:szCs w:val="20"/>
          <w:highlight w:val="none"/>
          <w:lang w:val="en-US" w:eastAsia="zh-CN"/>
        </w:rPr>
      </w:pPr>
      <w:r>
        <w:rPr>
          <w:rFonts w:hint="eastAsia" w:ascii="宋体" w:hAnsi="Times New Roman" w:eastAsia="宋体" w:cs="Times New Roman"/>
          <w:b/>
          <w:bCs/>
          <w:color w:val="auto"/>
          <w:sz w:val="24"/>
          <w:szCs w:val="24"/>
          <w:highlight w:val="none"/>
          <w:lang w:val="en-US" w:eastAsia="zh-CN"/>
        </w:rPr>
        <w:t>十</w:t>
      </w:r>
      <w:r>
        <w:rPr>
          <w:rFonts w:hint="eastAsia" w:cs="Times New Roman"/>
          <w:b/>
          <w:bCs/>
          <w:color w:val="auto"/>
          <w:sz w:val="24"/>
          <w:szCs w:val="24"/>
          <w:highlight w:val="none"/>
          <w:lang w:val="en-US" w:eastAsia="zh-CN"/>
        </w:rPr>
        <w:t>一</w:t>
      </w:r>
      <w:r>
        <w:rPr>
          <w:rFonts w:hint="eastAsia" w:ascii="宋体" w:hAnsi="Times New Roman" w:eastAsia="宋体" w:cs="Times New Roman"/>
          <w:b/>
          <w:bCs/>
          <w:color w:val="auto"/>
          <w:sz w:val="24"/>
          <w:szCs w:val="24"/>
          <w:highlight w:val="none"/>
          <w:lang w:val="en-US" w:eastAsia="zh-CN"/>
        </w:rPr>
        <w:t>、成果要求</w:t>
      </w:r>
    </w:p>
    <w:p>
      <w:pPr>
        <w:widowControl/>
        <w:numPr>
          <w:ilvl w:val="-1"/>
          <w:numId w:val="0"/>
        </w:numPr>
        <w:autoSpaceDE w:val="0"/>
        <w:autoSpaceDN w:val="0"/>
        <w:adjustRightInd w:val="0"/>
        <w:spacing w:line="360" w:lineRule="auto"/>
        <w:ind w:left="0" w:firstLine="480" w:firstLineChars="200"/>
        <w:jc w:val="left"/>
        <w:textAlignment w:val="baseline"/>
        <w:rPr>
          <w:rFonts w:hint="eastAsia" w:ascii="仿宋" w:hAnsi="仿宋" w:eastAsia="仿宋" w:cs="仿宋"/>
          <w:color w:val="000000"/>
          <w:kern w:val="0"/>
          <w:sz w:val="24"/>
          <w:szCs w:val="24"/>
          <w:lang w:val="en-US" w:eastAsia="zh-CN" w:bidi="ar"/>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方案设计</w:t>
      </w:r>
      <w:r>
        <w:rPr>
          <w:rFonts w:hint="eastAsia" w:ascii="仿宋" w:hAnsi="仿宋" w:eastAsia="仿宋" w:cs="仿宋"/>
          <w:color w:val="000000"/>
          <w:kern w:val="0"/>
          <w:sz w:val="24"/>
          <w:szCs w:val="24"/>
          <w:lang w:val="en-US" w:eastAsia="zh-CN" w:bidi="ar"/>
        </w:rPr>
        <w:t>（纸质+电子），按需提供。</w:t>
      </w:r>
    </w:p>
    <w:p>
      <w:pPr>
        <w:keepNext w:val="0"/>
        <w:keepLines w:val="0"/>
        <w:pageBreakBefore w:val="0"/>
        <w:widowControl/>
        <w:numPr>
          <w:ilvl w:val="-1"/>
          <w:numId w:val="0"/>
        </w:numPr>
        <w:kinsoku/>
        <w:wordWrap/>
        <w:overflowPunct/>
        <w:topLinePunct w:val="0"/>
        <w:autoSpaceDE w:val="0"/>
        <w:autoSpaceDN w:val="0"/>
        <w:bidi w:val="0"/>
        <w:adjustRightInd w:val="0"/>
        <w:snapToGrid/>
        <w:spacing w:line="360" w:lineRule="auto"/>
        <w:ind w:left="0" w:firstLine="480" w:firstLineChars="200"/>
        <w:jc w:val="left"/>
        <w:textAlignment w:val="baseline"/>
        <w:rPr>
          <w:rFonts w:hint="eastAsia" w:ascii="仿宋" w:hAnsi="仿宋" w:eastAsia="仿宋" w:cs="仿宋"/>
          <w:color w:val="000000"/>
          <w:kern w:val="0"/>
          <w:sz w:val="24"/>
          <w:szCs w:val="24"/>
          <w:lang w:val="en-US" w:eastAsia="zh-CN" w:bidi="ar"/>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施工图设计（纸质+电子）</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kern w:val="0"/>
          <w:sz w:val="24"/>
          <w:szCs w:val="24"/>
          <w:lang w:val="en-US" w:eastAsia="zh-CN" w:bidi="ar"/>
        </w:rPr>
        <w:t>按需提供。</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3.工程概算书（纸质+电子），按需提供。</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both"/>
        <w:textAlignment w:val="baseline"/>
        <w:rPr>
          <w:rFonts w:hint="eastAsia"/>
          <w:color w:val="auto"/>
          <w:sz w:val="24"/>
          <w:szCs w:val="24"/>
          <w:highlight w:val="none"/>
          <w:lang w:val="en-US" w:eastAsia="zh-CN"/>
        </w:rPr>
      </w:pPr>
      <w:r>
        <w:rPr>
          <w:rFonts w:hint="eastAsia"/>
          <w:b/>
          <w:bCs/>
          <w:color w:val="auto"/>
          <w:sz w:val="24"/>
          <w:szCs w:val="24"/>
          <w:highlight w:val="none"/>
          <w:lang w:val="en-US" w:eastAsia="zh-CN"/>
        </w:rPr>
        <w:t>十二、权利和义务</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1.甲方的权利和义务</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1.1甲方在规定的时间内向乙方提交资料及文件，并对其完整性、正确性及时限负责，甲方不得要求乙方违反国家有关标准进行设计。如因甲方提供基础资料时间滞后，则乙方提交成果的时间相应顺延。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1.2因甲方原因造成工程停建、缓建、发生重大变更，以致合同不能正常履行时，乙方不得要求进行经济索赔，但甲方可顺延工期或按现状完成的工作量结算。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1.3项目实施过程中，甲方无需再向乙方支付其他任何费用，乙方应自行承担其工作人员的食、宿、交通费用以及服务中发生的其他费用。</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1.4乙方完成的所有成果归甲方所有，甲方可根据项目需要合理利用，乙方不得有任何异议。</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1.5乙方在从事服务过程中，甲方有权派专人监督、检查。对乙方不符合合同规定的服务内容，甲方有权要求乙方限期改正。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1.6乙方依约履行合同的前提下，甲方按合同约定履行付款义务。因乙方原因致使成果文件质量不合格，其责任由乙方承担，乙方应修改完善，否则甲方不予支付费用。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1.7甲方要求乙方比合同规定时间提前交付设计资料及文件时,乙方应积极配合。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2.乙方责任与权利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2.1乙方应按国家规定和合同约定的现行规范及相关行业标准、规程进行工程设计，按合同规定的内容、时间及份数向甲方交付设计成果资料及相关文件，并对其负责。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2.2设计合理使用年限为国家规定年限。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2.3乙方交付设计资料及文件后，按规定参加有关的设计审查，并根据审查结论负责对该审查意见做必要修改调整补充。乙方按合同规定时限交付设计资料及文件，负责向甲方及施工单位进行设计交底、处理有关设计问题和参加竣工验收。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2.4乙方的初步设计概算必须限定在投资估算额度内，乙方完成设计图、概算书、施工图后，甲方提出优化设计要求的，乙方必须针对调整方案在甲方要求的合理时间内进行限额、图纸等相关优化。 </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baseline"/>
        <w:rPr>
          <w:rFonts w:hint="eastAsia"/>
          <w:color w:val="auto"/>
          <w:sz w:val="20"/>
          <w:szCs w:val="20"/>
          <w:highlight w:val="none"/>
          <w:lang w:val="en-US" w:eastAsia="zh-CN"/>
        </w:rPr>
      </w:pPr>
      <w:r>
        <w:rPr>
          <w:rFonts w:hint="eastAsia" w:ascii="仿宋" w:hAnsi="仿宋" w:eastAsia="仿宋" w:cs="仿宋"/>
          <w:color w:val="auto"/>
          <w:sz w:val="24"/>
          <w:szCs w:val="24"/>
          <w:highlight w:val="none"/>
          <w:lang w:val="en-US" w:eastAsia="zh-CN"/>
        </w:rPr>
        <w:t>2.5编制概算必须按国家、省、市有关规定进行，认真、准确、及时出具成果文件。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baseline"/>
        <w:rPr>
          <w:rFonts w:hint="eastAsia"/>
          <w:color w:val="auto"/>
          <w:sz w:val="24"/>
          <w:szCs w:val="24"/>
          <w:highlight w:val="none"/>
          <w:lang w:val="en-US" w:eastAsia="zh-CN"/>
        </w:rPr>
      </w:pPr>
      <w:r>
        <w:rPr>
          <w:rFonts w:hint="eastAsia"/>
          <w:b/>
          <w:bCs/>
          <w:color w:val="auto"/>
          <w:sz w:val="24"/>
          <w:szCs w:val="24"/>
          <w:highlight w:val="none"/>
          <w:lang w:val="en-US" w:eastAsia="zh-CN"/>
        </w:rPr>
        <w:t>十三、违约责任</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1.乙方提供的服务未能满足合同、磋商文件或甲方要求，甲方累计3次书面通知要求整改而乙方未按要求整改或整改后仍达不到要求的，甲方有权解除合同，且乙方须支付合同价的10%作为违约金。</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2.合同履行期限内乙方未按要求配置的设备、人员未满足合同约定，须按甲方要求的期限进行整改，且每次乙方须按照合同金额的2%支付违约金。</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合同履约期间，项目负责人必须按照响应文件中所承诺的人员进行配置，原则上不得变更，因项目负责人身体等客观原因不能继续履行项目职责，经甲方书面同意方可变更；若出现第二次变更，则乙方需支付5000元的违约金；若需第三次变更项目负责人，则乙方需支付1万元的违约金，同时甲方有权单方面终止合同，由此给甲方造成的损失全部由乙方承担，相关损失赔偿不限于诉讼费、律师费等。</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4.因违约方违约导致守约方为维护合法权益产生的一切费用由违约方承担，该费用包括但不限于诉讼或仲裁费、保全费、律师费、公告费、鉴定费、调查费、评估费、执行费、差旅费、赔偿款、拍卖费。 </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5.乙方不得转、分包服务业务，否则，终止本合同，同时乙方退还全部甲方已付合同款；甲方未支付合同款的，不再向乙方支付任何款项。由此产生的一切后果由乙方负责。</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6.其它违约责任按《中华人民共和国民法典》处理。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jc w:val="both"/>
        <w:textAlignment w:val="baseline"/>
        <w:rPr>
          <w:rFonts w:hint="eastAsia" w:ascii="仿宋_GB2312" w:hAnsi="仿宋_GB2312" w:eastAsia="仿宋_GB2312" w:cs="仿宋_GB2312"/>
          <w:b/>
          <w:bCs w:val="0"/>
          <w:color w:val="auto"/>
          <w:sz w:val="24"/>
          <w:szCs w:val="20"/>
          <w:highlight w:val="none"/>
        </w:rPr>
      </w:pPr>
      <w:r>
        <w:rPr>
          <w:rFonts w:hint="eastAsia" w:ascii="仿宋_GB2312" w:hAnsi="仿宋_GB2312" w:eastAsia="仿宋_GB2312" w:cs="仿宋_GB2312"/>
          <w:b/>
          <w:bCs w:val="0"/>
          <w:color w:val="auto"/>
          <w:sz w:val="24"/>
          <w:szCs w:val="20"/>
          <w:highlight w:val="none"/>
          <w:lang w:val="en-US" w:eastAsia="zh-CN"/>
        </w:rPr>
        <w:t>十四</w:t>
      </w:r>
      <w:r>
        <w:rPr>
          <w:rFonts w:hint="eastAsia" w:ascii="仿宋_GB2312" w:hAnsi="仿宋_GB2312" w:eastAsia="仿宋_GB2312" w:cs="仿宋_GB2312"/>
          <w:b/>
          <w:bCs w:val="0"/>
          <w:color w:val="auto"/>
          <w:sz w:val="24"/>
          <w:szCs w:val="20"/>
          <w:highlight w:val="none"/>
        </w:rPr>
        <w:t>、保密</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双方均应保护对方的知识产权，未经对方同意，任何一方均不得对他方的资料及文件擅自修改、复制使用或向第三人转让披露及用于本合同项目外的项目。如发生以上情况，泄密方承担一切由此引起的后果并承担赔偿责任。</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保证其所提交的设计成果不得侵犯到任何第三人的合法权益（包括但不限于知识产权、或专有技术或商业秘密或其他合法权利）。因侵犯他人的著作权、专利权或其他知识产权所引起的一切法律责任均由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因利用</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所提交的成果而被指控侵犯他人权利，由此而产生的或与此有关的任何责任由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有权就由此发生的所有费用和损失（包括但不限于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因此而支付的赔偿金、仲裁费、律师费、调查费等）向</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追偿。</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rPr>
        <w:t>十</w:t>
      </w:r>
      <w:r>
        <w:rPr>
          <w:rFonts w:hint="eastAsia" w:ascii="仿宋_GB2312" w:hAnsi="仿宋_GB2312" w:eastAsia="仿宋_GB2312" w:cs="仿宋_GB2312"/>
          <w:b/>
          <w:color w:val="auto"/>
          <w:sz w:val="24"/>
          <w:szCs w:val="20"/>
          <w:highlight w:val="none"/>
          <w:lang w:val="en-US" w:eastAsia="zh-CN"/>
        </w:rPr>
        <w:t>五</w:t>
      </w:r>
      <w:r>
        <w:rPr>
          <w:rFonts w:hint="eastAsia" w:ascii="仿宋_GB2312" w:hAnsi="仿宋_GB2312" w:eastAsia="仿宋_GB2312" w:cs="仿宋_GB2312"/>
          <w:b/>
          <w:color w:val="auto"/>
          <w:sz w:val="24"/>
          <w:szCs w:val="20"/>
          <w:highlight w:val="none"/>
        </w:rPr>
        <w:t>、知识产权归属</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b w:val="0"/>
          <w:color w:val="auto"/>
          <w:kern w:val="0"/>
          <w:sz w:val="24"/>
          <w:szCs w:val="24"/>
          <w:highlight w:val="none"/>
        </w:rPr>
      </w:pPr>
      <w:r>
        <w:rPr>
          <w:rFonts w:hint="eastAsia" w:ascii="仿宋" w:hAnsi="仿宋" w:eastAsia="仿宋" w:cs="仿宋"/>
          <w:b w:val="0"/>
          <w:color w:val="auto"/>
          <w:kern w:val="0"/>
          <w:sz w:val="24"/>
          <w:szCs w:val="24"/>
          <w:highlight w:val="none"/>
        </w:rPr>
        <w:t>1</w:t>
      </w:r>
      <w:r>
        <w:rPr>
          <w:rFonts w:hint="eastAsia" w:ascii="仿宋" w:hAnsi="仿宋" w:eastAsia="仿宋" w:cs="仿宋"/>
          <w:b w:val="0"/>
          <w:color w:val="auto"/>
          <w:kern w:val="0"/>
          <w:sz w:val="24"/>
          <w:szCs w:val="24"/>
          <w:highlight w:val="none"/>
          <w:lang w:eastAsia="zh-CN"/>
        </w:rPr>
        <w:t>.</w:t>
      </w:r>
      <w:r>
        <w:rPr>
          <w:rFonts w:hint="eastAsia" w:ascii="仿宋" w:hAnsi="仿宋" w:eastAsia="仿宋" w:cs="仿宋"/>
          <w:b w:val="0"/>
          <w:color w:val="auto"/>
          <w:kern w:val="0"/>
          <w:sz w:val="24"/>
          <w:szCs w:val="24"/>
          <w:highlight w:val="none"/>
        </w:rPr>
        <w:t>非经甲方书面同意，乙方不得撤回所提交的任何工作成果。经甲方认可的本合同工作成果，其知识产权归甲方所有。未经甲方书面同意，乙方无权将所涉及的工作成果使用于本合同之外的任何其它目的，否则须承担由此引发的一切后果并承担赔偿责任。本约定不受本合同终止约束。</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b w:val="0"/>
          <w:color w:val="auto"/>
          <w:kern w:val="0"/>
          <w:sz w:val="24"/>
          <w:szCs w:val="24"/>
          <w:highlight w:val="none"/>
        </w:rPr>
      </w:pPr>
      <w:r>
        <w:rPr>
          <w:rFonts w:hint="eastAsia" w:ascii="仿宋" w:hAnsi="仿宋" w:eastAsia="仿宋" w:cs="仿宋"/>
          <w:b w:val="0"/>
          <w:color w:val="auto"/>
          <w:kern w:val="0"/>
          <w:sz w:val="24"/>
          <w:szCs w:val="24"/>
          <w:highlight w:val="none"/>
        </w:rPr>
        <w:t>2</w:t>
      </w:r>
      <w:r>
        <w:rPr>
          <w:rFonts w:hint="eastAsia" w:ascii="仿宋" w:hAnsi="仿宋" w:eastAsia="仿宋" w:cs="仿宋"/>
          <w:b w:val="0"/>
          <w:color w:val="auto"/>
          <w:kern w:val="0"/>
          <w:sz w:val="24"/>
          <w:szCs w:val="24"/>
          <w:highlight w:val="none"/>
          <w:lang w:eastAsia="zh-CN"/>
        </w:rPr>
        <w:t>.</w:t>
      </w:r>
      <w:r>
        <w:rPr>
          <w:rFonts w:hint="eastAsia" w:ascii="仿宋" w:hAnsi="仿宋" w:eastAsia="仿宋" w:cs="仿宋"/>
          <w:b w:val="0"/>
          <w:color w:val="auto"/>
          <w:kern w:val="0"/>
          <w:sz w:val="24"/>
          <w:szCs w:val="24"/>
          <w:highlight w:val="none"/>
        </w:rPr>
        <w:t>乙方以本研究的名义购买及取得的专用资料、设备等，由甲方拥有，并由甲方保管。乙方不得使用本项目专有资料、设备等用于与本研究无关的项目，并须于研究完成时，将专有资料交回甲方。</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rPr>
        <w:t>十</w:t>
      </w:r>
      <w:r>
        <w:rPr>
          <w:rFonts w:hint="eastAsia" w:ascii="仿宋_GB2312" w:hAnsi="仿宋_GB2312" w:eastAsia="仿宋_GB2312" w:cs="仿宋_GB2312"/>
          <w:b/>
          <w:color w:val="auto"/>
          <w:sz w:val="24"/>
          <w:szCs w:val="20"/>
          <w:highlight w:val="none"/>
          <w:lang w:val="en-US" w:eastAsia="zh-CN"/>
        </w:rPr>
        <w:t>六</w:t>
      </w:r>
      <w:r>
        <w:rPr>
          <w:rFonts w:hint="eastAsia" w:ascii="仿宋_GB2312" w:hAnsi="仿宋_GB2312" w:eastAsia="仿宋_GB2312" w:cs="仿宋_GB2312"/>
          <w:b/>
          <w:color w:val="auto"/>
          <w:sz w:val="24"/>
          <w:szCs w:val="20"/>
          <w:highlight w:val="none"/>
        </w:rPr>
        <w:t>、争端的解决</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合同实施或与本合同有关的一切争议应通过双方友好协商解决。协商解决不成的，任何一方均可提交甲方所在地</w:t>
      </w:r>
      <w:r>
        <w:rPr>
          <w:rFonts w:hint="eastAsia" w:ascii="仿宋" w:hAnsi="仿宋" w:eastAsia="仿宋" w:cs="仿宋"/>
          <w:color w:val="auto"/>
          <w:kern w:val="0"/>
          <w:sz w:val="24"/>
          <w:szCs w:val="24"/>
          <w:highlight w:val="none"/>
          <w:lang w:val="en-US" w:eastAsia="zh-CN"/>
        </w:rPr>
        <w:t>有管辖权的人民法院诉讼解决</w:t>
      </w:r>
      <w:r>
        <w:rPr>
          <w:rFonts w:hint="eastAsia" w:ascii="仿宋" w:hAnsi="仿宋" w:eastAsia="仿宋" w:cs="仿宋"/>
          <w:color w:val="auto"/>
          <w:kern w:val="0"/>
          <w:sz w:val="24"/>
          <w:szCs w:val="24"/>
          <w:highlight w:val="none"/>
        </w:rPr>
        <w:t>。</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违约方应承担守约方包括但不限于实际损失及</w:t>
      </w:r>
      <w:r>
        <w:rPr>
          <w:rFonts w:hint="eastAsia" w:ascii="仿宋" w:hAnsi="仿宋" w:eastAsia="仿宋" w:cs="仿宋"/>
          <w:color w:val="auto"/>
          <w:kern w:val="0"/>
          <w:sz w:val="24"/>
          <w:szCs w:val="24"/>
          <w:highlight w:val="none"/>
          <w:lang w:val="en-US" w:eastAsia="zh-CN"/>
        </w:rPr>
        <w:t>诉讼</w:t>
      </w:r>
      <w:r>
        <w:rPr>
          <w:rFonts w:hint="eastAsia" w:ascii="仿宋" w:hAnsi="仿宋" w:eastAsia="仿宋" w:cs="仿宋"/>
          <w:color w:val="auto"/>
          <w:kern w:val="0"/>
          <w:sz w:val="24"/>
          <w:szCs w:val="24"/>
          <w:highlight w:val="none"/>
        </w:rPr>
        <w:t>费、律师费、保全费、执行费、交通费、调查费等一切损失。</w:t>
      </w:r>
    </w:p>
    <w:p>
      <w:pPr>
        <w:pStyle w:val="15"/>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除争议事项或争议事项所涉及的条款外，双方应继续履行本合同项下的其他义务。</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rPr>
        <w:t>十</w:t>
      </w:r>
      <w:r>
        <w:rPr>
          <w:rFonts w:hint="eastAsia" w:ascii="仿宋_GB2312" w:hAnsi="仿宋_GB2312" w:eastAsia="仿宋_GB2312" w:cs="仿宋_GB2312"/>
          <w:b/>
          <w:color w:val="auto"/>
          <w:sz w:val="24"/>
          <w:szCs w:val="20"/>
          <w:highlight w:val="none"/>
          <w:lang w:val="en-US" w:eastAsia="zh-CN"/>
        </w:rPr>
        <w:t>七</w:t>
      </w:r>
      <w:r>
        <w:rPr>
          <w:rFonts w:hint="eastAsia" w:ascii="仿宋_GB2312" w:hAnsi="仿宋_GB2312" w:eastAsia="仿宋_GB2312" w:cs="仿宋_GB2312"/>
          <w:b/>
          <w:color w:val="auto"/>
          <w:sz w:val="24"/>
          <w:szCs w:val="20"/>
          <w:highlight w:val="none"/>
        </w:rPr>
        <w:t>、不可抗力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如出现不可预见的情况，受到不可抗力因素的影响，影响工作如期完成，双方可协商变更或终止约定事项，但应至少提前7天书面告知对方。</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因不可抗力(包括但不限于自然现象、战争、罢工、火灾、政府行为等)发生而导致任何一方不能履行本合同项下义务的，遇不可抗力一方可免除责任，但必须在不可抗力发生后或恢复通讯后的24 小时内书面通知对方，并采取相应措施以减少损失，所造成的损失不属于违约，双方互不承担违约责任。未履行书面通知的，不可免除责任。遇不可抗力一方应在不可抗力事件结束后 14 日内，将相关部门开具的证明文件给予对方确认。经双方确认后，本合同可终止或延期履行。</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lang w:val="en-US" w:eastAsia="zh-CN"/>
        </w:rPr>
        <w:t>十八</w:t>
      </w:r>
      <w:r>
        <w:rPr>
          <w:rFonts w:hint="eastAsia" w:ascii="仿宋_GB2312" w:hAnsi="仿宋_GB2312" w:eastAsia="仿宋_GB2312" w:cs="仿宋_GB2312"/>
          <w:b/>
          <w:color w:val="auto"/>
          <w:sz w:val="24"/>
          <w:szCs w:val="20"/>
          <w:highlight w:val="none"/>
        </w:rPr>
        <w:t>、税费</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在合同服务期间发生的与本合同执行有关的一切税费均由乙方负担。</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lang w:val="en-US" w:eastAsia="zh-CN"/>
        </w:rPr>
        <w:t>十九</w:t>
      </w:r>
      <w:r>
        <w:rPr>
          <w:rFonts w:hint="eastAsia" w:ascii="仿宋_GB2312" w:hAnsi="仿宋_GB2312" w:eastAsia="仿宋_GB2312" w:cs="仿宋_GB2312"/>
          <w:b/>
          <w:color w:val="auto"/>
          <w:sz w:val="24"/>
          <w:szCs w:val="20"/>
          <w:highlight w:val="none"/>
        </w:rPr>
        <w:t>、其它</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本合同所有附件均为合同的有效组成部分，与本合同具有同等法律效力。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在执行本合同的过程中，所有经双方签署确认的文件(包括会议纪要、补充协议、往来信函)即成为本合同的有效组成部分。</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如一方地址、电话、传真号码有变更，应在变更当日内书面通知对方，否则，应承担相应责任。</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除甲方事先书面同意外，乙方不得部分或全部转让其应履行的合同项下的义务。</w:t>
      </w:r>
    </w:p>
    <w:p>
      <w:pPr>
        <w:keepNext w:val="0"/>
        <w:keepLines w:val="0"/>
        <w:pageBreakBefore w:val="0"/>
        <w:widowControl/>
        <w:shd w:val="clear" w:color="auto" w:fill="auto"/>
        <w:kinsoku/>
        <w:wordWrap/>
        <w:overflowPunct/>
        <w:topLinePunct w:val="0"/>
        <w:autoSpaceDE/>
        <w:autoSpaceDN/>
        <w:bidi w:val="0"/>
        <w:adjustRightInd w:val="0"/>
        <w:snapToGrid w:val="0"/>
        <w:spacing w:line="460" w:lineRule="exact"/>
        <w:ind w:firstLine="0" w:firstLineChars="0"/>
        <w:textAlignment w:val="auto"/>
        <w:rPr>
          <w:rFonts w:hint="eastAsia" w:ascii="仿宋_GB2312" w:hAnsi="仿宋_GB2312" w:eastAsia="仿宋_GB2312" w:cs="仿宋_GB2312"/>
          <w:b/>
          <w:color w:val="auto"/>
          <w:sz w:val="24"/>
          <w:szCs w:val="20"/>
          <w:highlight w:val="none"/>
        </w:rPr>
      </w:pPr>
      <w:r>
        <w:rPr>
          <w:rFonts w:hint="eastAsia" w:ascii="仿宋_GB2312" w:hAnsi="仿宋_GB2312" w:eastAsia="仿宋_GB2312" w:cs="仿宋_GB2312"/>
          <w:b/>
          <w:color w:val="auto"/>
          <w:sz w:val="24"/>
          <w:szCs w:val="20"/>
          <w:highlight w:val="none"/>
          <w:lang w:val="en-US" w:eastAsia="zh-CN"/>
        </w:rPr>
        <w:t>二十</w:t>
      </w:r>
      <w:r>
        <w:rPr>
          <w:rFonts w:hint="eastAsia" w:ascii="仿宋_GB2312" w:hAnsi="仿宋_GB2312" w:eastAsia="仿宋_GB2312" w:cs="仿宋_GB2312"/>
          <w:b/>
          <w:color w:val="auto"/>
          <w:sz w:val="24"/>
          <w:szCs w:val="20"/>
          <w:highlight w:val="none"/>
        </w:rPr>
        <w:t>、合同生效与终止</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本合同在甲乙双方</w:t>
      </w:r>
      <w:r>
        <w:rPr>
          <w:rFonts w:hint="eastAsia" w:ascii="仿宋" w:hAnsi="仿宋" w:eastAsia="仿宋" w:cs="仿宋"/>
          <w:color w:val="auto"/>
          <w:kern w:val="0"/>
          <w:sz w:val="24"/>
          <w:szCs w:val="24"/>
          <w:highlight w:val="none"/>
          <w:lang w:eastAsia="zh-CN"/>
        </w:rPr>
        <w:t>法定代表人</w:t>
      </w:r>
      <w:r>
        <w:rPr>
          <w:rFonts w:hint="eastAsia" w:ascii="仿宋" w:hAnsi="仿宋" w:eastAsia="仿宋" w:cs="仿宋"/>
          <w:color w:val="auto"/>
          <w:kern w:val="0"/>
          <w:sz w:val="24"/>
          <w:szCs w:val="24"/>
          <w:highlight w:val="none"/>
        </w:rPr>
        <w:t>或其授权代表签字</w:t>
      </w:r>
      <w:r>
        <w:rPr>
          <w:rFonts w:hint="eastAsia" w:ascii="仿宋" w:hAnsi="仿宋" w:eastAsia="仿宋" w:cs="仿宋"/>
          <w:color w:val="auto"/>
          <w:kern w:val="0"/>
          <w:sz w:val="24"/>
          <w:szCs w:val="24"/>
          <w:highlight w:val="none"/>
          <w:lang w:val="en-US" w:eastAsia="zh-CN"/>
        </w:rPr>
        <w:t>并加</w:t>
      </w:r>
      <w:r>
        <w:rPr>
          <w:rFonts w:hint="eastAsia" w:ascii="仿宋" w:hAnsi="仿宋" w:eastAsia="仿宋" w:cs="仿宋"/>
          <w:color w:val="auto"/>
          <w:kern w:val="0"/>
          <w:sz w:val="24"/>
          <w:szCs w:val="24"/>
          <w:highlight w:val="none"/>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rPr>
        <w:t>章后生效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合同履行完成后自动终止。</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本合同一式四份，甲乙</w:t>
      </w:r>
      <w:r>
        <w:rPr>
          <w:rFonts w:hint="eastAsia" w:ascii="仿宋" w:hAnsi="仿宋" w:eastAsia="仿宋" w:cs="仿宋"/>
          <w:color w:val="auto"/>
          <w:kern w:val="0"/>
          <w:sz w:val="24"/>
          <w:szCs w:val="24"/>
          <w:highlight w:val="none"/>
          <w:lang w:eastAsia="zh-CN"/>
        </w:rPr>
        <w:t>双</w:t>
      </w:r>
      <w:r>
        <w:rPr>
          <w:rFonts w:hint="eastAsia" w:ascii="仿宋" w:hAnsi="仿宋" w:eastAsia="仿宋" w:cs="仿宋"/>
          <w:color w:val="auto"/>
          <w:kern w:val="0"/>
          <w:sz w:val="24"/>
          <w:szCs w:val="24"/>
          <w:highlight w:val="none"/>
        </w:rPr>
        <w:t>方</w:t>
      </w:r>
      <w:r>
        <w:rPr>
          <w:rFonts w:hint="eastAsia" w:ascii="仿宋" w:hAnsi="仿宋" w:eastAsia="仿宋" w:cs="仿宋"/>
          <w:color w:val="auto"/>
          <w:kern w:val="0"/>
          <w:sz w:val="24"/>
          <w:szCs w:val="24"/>
          <w:highlight w:val="none"/>
          <w:lang w:eastAsia="zh-CN"/>
        </w:rPr>
        <w:t>各</w:t>
      </w:r>
      <w:r>
        <w:rPr>
          <w:rFonts w:hint="eastAsia" w:ascii="仿宋" w:hAnsi="仿宋" w:eastAsia="仿宋" w:cs="仿宋"/>
          <w:color w:val="auto"/>
          <w:kern w:val="0"/>
          <w:sz w:val="24"/>
          <w:szCs w:val="24"/>
          <w:highlight w:val="none"/>
        </w:rPr>
        <w:t>持贰份，具有相同法律效力。</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如有其他异议，双方友好协商解决。</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双方均认可本合同所提供地址为法律文件可送达地址。</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46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以下无正文）</w:t>
      </w:r>
    </w:p>
    <w:p>
      <w:pPr>
        <w:widowControl/>
        <w:tabs>
          <w:tab w:val="left" w:pos="840"/>
        </w:tabs>
        <w:spacing w:line="360" w:lineRule="auto"/>
        <w:jc w:val="left"/>
        <w:rPr>
          <w:rFonts w:hint="eastAsia" w:ascii="仿宋_GB2312" w:hAnsi="仿宋_GB2312" w:eastAsia="仿宋_GB2312" w:cs="仿宋_GB2312"/>
          <w:color w:val="auto"/>
          <w:sz w:val="24"/>
          <w:highlight w:val="none"/>
        </w:rPr>
      </w:pPr>
    </w:p>
    <w:p>
      <w:pPr>
        <w:pStyle w:val="10"/>
        <w:rPr>
          <w:rFonts w:hint="eastAsia" w:ascii="仿宋_GB2312" w:hAnsi="仿宋_GB2312" w:eastAsia="仿宋_GB2312" w:cs="仿宋_GB2312"/>
          <w:color w:val="auto"/>
          <w:sz w:val="24"/>
          <w:highlight w:val="none"/>
        </w:rPr>
      </w:pPr>
    </w:p>
    <w:p>
      <w:pPr>
        <w:rPr>
          <w:rFonts w:hint="eastAsia"/>
          <w:highlight w:val="none"/>
        </w:rPr>
      </w:pPr>
    </w:p>
    <w:p>
      <w:pPr>
        <w:spacing w:line="360" w:lineRule="auto"/>
        <w:ind w:left="420" w:left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甲方（盖章）：                         乙方（盖章）：</w:t>
      </w:r>
    </w:p>
    <w:p>
      <w:pPr>
        <w:spacing w:line="360" w:lineRule="auto"/>
        <w:ind w:left="420" w:leftChars="200"/>
        <w:rPr>
          <w:rFonts w:hint="eastAsia" w:ascii="仿宋_GB2312" w:hAnsi="仿宋_GB2312" w:eastAsia="仿宋_GB2312" w:cs="仿宋_GB2312"/>
          <w:color w:val="auto"/>
          <w:sz w:val="24"/>
          <w:highlight w:val="none"/>
        </w:rPr>
      </w:pPr>
    </w:p>
    <w:p>
      <w:pPr>
        <w:spacing w:line="360" w:lineRule="auto"/>
        <w:ind w:left="420" w:leftChars="200" w:firstLine="0" w:firstLineChars="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甲方法定代表人</w:t>
      </w:r>
      <w:r>
        <w:rPr>
          <w:rFonts w:hint="eastAsia" w:ascii="仿宋_GB2312" w:hAnsi="仿宋_GB2312" w:eastAsia="仿宋_GB2312" w:cs="仿宋_GB2312"/>
          <w:color w:val="auto"/>
          <w:sz w:val="24"/>
          <w:highlight w:val="none"/>
          <w:lang w:eastAsia="zh-CN"/>
        </w:rPr>
        <w:t>或</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乙方法定代表人或港澳企业决甲方授权代表人（签章）：</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策被授权人</w:t>
      </w:r>
      <w:r>
        <w:rPr>
          <w:rFonts w:hint="eastAsia" w:ascii="仿宋_GB2312" w:hAnsi="仿宋_GB2312" w:eastAsia="仿宋_GB2312" w:cs="仿宋_GB2312"/>
          <w:color w:val="auto"/>
          <w:sz w:val="24"/>
          <w:highlight w:val="none"/>
          <w:lang w:val="en-US" w:eastAsia="zh-CN"/>
        </w:rPr>
        <w:t>或</w:t>
      </w:r>
      <w:r>
        <w:rPr>
          <w:rFonts w:hint="eastAsia" w:ascii="仿宋_GB2312" w:hAnsi="仿宋_GB2312" w:eastAsia="仿宋_GB2312" w:cs="仿宋_GB2312"/>
          <w:color w:val="auto"/>
          <w:sz w:val="24"/>
          <w:highlight w:val="none"/>
        </w:rPr>
        <w:t>乙方授权代表人或</w:t>
      </w:r>
      <w:r>
        <w:rPr>
          <w:rFonts w:hint="eastAsia" w:ascii="仿宋_GB2312" w:hAnsi="仿宋_GB2312" w:eastAsia="仿宋_GB2312" w:cs="仿宋_GB2312"/>
          <w:color w:val="auto"/>
          <w:sz w:val="24"/>
          <w:highlight w:val="none"/>
          <w:lang w:val="en-US" w:eastAsia="zh-CN"/>
        </w:rPr>
        <w:t xml:space="preserve">                           </w:t>
      </w:r>
    </w:p>
    <w:p>
      <w:pPr>
        <w:spacing w:line="360" w:lineRule="auto"/>
        <w:ind w:left="420" w:leftChars="200" w:firstLine="4560" w:firstLineChars="19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港澳企业投标被授权人（签</w:t>
      </w:r>
    </w:p>
    <w:p>
      <w:pPr>
        <w:spacing w:line="360" w:lineRule="auto"/>
        <w:ind w:left="0" w:leftChars="0" w:firstLine="5040" w:firstLineChars="21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章）：</w:t>
      </w:r>
    </w:p>
    <w:p>
      <w:pPr>
        <w:spacing w:line="360" w:lineRule="auto"/>
        <w:ind w:left="0" w:leftChars="0" w:firstLine="5040" w:firstLineChars="21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pPr>
        <w:spacing w:line="360" w:lineRule="auto"/>
        <w:rPr>
          <w:rFonts w:hint="eastAsia" w:ascii="仿宋_GB2312" w:hAnsi="仿宋_GB2312" w:eastAsia="仿宋_GB2312" w:cs="仿宋_GB2312"/>
          <w:color w:val="auto"/>
          <w:sz w:val="24"/>
          <w:highlight w:val="none"/>
        </w:rPr>
      </w:pPr>
    </w:p>
    <w:p>
      <w:pPr>
        <w:spacing w:line="360" w:lineRule="auto"/>
        <w:ind w:left="6780" w:leftChars="200" w:right="-582" w:rightChars="-277" w:hanging="6360" w:hangingChars="26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地    址：</w:t>
      </w:r>
    </w:p>
    <w:p>
      <w:pPr>
        <w:spacing w:line="360" w:lineRule="auto"/>
        <w:ind w:right="-582" w:rightChars="-277" w:firstLine="6720" w:firstLineChars="2800"/>
        <w:rPr>
          <w:rFonts w:hint="eastAsia" w:ascii="仿宋_GB2312" w:hAnsi="仿宋_GB2312" w:eastAsia="仿宋_GB2312" w:cs="仿宋_GB2312"/>
          <w:color w:val="auto"/>
          <w:sz w:val="24"/>
          <w:highlight w:val="none"/>
        </w:rPr>
      </w:pPr>
    </w:p>
    <w:p>
      <w:pPr>
        <w:spacing w:line="360" w:lineRule="auto"/>
        <w:ind w:left="5076" w:leftChars="200" w:hanging="4656" w:hangingChars="194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电    话：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传    真：</w:t>
      </w:r>
    </w:p>
    <w:p>
      <w:pPr>
        <w:spacing w:line="360" w:lineRule="auto"/>
        <w:ind w:left="420" w:leftChars="200" w:right="-582" w:rightChars="-277"/>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开户银行：</w:t>
      </w:r>
      <w:r>
        <w:rPr>
          <w:rFonts w:hint="eastAsia" w:ascii="仿宋_GB2312" w:hAnsi="仿宋_GB2312" w:eastAsia="仿宋_GB2312" w:cs="仿宋_GB2312"/>
          <w:color w:val="auto"/>
          <w:sz w:val="24"/>
          <w:highlight w:val="none"/>
          <w:lang w:val="en-US" w:eastAsia="zh-CN"/>
        </w:rPr>
        <w:t xml:space="preserve"> </w:t>
      </w:r>
    </w:p>
    <w:p>
      <w:pPr>
        <w:spacing w:line="360" w:lineRule="auto"/>
        <w:ind w:left="420" w:leftChars="200" w:right="-760" w:rightChars="-362"/>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开户账号：</w:t>
      </w:r>
      <w:r>
        <w:rPr>
          <w:rFonts w:hint="eastAsia" w:ascii="仿宋_GB2312" w:hAnsi="仿宋_GB2312" w:eastAsia="仿宋_GB2312" w:cs="仿宋_GB2312"/>
          <w:color w:val="auto"/>
          <w:sz w:val="24"/>
          <w:highlight w:val="none"/>
          <w:lang w:val="en-US" w:eastAsia="zh-CN"/>
        </w:rPr>
        <w:t xml:space="preserve"> </w:t>
      </w:r>
    </w:p>
    <w:p>
      <w:pPr>
        <w:spacing w:line="360" w:lineRule="auto"/>
        <w:ind w:left="420" w:leftChars="200" w:right="-760" w:rightChars="-362"/>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签约日期：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签约日期：</w:t>
      </w:r>
    </w:p>
    <w:p>
      <w:pPr>
        <w:spacing w:line="520" w:lineRule="exact"/>
        <w:jc w:val="both"/>
        <w:rPr>
          <w:rFonts w:hint="eastAsia" w:ascii="仿宋_GB2312" w:hAnsi="仿宋_GB2312" w:eastAsia="仿宋_GB2312" w:cs="仿宋_GB2312"/>
          <w:color w:val="auto"/>
          <w:sz w:val="24"/>
          <w:szCs w:val="24"/>
          <w:highlight w:val="none"/>
          <w:lang w:val="en-US" w:eastAsia="zh-CN"/>
        </w:rPr>
      </w:pPr>
    </w:p>
    <w:p>
      <w:pPr>
        <w:spacing w:line="520" w:lineRule="exact"/>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w:t>
      </w:r>
      <w:r>
        <w:rPr>
          <w:rFonts w:hint="eastAsia" w:ascii="仿宋_GB2312" w:hAnsi="仿宋_GB2312" w:eastAsia="仿宋_GB2312" w:cs="仿宋_GB2312"/>
          <w:color w:val="auto"/>
          <w:sz w:val="24"/>
          <w:szCs w:val="24"/>
          <w:highlight w:val="none"/>
          <w:lang w:val="en-US" w:eastAsia="zh-CN"/>
        </w:rPr>
        <w:t>上述合同书格式仅供参考，具体条款内容由甲方和乙方单位协商确定。</w:t>
      </w:r>
    </w:p>
    <w:p>
      <w:pPr>
        <w:spacing w:before="0" w:line="240" w:lineRule="auto"/>
        <w:jc w:val="left"/>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br w:type="page"/>
      </w:r>
    </w:p>
    <w:p>
      <w:pPr>
        <w:spacing w:before="120" w:line="480" w:lineRule="exact"/>
        <w:jc w:val="center"/>
        <w:rPr>
          <w:rFonts w:hint="eastAsia" w:ascii="仿宋_GB2312" w:hAnsi="仿宋_GB2312" w:eastAsia="仿宋_GB2312" w:cs="仿宋_GB2312"/>
          <w:b/>
          <w:color w:val="auto"/>
          <w:sz w:val="44"/>
          <w:highlight w:val="none"/>
        </w:rPr>
      </w:pPr>
      <w:r>
        <w:rPr>
          <w:rFonts w:hint="eastAsia" w:ascii="仿宋_GB2312" w:hAnsi="仿宋_GB2312" w:eastAsia="仿宋_GB2312" w:cs="仿宋_GB2312"/>
          <w:b/>
          <w:color w:val="auto"/>
          <w:sz w:val="44"/>
          <w:highlight w:val="none"/>
        </w:rPr>
        <w:t>第</w:t>
      </w:r>
      <w:r>
        <w:rPr>
          <w:rFonts w:hint="eastAsia" w:ascii="仿宋_GB2312" w:hAnsi="仿宋_GB2312" w:eastAsia="仿宋_GB2312" w:cs="仿宋_GB2312"/>
          <w:b/>
          <w:color w:val="auto"/>
          <w:sz w:val="44"/>
          <w:highlight w:val="none"/>
          <w:lang w:eastAsia="zh-CN"/>
        </w:rPr>
        <w:t>七</w:t>
      </w:r>
      <w:r>
        <w:rPr>
          <w:rFonts w:hint="eastAsia" w:ascii="仿宋_GB2312" w:hAnsi="仿宋_GB2312" w:eastAsia="仿宋_GB2312" w:cs="仿宋_GB2312"/>
          <w:b/>
          <w:color w:val="auto"/>
          <w:sz w:val="44"/>
          <w:highlight w:val="none"/>
        </w:rPr>
        <w:t>章</w:t>
      </w:r>
    </w:p>
    <w:p>
      <w:pPr>
        <w:spacing w:line="480" w:lineRule="exact"/>
        <w:jc w:val="center"/>
        <w:rPr>
          <w:rFonts w:hint="eastAsia" w:ascii="仿宋_GB2312" w:hAnsi="仿宋_GB2312" w:eastAsia="仿宋_GB2312" w:cs="仿宋_GB2312"/>
          <w:b/>
          <w:color w:val="auto"/>
          <w:sz w:val="44"/>
          <w:highlight w:val="none"/>
        </w:rPr>
      </w:pPr>
    </w:p>
    <w:p>
      <w:pPr>
        <w:spacing w:line="480" w:lineRule="exact"/>
        <w:jc w:val="center"/>
        <w:outlineLvl w:val="0"/>
        <w:rPr>
          <w:rFonts w:hint="eastAsia" w:ascii="仿宋_GB2312" w:hAnsi="仿宋_GB2312" w:eastAsia="仿宋_GB2312" w:cs="仿宋_GB2312"/>
          <w:color w:val="auto"/>
          <w:sz w:val="44"/>
          <w:highlight w:val="none"/>
        </w:rPr>
      </w:pPr>
      <w:r>
        <w:rPr>
          <w:rFonts w:hint="eastAsia" w:ascii="仿宋_GB2312" w:hAnsi="仿宋_GB2312" w:eastAsia="仿宋_GB2312" w:cs="仿宋_GB2312"/>
          <w:b/>
          <w:color w:val="auto"/>
          <w:sz w:val="44"/>
          <w:highlight w:val="none"/>
        </w:rPr>
        <w:t>响</w:t>
      </w:r>
      <w:r>
        <w:rPr>
          <w:rFonts w:hint="eastAsia" w:ascii="仿宋_GB2312" w:hAnsi="仿宋_GB2312" w:eastAsia="仿宋_GB2312" w:cs="仿宋_GB2312"/>
          <w:b/>
          <w:color w:val="auto"/>
          <w:sz w:val="44"/>
          <w:szCs w:val="21"/>
          <w:highlight w:val="none"/>
        </w:rPr>
        <w:t>应文件格式</w:t>
      </w:r>
    </w:p>
    <w:p>
      <w:pPr>
        <w:spacing w:line="48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（响应文件须编页码，且页码必须连续）</w:t>
      </w:r>
      <w:bookmarkStart w:id="156" w:name="_Toc410736176"/>
      <w:bookmarkStart w:id="157" w:name="_Toc416770252"/>
      <w:bookmarkStart w:id="158" w:name="_Toc416771362"/>
      <w:bookmarkStart w:id="159" w:name="_Toc410738975"/>
      <w:bookmarkStart w:id="160" w:name="_Toc410736177"/>
      <w:bookmarkStart w:id="161" w:name="_Toc416770253"/>
      <w:bookmarkStart w:id="162" w:name="_Toc410738976"/>
      <w:bookmarkStart w:id="163" w:name="_Toc416771363"/>
    </w:p>
    <w:p>
      <w:pPr>
        <w:spacing w:line="480" w:lineRule="exact"/>
        <w:jc w:val="center"/>
        <w:rPr>
          <w:rFonts w:hint="eastAsia" w:ascii="仿宋_GB2312" w:hAnsi="仿宋_GB2312" w:eastAsia="仿宋_GB2312" w:cs="仿宋_GB2312"/>
          <w:b/>
          <w:color w:val="auto"/>
          <w:sz w:val="24"/>
          <w:szCs w:val="24"/>
          <w:highlight w:val="none"/>
        </w:rPr>
      </w:pPr>
    </w:p>
    <w:p>
      <w:pPr>
        <w:spacing w:line="480" w:lineRule="exact"/>
        <w:jc w:val="center"/>
        <w:rPr>
          <w:rFonts w:hint="eastAsia" w:ascii="仿宋_GB2312" w:hAnsi="仿宋_GB2312" w:eastAsia="仿宋_GB2312" w:cs="仿宋_GB2312"/>
          <w:b/>
          <w:color w:val="auto"/>
          <w:sz w:val="24"/>
          <w:szCs w:val="24"/>
          <w:highlight w:val="none"/>
        </w:rPr>
      </w:pPr>
    </w:p>
    <w:bookmarkEnd w:id="156"/>
    <w:bookmarkEnd w:id="157"/>
    <w:bookmarkEnd w:id="158"/>
    <w:bookmarkEnd w:id="159"/>
    <w:p>
      <w:pPr>
        <w:pStyle w:val="15"/>
        <w:spacing w:line="360" w:lineRule="auto"/>
        <w:jc w:val="both"/>
        <w:rPr>
          <w:rFonts w:hint="eastAsia" w:ascii="仿宋_GB2312" w:hAnsi="仿宋_GB2312" w:eastAsia="仿宋_GB2312" w:cs="仿宋_GB2312"/>
          <w:b/>
          <w:color w:val="auto"/>
          <w:sz w:val="32"/>
          <w:szCs w:val="32"/>
          <w:highlight w:val="none"/>
        </w:rPr>
      </w:pPr>
    </w:p>
    <w:p>
      <w:pPr>
        <w:pStyle w:val="15"/>
        <w:spacing w:line="360" w:lineRule="auto"/>
        <w:jc w:val="both"/>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pStyle w:val="15"/>
        <w:spacing w:line="360" w:lineRule="auto"/>
        <w:jc w:val="center"/>
        <w:rPr>
          <w:rFonts w:hint="eastAsia" w:ascii="仿宋_GB2312" w:hAnsi="仿宋_GB2312" w:eastAsia="仿宋_GB2312" w:cs="仿宋_GB2312"/>
          <w:b/>
          <w:color w:val="auto"/>
          <w:sz w:val="32"/>
          <w:szCs w:val="32"/>
          <w:highlight w:val="none"/>
        </w:rPr>
      </w:pPr>
    </w:p>
    <w:p>
      <w:pP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pStyle w:val="15"/>
        <w:spacing w:line="360" w:lineRule="auto"/>
        <w:jc w:val="center"/>
        <w:rPr>
          <w:rFonts w:hint="eastAsia" w:ascii="仿宋_GB2312" w:hAnsi="仿宋_GB2312" w:eastAsia="仿宋_GB2312" w:cs="仿宋_GB2312"/>
          <w:b/>
          <w:bCs w:val="0"/>
          <w:i/>
          <w:iCs/>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响应文件目录表</w:t>
      </w:r>
      <w:bookmarkEnd w:id="160"/>
      <w:bookmarkEnd w:id="161"/>
      <w:bookmarkEnd w:id="162"/>
      <w:bookmarkEnd w:id="163"/>
    </w:p>
    <w:p>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项目名称： </w:t>
      </w:r>
    </w:p>
    <w:p>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项目编号： </w:t>
      </w:r>
    </w:p>
    <w:tbl>
      <w:tblPr>
        <w:tblStyle w:val="27"/>
        <w:tblW w:w="95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561"/>
        <w:gridCol w:w="1068"/>
        <w:gridCol w:w="4229"/>
        <w:gridCol w:w="627"/>
        <w:gridCol w:w="594"/>
        <w:gridCol w:w="616"/>
        <w:gridCol w:w="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05" w:hRule="atLeast"/>
          <w:jc w:val="center"/>
        </w:trPr>
        <w:tc>
          <w:tcPr>
            <w:tcW w:w="1561" w:type="dxa"/>
            <w:vMerge w:val="restart"/>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文件类型</w:t>
            </w:r>
          </w:p>
        </w:tc>
        <w:tc>
          <w:tcPr>
            <w:tcW w:w="1068" w:type="dxa"/>
            <w:vMerge w:val="restart"/>
            <w:tcBorders>
              <w:top w:val="single" w:color="auto" w:sz="12" w:space="0"/>
            </w:tcBorders>
            <w:shd w:val="clear" w:color="auto" w:fill="EEECE1"/>
            <w:vAlign w:val="center"/>
          </w:tcPr>
          <w:p>
            <w:pPr>
              <w:snapToGrid w:val="0"/>
              <w:spacing w:line="400" w:lineRule="exact"/>
              <w:ind w:left="0" w:leftChars="0" w:right="0" w:rightChars="0"/>
              <w:jc w:val="center"/>
              <w:rPr>
                <w:rFonts w:hint="eastAsia" w:ascii="仿宋_GB2312" w:hAnsi="仿宋_GB2312" w:eastAsia="仿宋_GB2312" w:cs="仿宋_GB2312"/>
                <w:b w:val="0"/>
                <w:color w:val="auto"/>
                <w:sz w:val="24"/>
                <w:highlight w:val="none"/>
              </w:rPr>
            </w:pPr>
            <w:r>
              <w:rPr>
                <w:rFonts w:hint="eastAsia" w:ascii="仿宋_GB2312" w:hAnsi="仿宋_GB2312" w:eastAsia="仿宋_GB2312" w:cs="仿宋_GB2312"/>
                <w:b/>
                <w:bCs/>
                <w:color w:val="auto"/>
                <w:sz w:val="24"/>
                <w:highlight w:val="none"/>
              </w:rPr>
              <w:t>序号</w:t>
            </w:r>
          </w:p>
        </w:tc>
        <w:tc>
          <w:tcPr>
            <w:tcW w:w="4229" w:type="dxa"/>
            <w:vMerge w:val="restart"/>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文    件    名    称</w:t>
            </w:r>
          </w:p>
        </w:tc>
        <w:tc>
          <w:tcPr>
            <w:tcW w:w="1221" w:type="dxa"/>
            <w:gridSpan w:val="2"/>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提交情况</w:t>
            </w:r>
          </w:p>
        </w:tc>
        <w:tc>
          <w:tcPr>
            <w:tcW w:w="616" w:type="dxa"/>
            <w:vMerge w:val="restart"/>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页码范围</w:t>
            </w:r>
          </w:p>
        </w:tc>
        <w:tc>
          <w:tcPr>
            <w:tcW w:w="839" w:type="dxa"/>
            <w:vMerge w:val="restart"/>
            <w:tcBorders>
              <w:top w:val="single" w:color="auto" w:sz="12" w:space="0"/>
            </w:tcBorders>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238" w:hRule="atLeast"/>
          <w:jc w:val="center"/>
        </w:trPr>
        <w:tc>
          <w:tcPr>
            <w:tcW w:w="1561"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c>
          <w:tcPr>
            <w:tcW w:w="1068" w:type="dxa"/>
            <w:vMerge w:val="continue"/>
            <w:shd w:val="clear" w:color="auto" w:fill="EEECE1"/>
            <w:vAlign w:val="center"/>
          </w:tcPr>
          <w:p>
            <w:pPr>
              <w:snapToGrid w:val="0"/>
              <w:spacing w:line="400" w:lineRule="exact"/>
              <w:rPr>
                <w:rFonts w:hint="eastAsia" w:ascii="仿宋_GB2312" w:hAnsi="仿宋_GB2312" w:eastAsia="仿宋_GB2312" w:cs="仿宋_GB2312"/>
                <w:color w:val="auto"/>
                <w:sz w:val="24"/>
                <w:highlight w:val="none"/>
              </w:rPr>
            </w:pPr>
          </w:p>
        </w:tc>
        <w:tc>
          <w:tcPr>
            <w:tcW w:w="4229" w:type="dxa"/>
            <w:vMerge w:val="continue"/>
            <w:shd w:val="clear" w:color="auto" w:fill="EEECE1"/>
            <w:vAlign w:val="center"/>
          </w:tcPr>
          <w:p>
            <w:pPr>
              <w:spacing w:line="360" w:lineRule="auto"/>
              <w:rPr>
                <w:rFonts w:hint="eastAsia" w:ascii="仿宋_GB2312" w:hAnsi="仿宋_GB2312" w:eastAsia="仿宋_GB2312" w:cs="仿宋_GB2312"/>
                <w:color w:val="auto"/>
                <w:highlight w:val="none"/>
              </w:rPr>
            </w:pPr>
          </w:p>
        </w:tc>
        <w:tc>
          <w:tcPr>
            <w:tcW w:w="627" w:type="dxa"/>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有</w:t>
            </w:r>
          </w:p>
        </w:tc>
        <w:tc>
          <w:tcPr>
            <w:tcW w:w="594" w:type="dxa"/>
            <w:shd w:val="clear" w:color="auto" w:fill="EEECE1"/>
            <w:vAlign w:val="center"/>
          </w:tcPr>
          <w:p>
            <w:pPr>
              <w:spacing w:line="360" w:lineRule="auto"/>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无</w:t>
            </w:r>
          </w:p>
        </w:tc>
        <w:tc>
          <w:tcPr>
            <w:tcW w:w="616"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c>
          <w:tcPr>
            <w:tcW w:w="839" w:type="dxa"/>
            <w:vMerge w:val="continue"/>
            <w:shd w:val="clear" w:color="auto" w:fill="EEECE1"/>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restart"/>
            <w:shd w:val="clear" w:color="auto" w:fill="auto"/>
            <w:vAlign w:val="center"/>
          </w:tcPr>
          <w:p>
            <w:pPr>
              <w:spacing w:line="360" w:lineRule="auto"/>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一、资格文件</w:t>
            </w:r>
            <w:r>
              <w:rPr>
                <w:rFonts w:hint="eastAsia" w:ascii="仿宋_GB2312" w:hAnsi="仿宋_GB2312" w:eastAsia="仿宋_GB2312" w:cs="仿宋_GB2312"/>
                <w:b/>
                <w:color w:val="auto"/>
                <w:highlight w:val="none"/>
                <w:lang w:eastAsia="zh-CN"/>
              </w:rPr>
              <w:t>（</w:t>
            </w:r>
            <w:r>
              <w:rPr>
                <w:rStyle w:val="30"/>
                <w:rFonts w:hint="eastAsia" w:ascii="仿宋_GB2312" w:hAnsi="仿宋_GB2312" w:eastAsia="仿宋_GB2312" w:cs="仿宋_GB2312"/>
                <w:color w:val="auto"/>
                <w:szCs w:val="21"/>
                <w:highlight w:val="none"/>
                <w:lang w:val="en-US" w:eastAsia="zh-CN"/>
              </w:rPr>
              <w:t>内地响应人</w:t>
            </w:r>
            <w:r>
              <w:rPr>
                <w:rFonts w:hint="eastAsia" w:ascii="仿宋_GB2312" w:hAnsi="仿宋_GB2312" w:eastAsia="仿宋_GB2312" w:cs="仿宋_GB2312"/>
                <w:b/>
                <w:color w:val="auto"/>
                <w:highlight w:val="none"/>
                <w:lang w:eastAsia="zh-CN"/>
              </w:rPr>
              <w:t>）</w:t>
            </w:r>
          </w:p>
        </w:tc>
        <w:tc>
          <w:tcPr>
            <w:tcW w:w="1068" w:type="dxa"/>
            <w:shd w:val="clear" w:color="auto" w:fill="auto"/>
            <w:vAlign w:val="center"/>
          </w:tcPr>
          <w:p>
            <w:pPr>
              <w:widowControl/>
              <w:numPr>
                <w:ilvl w:val="-1"/>
                <w:numId w:val="0"/>
              </w:numPr>
              <w:snapToGrid w:val="0"/>
              <w:spacing w:line="400" w:lineRule="exact"/>
              <w:ind w:left="0" w:firstLine="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p>
        </w:tc>
        <w:tc>
          <w:tcPr>
            <w:tcW w:w="4229" w:type="dxa"/>
            <w:shd w:val="clear" w:color="auto" w:fill="auto"/>
            <w:vAlign w:val="center"/>
          </w:tcPr>
          <w:p>
            <w:pPr>
              <w:pStyle w:val="15"/>
              <w:spacing w:line="240" w:lineRule="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highlight w:val="none"/>
                <w:lang w:val="en-US" w:eastAsia="zh-CN"/>
              </w:rPr>
              <w:t>磋商函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1.2</w:t>
            </w:r>
          </w:p>
        </w:tc>
        <w:tc>
          <w:tcPr>
            <w:tcW w:w="4229" w:type="dxa"/>
            <w:shd w:val="clear" w:color="auto" w:fill="auto"/>
            <w:vAlign w:val="center"/>
          </w:tcPr>
          <w:p>
            <w:pPr>
              <w:pStyle w:val="15"/>
              <w:spacing w:line="240" w:lineRule="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法定代表人证明书及授权委托书</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szCs w:val="21"/>
                <w:highlight w:val="none"/>
              </w:rPr>
              <w:t>具有独立承担民事责任的能力</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highlight w:val="none"/>
              </w:rP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1.4</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有依法缴纳税收和社会保障资金的良好记录：响应文件中提供《资格条件承诺函》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4229" w:type="dxa"/>
            <w:shd w:val="clear" w:color="auto" w:fill="auto"/>
            <w:vAlign w:val="center"/>
          </w:tcPr>
          <w:p>
            <w:pPr>
              <w:snapToGrid w:val="0"/>
              <w:spacing w:line="240" w:lineRule="auto"/>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t>具有良好的商业信誉和健全的财务会计制度：响应文件中提供《资格条件承诺函》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履行合同所必需的设备和专业技术能力：响应文件中提供《资格条件承诺函》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4229" w:type="dxa"/>
            <w:shd w:val="clear" w:color="auto" w:fill="auto"/>
            <w:vAlign w:val="center"/>
          </w:tcPr>
          <w:p>
            <w:pPr>
              <w:snapToGrid w:val="0"/>
              <w:spacing w:line="240" w:lineRule="auto"/>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t>参加采购活动前3年内，在经营活动中没有重大违法记录：响应文件中提供《资格条件承诺函》。重大违法记录，是指响应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响应人未被列入“信用中国”网站(www.creditchina.gov.cn)以下任意记录名单之一：①失信被执行人；②税收违法黑名单；③政府采购严重违法失信行为。同时，不处于中国政府采购网(www.ccgp.gov.cn)“政府采购严重违法失信行为信息记录”中的禁止参加政府采购活动期间。</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kern w:val="0"/>
                <w:sz w:val="21"/>
                <w:highlight w:val="none"/>
                <w:lang w:val="en-US" w:eastAsia="zh-CN" w:bidi="ar-SA"/>
              </w:rPr>
              <w:t>响应人必须符合法律、行政法规规定的其他条件：为本项目提供整体设计、规范编制或者项目管理、监理、检测等服务的响应人，不得再参加该采购项目同一合同项下的其他采购活动。单位负责人为同一人或者存在直接控股、管理关系的不同响应人，不得参加同一合同项下的政府采购活动。响应人符合法律、行政法规规定的其他条件。提供《磋商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1.10</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响应人具有建设行政主管部门颁发的建筑装饰工程专项设计丙级或以上资质。（响应文件中须提供证书复印件加盖响应人公章）</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restart"/>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资格文件</w:t>
            </w:r>
            <w:r>
              <w:rPr>
                <w:rFonts w:hint="eastAsia" w:ascii="仿宋_GB2312" w:hAnsi="仿宋_GB2312" w:eastAsia="仿宋_GB2312" w:cs="仿宋_GB2312"/>
                <w:b/>
                <w:color w:val="auto"/>
                <w:highlight w:val="none"/>
                <w:lang w:eastAsia="zh-CN"/>
              </w:rPr>
              <w:t>（</w:t>
            </w:r>
            <w:r>
              <w:rPr>
                <w:rStyle w:val="30"/>
                <w:rFonts w:hint="eastAsia" w:ascii="仿宋_GB2312" w:hAnsi="仿宋_GB2312" w:eastAsia="仿宋_GB2312" w:cs="仿宋_GB2312"/>
                <w:color w:val="auto"/>
                <w:szCs w:val="21"/>
                <w:highlight w:val="none"/>
                <w:lang w:val="en-US" w:eastAsia="zh-CN"/>
              </w:rPr>
              <w:t>港澳响应人</w:t>
            </w:r>
            <w:r>
              <w:rPr>
                <w:rFonts w:hint="eastAsia" w:ascii="仿宋_GB2312" w:hAnsi="仿宋_GB2312" w:eastAsia="仿宋_GB2312" w:cs="仿宋_GB2312"/>
                <w:b/>
                <w:color w:val="auto"/>
                <w:highlight w:val="none"/>
                <w:lang w:eastAsia="zh-CN"/>
              </w:rPr>
              <w:t>）</w:t>
            </w: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4229" w:type="dxa"/>
            <w:shd w:val="clear" w:color="auto" w:fill="auto"/>
            <w:vAlign w:val="center"/>
          </w:tcPr>
          <w:p>
            <w:pPr>
              <w:pStyle w:val="15"/>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highlight w:val="none"/>
                <w:lang w:val="en-US" w:eastAsia="zh-CN"/>
              </w:rPr>
              <w:t>磋商函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4229" w:type="dxa"/>
            <w:shd w:val="clear" w:color="auto" w:fill="auto"/>
            <w:vAlign w:val="center"/>
          </w:tcPr>
          <w:p>
            <w:pPr>
              <w:pStyle w:val="15"/>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港澳企业决策被授权人身份证明或港澳企业决策授权书及港澳企业投标授权书</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iCs w:val="0"/>
                <w:color w:val="auto"/>
                <w:sz w:val="21"/>
                <w:szCs w:val="21"/>
                <w:highlight w:val="none"/>
                <w:lang w:val="en-US" w:eastAsia="zh-CN"/>
              </w:rPr>
              <w:t>具有独立承担民事责任的能力</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iCs w:val="0"/>
                <w:color w:val="auto"/>
                <w:sz w:val="21"/>
                <w:szCs w:val="21"/>
                <w:highlight w:val="none"/>
                <w:lang w:val="en-US" w:eastAsia="zh-CN"/>
              </w:rPr>
              <w:t>港澳响应人需提供商事登记证明文件复印件并加盖公章。</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有依法缴纳税收和社会保障资金的良好记录：响应文件中提供《资格条件承诺函》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bCs w:val="0"/>
                <w:color w:val="auto"/>
                <w:highlight w:val="none"/>
              </w:rPr>
              <w:t>具有良好的商业信誉和健全的财务会计制度：响应文件中提供《资格条件承诺函》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1.6</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sz w:val="21"/>
                <w:highlight w:val="none"/>
              </w:rPr>
              <w:t>履行合同所必需的设备和专业技术能力：响应文件中提供《资格条件承诺函》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1.7</w:t>
            </w:r>
          </w:p>
        </w:tc>
        <w:tc>
          <w:tcPr>
            <w:tcW w:w="4229" w:type="dxa"/>
            <w:shd w:val="clear" w:color="auto" w:fill="auto"/>
            <w:vAlign w:val="center"/>
          </w:tcPr>
          <w:p>
            <w:pPr>
              <w:snapToGrid w:val="0"/>
              <w:spacing w:line="24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bCs w:val="0"/>
                <w:color w:val="auto"/>
                <w:highlight w:val="none"/>
              </w:rPr>
              <w:t>参加采购活动前3年内，在经营活动中没有重大违法记录：响应文件中提供《资格条件承诺函》。重大违法记录，是指响应人因违法经营受到刑事处罚或者责令停产停业、吊销许可证或者执照、较大数额罚款等行政处罚。</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1.8</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响应人必须符合法律、行政法规规定的其他条件：为本项目提供整体设计、规范编制或者项目管理、监理、检测等服务的响应人，不得再参加该采购项目同一合同项下的其他采购活动。单位负责人为同一人或者存在直接控股、管理关系的不同响应人，不得参加同一合同项下的采购活动。响应人符合法律、行政法规规定的其他条件。提供《磋商函》。</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jc w:val="center"/>
        </w:trPr>
        <w:tc>
          <w:tcPr>
            <w:tcW w:w="1561" w:type="dxa"/>
            <w:vMerge w:val="continue"/>
            <w:tcBorders>
              <w:bottom w:val="single" w:color="auto" w:sz="4" w:space="0"/>
            </w:tcBorders>
            <w:shd w:val="clear" w:color="auto" w:fill="auto"/>
            <w:vAlign w:val="center"/>
          </w:tcPr>
          <w:p>
            <w:pPr>
              <w:spacing w:line="360" w:lineRule="auto"/>
              <w:ind w:left="113" w:right="113"/>
              <w:jc w:val="center"/>
              <w:rPr>
                <w:rFonts w:hint="eastAsia" w:ascii="仿宋_GB2312" w:hAnsi="仿宋_GB2312" w:eastAsia="仿宋_GB2312" w:cs="仿宋_GB2312"/>
                <w:color w:val="auto"/>
                <w:highlight w:val="none"/>
              </w:rPr>
            </w:pPr>
          </w:p>
        </w:tc>
        <w:tc>
          <w:tcPr>
            <w:tcW w:w="1068" w:type="dxa"/>
            <w:tcBorders>
              <w:bottom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1.9</w:t>
            </w:r>
          </w:p>
        </w:tc>
        <w:tc>
          <w:tcPr>
            <w:tcW w:w="4229" w:type="dxa"/>
            <w:shd w:val="clear" w:color="auto" w:fill="auto"/>
            <w:vAlign w:val="center"/>
          </w:tcPr>
          <w:p>
            <w:pPr>
              <w:snapToGrid w:val="0"/>
              <w:spacing w:line="240" w:lineRule="auto"/>
              <w:jc w:val="left"/>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响应人具有横琴粤澳深度合作区城市规划和建设局颁发的香港/澳门建筑及相关工程咨询企业备案认可书，备案业务范围为[建筑装饰工程设计]。或具有在广东省住房和城乡建设厅备案认可的证明文件，备案业务范围为[建筑装饰工程设计]。（响应文件中须提供证书复印件加盖响应人公章）。</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二、技术文件</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bidi="ar-SA"/>
              </w:rPr>
            </w:pPr>
            <w:r>
              <w:rPr>
                <w:rFonts w:hint="eastAsia" w:ascii="仿宋_GB2312" w:hAnsi="仿宋_GB2312" w:eastAsia="仿宋_GB2312" w:cs="仿宋_GB2312"/>
                <w:color w:val="auto"/>
                <w:sz w:val="24"/>
                <w:highlight w:val="none"/>
                <w:lang w:val="en-US" w:eastAsia="zh-CN"/>
              </w:rPr>
              <w:t>2.1</w:t>
            </w:r>
          </w:p>
        </w:tc>
        <w:tc>
          <w:tcPr>
            <w:tcW w:w="4229" w:type="dxa"/>
            <w:tcBorders>
              <w:left w:val="single" w:color="auto" w:sz="4" w:space="0"/>
            </w:tcBorders>
            <w:shd w:val="clear" w:color="auto" w:fill="auto"/>
            <w:vAlign w:val="center"/>
          </w:tcPr>
          <w:p>
            <w:pPr>
              <w:snapToGrid w:val="0"/>
              <w:spacing w:line="360" w:lineRule="auto"/>
              <w:jc w:val="both"/>
              <w:rPr>
                <w:rFonts w:hint="eastAsia" w:ascii="仿宋_GB2312" w:hAnsi="仿宋_GB2312" w:eastAsia="仿宋_GB2312" w:cs="仿宋_GB2312"/>
                <w:color w:val="auto"/>
                <w:sz w:val="21"/>
                <w:highlight w:val="none"/>
                <w:lang w:val="en-US" w:eastAsia="zh-CN" w:bidi="ar-SA"/>
              </w:rPr>
            </w:pPr>
            <w:r>
              <w:rPr>
                <w:rFonts w:hint="eastAsia" w:ascii="仿宋_GB2312" w:hAnsi="仿宋_GB2312" w:eastAsia="仿宋_GB2312" w:cs="仿宋_GB2312"/>
                <w:color w:val="auto"/>
                <w:sz w:val="21"/>
                <w:highlight w:val="none"/>
                <w:lang w:val="en-US" w:eastAsia="zh-CN" w:bidi="ar-SA"/>
              </w:rPr>
              <w:t>对项目的理解与认识</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color w:val="auto"/>
                <w:highlight w:val="none"/>
                <w:lang w:eastAsia="zh-CN"/>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2.2</w:t>
            </w:r>
          </w:p>
        </w:tc>
        <w:tc>
          <w:tcPr>
            <w:tcW w:w="4229" w:type="dxa"/>
            <w:tcBorders>
              <w:left w:val="single" w:color="auto" w:sz="4" w:space="0"/>
            </w:tcBorders>
            <w:shd w:val="clear" w:color="auto" w:fill="auto"/>
            <w:vAlign w:val="center"/>
          </w:tcPr>
          <w:p>
            <w:pPr>
              <w:snapToGrid w:val="0"/>
              <w:spacing w:line="360" w:lineRule="auto"/>
              <w:jc w:val="both"/>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项目设计方案</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仿宋_GB2312" w:eastAsia="仿宋_GB2312" w:cs="仿宋_GB2312"/>
                <w:b/>
                <w:color w:val="auto"/>
                <w:highlight w:val="none"/>
                <w:lang w:eastAsia="zh-CN"/>
              </w:rPr>
            </w:pP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snapToGrid w:val="0"/>
              <w:spacing w:line="400" w:lineRule="exact"/>
              <w:ind w:left="0" w:leftChars="0" w:firstLine="0" w:firstLine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2.3</w:t>
            </w:r>
          </w:p>
        </w:tc>
        <w:tc>
          <w:tcPr>
            <w:tcW w:w="4229" w:type="dxa"/>
            <w:tcBorders>
              <w:left w:val="single" w:color="auto" w:sz="4" w:space="0"/>
            </w:tcBorders>
            <w:shd w:val="clear" w:color="auto" w:fill="auto"/>
            <w:vAlign w:val="center"/>
          </w:tcPr>
          <w:p>
            <w:pPr>
              <w:snapToGrid w:val="0"/>
              <w:spacing w:line="360" w:lineRule="auto"/>
              <w:jc w:val="both"/>
              <w:rPr>
                <w:rFonts w:hint="eastAsia" w:ascii="仿宋_GB2312" w:hAnsi="仿宋_GB2312" w:eastAsia="仿宋_GB2312" w:cs="仿宋_GB2312"/>
                <w:i w:val="0"/>
                <w:iCs w:val="0"/>
                <w:color w:val="auto"/>
                <w:sz w:val="21"/>
                <w:szCs w:val="20"/>
                <w:highlight w:val="none"/>
                <w:u w:val="none"/>
                <w:lang w:eastAsia="zh-CN"/>
              </w:rPr>
            </w:pPr>
            <w:r>
              <w:rPr>
                <w:rFonts w:hint="eastAsia" w:ascii="仿宋_GB2312" w:hAnsi="仿宋_GB2312" w:eastAsia="仿宋_GB2312" w:cs="仿宋_GB2312"/>
                <w:i w:val="0"/>
                <w:iCs w:val="0"/>
                <w:color w:val="auto"/>
                <w:sz w:val="21"/>
                <w:szCs w:val="20"/>
                <w:highlight w:val="none"/>
                <w:u w:val="none"/>
                <w:lang w:eastAsia="zh-CN"/>
              </w:rPr>
              <w:t>质量管理及实施方案</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sz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restart"/>
            <w:shd w:val="clear" w:color="auto" w:fill="auto"/>
            <w:vAlign w:val="center"/>
          </w:tcPr>
          <w:p>
            <w:pPr>
              <w:spacing w:line="360"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 xml:space="preserve"> 三、商务文件</w:t>
            </w: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3.1</w:t>
            </w:r>
          </w:p>
        </w:tc>
        <w:tc>
          <w:tcPr>
            <w:tcW w:w="4229" w:type="dxa"/>
            <w:shd w:val="clear" w:color="auto" w:fill="auto"/>
            <w:vAlign w:val="center"/>
          </w:tcPr>
          <w:p>
            <w:pPr>
              <w:pStyle w:val="15"/>
              <w:spacing w:line="360" w:lineRule="auto"/>
              <w:rPr>
                <w:rFonts w:hint="eastAsia" w:ascii="仿宋_GB2312" w:hAnsi="仿宋_GB2312" w:eastAsia="仿宋_GB2312" w:cs="仿宋_GB2312"/>
                <w:color w:val="auto"/>
                <w:kern w:val="0"/>
                <w:sz w:val="21"/>
                <w:highlight w:val="none"/>
                <w:lang w:val="en-US" w:eastAsia="zh-CN" w:bidi="ar-SA"/>
              </w:rPr>
            </w:pPr>
            <w:r>
              <w:rPr>
                <w:rFonts w:hint="eastAsia" w:ascii="仿宋_GB2312" w:hAnsi="仿宋_GB2312" w:eastAsia="仿宋_GB2312" w:cs="仿宋_GB2312"/>
                <w:color w:val="auto"/>
                <w:kern w:val="0"/>
                <w:sz w:val="21"/>
                <w:highlight w:val="none"/>
                <w:lang w:val="en-US" w:eastAsia="zh-CN" w:bidi="ar-SA"/>
              </w:rPr>
              <w:t>响应人基本情况表</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3.2</w:t>
            </w:r>
          </w:p>
        </w:tc>
        <w:tc>
          <w:tcPr>
            <w:tcW w:w="4229" w:type="dxa"/>
            <w:shd w:val="clear" w:color="auto" w:fill="auto"/>
            <w:vAlign w:val="center"/>
          </w:tcPr>
          <w:p>
            <w:pPr>
              <w:snapToGrid w:val="0"/>
              <w:spacing w:line="360" w:lineRule="auto"/>
              <w:jc w:val="both"/>
              <w:rPr>
                <w:rFonts w:hint="eastAsia" w:ascii="仿宋_GB2312" w:hAnsi="仿宋_GB2312" w:eastAsia="仿宋_GB2312" w:cs="仿宋_GB2312"/>
                <w:color w:val="auto"/>
                <w:kern w:val="0"/>
                <w:sz w:val="21"/>
                <w:highlight w:val="none"/>
                <w:u w:val="none"/>
                <w:lang w:val="en-US" w:eastAsia="zh-CN" w:bidi="ar-SA"/>
              </w:rPr>
            </w:pPr>
            <w:r>
              <w:rPr>
                <w:rFonts w:hint="eastAsia" w:ascii="仿宋_GB2312" w:hAnsi="仿宋_GB2312" w:eastAsia="仿宋_GB2312" w:cs="仿宋_GB2312"/>
                <w:color w:val="auto"/>
                <w:kern w:val="0"/>
                <w:sz w:val="21"/>
                <w:highlight w:val="none"/>
                <w:u w:val="none"/>
                <w:lang w:val="en-US" w:eastAsia="zh-CN" w:bidi="ar-SA"/>
              </w:rPr>
              <w:t>企业业绩</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3.3</w:t>
            </w:r>
          </w:p>
        </w:tc>
        <w:tc>
          <w:tcPr>
            <w:tcW w:w="4229" w:type="dxa"/>
            <w:shd w:val="clear" w:color="auto" w:fill="auto"/>
            <w:vAlign w:val="center"/>
          </w:tcPr>
          <w:p>
            <w:pPr>
              <w:pStyle w:val="15"/>
              <w:spacing w:line="360" w:lineRule="auto"/>
              <w:rPr>
                <w:rFonts w:hint="default" w:ascii="仿宋_GB2312" w:hAnsi="仿宋_GB2312" w:eastAsia="仿宋_GB2312" w:cs="仿宋_GB2312"/>
                <w:color w:val="auto"/>
                <w:kern w:val="0"/>
                <w:sz w:val="21"/>
                <w:highlight w:val="none"/>
                <w:u w:val="none"/>
                <w:lang w:val="en-US" w:eastAsia="zh-CN" w:bidi="ar-SA"/>
              </w:rPr>
            </w:pPr>
            <w:r>
              <w:rPr>
                <w:rFonts w:hint="eastAsia" w:ascii="仿宋_GB2312" w:hAnsi="仿宋_GB2312" w:eastAsia="仿宋_GB2312" w:cs="仿宋_GB2312"/>
                <w:color w:val="auto"/>
                <w:kern w:val="0"/>
                <w:sz w:val="21"/>
                <w:highlight w:val="none"/>
                <w:u w:val="none"/>
                <w:lang w:val="en-US" w:eastAsia="zh-CN" w:bidi="ar-SA"/>
              </w:rPr>
              <w:t>项目负责人业绩</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33" w:hRule="atLeast"/>
          <w:jc w:val="center"/>
        </w:trPr>
        <w:tc>
          <w:tcPr>
            <w:tcW w:w="1561"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3.4</w:t>
            </w:r>
          </w:p>
        </w:tc>
        <w:tc>
          <w:tcPr>
            <w:tcW w:w="4229" w:type="dxa"/>
            <w:shd w:val="clear" w:color="auto" w:fill="auto"/>
            <w:vAlign w:val="center"/>
          </w:tcPr>
          <w:p>
            <w:pPr>
              <w:pStyle w:val="15"/>
              <w:spacing w:line="360" w:lineRule="auto"/>
              <w:rPr>
                <w:rFonts w:hint="eastAsia" w:ascii="仿宋_GB2312" w:hAnsi="仿宋_GB2312" w:eastAsia="仿宋_GB2312" w:cs="仿宋_GB2312"/>
                <w:color w:val="auto"/>
                <w:spacing w:val="0"/>
                <w:kern w:val="0"/>
                <w:sz w:val="21"/>
                <w:szCs w:val="20"/>
                <w:highlight w:val="none"/>
                <w:lang w:val="en-US" w:eastAsia="zh-CN" w:bidi="ar-SA"/>
              </w:rPr>
            </w:pPr>
            <w:r>
              <w:rPr>
                <w:rFonts w:hint="eastAsia" w:ascii="仿宋_GB2312" w:hAnsi="仿宋_GB2312" w:eastAsia="仿宋_GB2312" w:cs="仿宋_GB2312"/>
                <w:color w:val="auto"/>
                <w:spacing w:val="0"/>
                <w:kern w:val="0"/>
                <w:sz w:val="21"/>
                <w:szCs w:val="20"/>
                <w:highlight w:val="none"/>
                <w:lang w:val="en-US" w:eastAsia="zh-CN" w:bidi="ar-SA"/>
              </w:rPr>
              <w:t>商务条款响应一览表</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561" w:type="dxa"/>
            <w:vMerge w:val="continue"/>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1068" w:type="dxa"/>
            <w:shd w:val="clear" w:color="auto" w:fill="auto"/>
            <w:vAlign w:val="center"/>
          </w:tcPr>
          <w:p>
            <w:pPr>
              <w:widowControl/>
              <w:numPr>
                <w:ilvl w:val="-1"/>
                <w:numId w:val="0"/>
              </w:numPr>
              <w:snapToGrid w:val="0"/>
              <w:spacing w:line="400" w:lineRule="exact"/>
              <w:ind w:leftChars="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3.5</w:t>
            </w:r>
          </w:p>
        </w:tc>
        <w:tc>
          <w:tcPr>
            <w:tcW w:w="4229" w:type="dxa"/>
            <w:shd w:val="clear" w:color="auto" w:fill="auto"/>
            <w:vAlign w:val="center"/>
          </w:tcPr>
          <w:p>
            <w:pPr>
              <w:pStyle w:val="15"/>
              <w:spacing w:line="360" w:lineRule="auto"/>
              <w:rPr>
                <w:rFonts w:hint="default" w:ascii="仿宋_GB2312" w:hAnsi="仿宋_GB2312" w:eastAsia="仿宋_GB2312" w:cs="仿宋_GB2312"/>
                <w:color w:val="auto"/>
                <w:spacing w:val="0"/>
                <w:kern w:val="0"/>
                <w:sz w:val="21"/>
                <w:szCs w:val="20"/>
                <w:highlight w:val="none"/>
                <w:lang w:val="en-US" w:eastAsia="zh-CN" w:bidi="ar-SA"/>
              </w:rPr>
            </w:pPr>
            <w:r>
              <w:rPr>
                <w:rFonts w:hint="eastAsia" w:ascii="仿宋_GB2312" w:hAnsi="仿宋_GB2312" w:eastAsia="仿宋_GB2312" w:cs="仿宋_GB2312"/>
                <w:color w:val="auto"/>
                <w:spacing w:val="0"/>
                <w:kern w:val="0"/>
                <w:sz w:val="21"/>
                <w:szCs w:val="20"/>
                <w:highlight w:val="none"/>
                <w:lang w:val="en-US" w:eastAsia="zh-CN" w:bidi="ar-SA"/>
              </w:rPr>
              <w:t>★条款响应一览表</w:t>
            </w:r>
          </w:p>
        </w:tc>
        <w:tc>
          <w:tcPr>
            <w:tcW w:w="627"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594"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616"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c>
          <w:tcPr>
            <w:tcW w:w="839" w:type="dxa"/>
            <w:shd w:val="clear" w:color="auto" w:fill="auto"/>
            <w:vAlign w:val="center"/>
          </w:tcPr>
          <w:p>
            <w:pPr>
              <w:spacing w:line="360" w:lineRule="auto"/>
              <w:jc w:val="center"/>
              <w:rPr>
                <w:rFonts w:hint="eastAsia" w:ascii="仿宋_GB2312" w:hAnsi="仿宋_GB2312" w:eastAsia="仿宋_GB2312" w:cs="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561" w:type="dxa"/>
            <w:vMerge w:val="restart"/>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r>
              <w:rPr>
                <w:rFonts w:hint="eastAsia" w:ascii="仿宋_GB2312" w:hAnsi="仿宋_GB2312" w:eastAsia="仿宋_GB2312" w:cs="仿宋_GB2312"/>
                <w:b/>
                <w:color w:val="auto"/>
                <w:sz w:val="24"/>
                <w:highlight w:val="none"/>
                <w:shd w:val="clear" w:fill="auto"/>
                <w:lang w:val="en-US" w:eastAsia="zh-CN"/>
              </w:rPr>
              <w:t>四、</w:t>
            </w:r>
            <w:r>
              <w:rPr>
                <w:rFonts w:hint="eastAsia" w:ascii="仿宋_GB2312" w:hAnsi="仿宋_GB2312" w:eastAsia="仿宋_GB2312" w:cs="仿宋_GB2312"/>
                <w:b/>
                <w:color w:val="auto"/>
                <w:sz w:val="24"/>
                <w:highlight w:val="none"/>
                <w:shd w:val="clear" w:fill="auto"/>
              </w:rPr>
              <w:t>经济价格文件</w:t>
            </w:r>
          </w:p>
        </w:tc>
        <w:tc>
          <w:tcPr>
            <w:tcW w:w="1068" w:type="dxa"/>
            <w:shd w:val="clear" w:color="auto" w:fill="auto"/>
            <w:vAlign w:val="center"/>
          </w:tcPr>
          <w:p>
            <w:pPr>
              <w:pStyle w:val="15"/>
              <w:shd w:val="clear" w:fill="auto"/>
              <w:spacing w:line="400" w:lineRule="exact"/>
              <w:jc w:val="left"/>
              <w:rPr>
                <w:rFonts w:hint="eastAsia" w:ascii="仿宋_GB2312" w:hAnsi="仿宋_GB2312" w:eastAsia="仿宋_GB2312" w:cs="仿宋_GB2312"/>
                <w:color w:val="auto"/>
                <w:spacing w:val="0"/>
                <w:kern w:val="0"/>
                <w:sz w:val="24"/>
                <w:szCs w:val="20"/>
                <w:highlight w:val="none"/>
                <w:shd w:val="clear" w:fill="auto"/>
                <w:lang w:val="en-US" w:eastAsia="zh-CN"/>
              </w:rPr>
            </w:pPr>
            <w:r>
              <w:rPr>
                <w:rFonts w:hint="eastAsia" w:ascii="仿宋_GB2312" w:hAnsi="仿宋_GB2312" w:eastAsia="仿宋_GB2312" w:cs="仿宋_GB2312"/>
                <w:color w:val="auto"/>
                <w:spacing w:val="0"/>
                <w:kern w:val="0"/>
                <w:sz w:val="24"/>
                <w:szCs w:val="20"/>
                <w:highlight w:val="none"/>
                <w:shd w:val="clear" w:fill="auto"/>
                <w:lang w:val="en-US" w:eastAsia="zh-CN"/>
              </w:rPr>
              <w:t>4.1</w:t>
            </w:r>
          </w:p>
        </w:tc>
        <w:tc>
          <w:tcPr>
            <w:tcW w:w="4229" w:type="dxa"/>
            <w:shd w:val="clear" w:color="auto" w:fill="auto"/>
            <w:vAlign w:val="center"/>
          </w:tcPr>
          <w:p>
            <w:pPr>
              <w:pStyle w:val="15"/>
              <w:shd w:val="clear" w:fill="auto"/>
              <w:spacing w:line="360" w:lineRule="auto"/>
              <w:jc w:val="left"/>
              <w:rPr>
                <w:rFonts w:hint="eastAsia" w:ascii="仿宋_GB2312" w:hAnsi="仿宋_GB2312" w:eastAsia="仿宋_GB2312" w:cs="仿宋_GB2312"/>
                <w:color w:val="auto"/>
                <w:spacing w:val="0"/>
                <w:kern w:val="0"/>
                <w:sz w:val="21"/>
                <w:szCs w:val="20"/>
                <w:highlight w:val="none"/>
                <w:shd w:val="clear" w:fill="auto"/>
              </w:rPr>
            </w:pPr>
            <w:r>
              <w:rPr>
                <w:rFonts w:hint="eastAsia" w:ascii="仿宋_GB2312" w:hAnsi="仿宋_GB2312" w:eastAsia="仿宋_GB2312" w:cs="仿宋_GB2312"/>
                <w:color w:val="auto"/>
                <w:kern w:val="0"/>
                <w:sz w:val="21"/>
                <w:highlight w:val="none"/>
                <w:shd w:val="clear" w:fill="auto"/>
                <w:lang w:val="en-US" w:eastAsia="zh-CN" w:bidi="ar-SA"/>
              </w:rPr>
              <w:t>报价表（首次报价）</w:t>
            </w:r>
          </w:p>
        </w:tc>
        <w:tc>
          <w:tcPr>
            <w:tcW w:w="627"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594"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616"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rPr>
            </w:pPr>
          </w:p>
        </w:tc>
        <w:tc>
          <w:tcPr>
            <w:tcW w:w="839"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561" w:type="dxa"/>
            <w:vMerge w:val="continue"/>
            <w:shd w:val="clear" w:color="auto" w:fill="auto"/>
            <w:vAlign w:val="center"/>
          </w:tcPr>
          <w:p>
            <w:pPr>
              <w:shd w:val="clear" w:fill="auto"/>
              <w:spacing w:line="400" w:lineRule="exact"/>
              <w:jc w:val="center"/>
              <w:rPr>
                <w:rFonts w:hint="eastAsia" w:ascii="仿宋_GB2312" w:hAnsi="仿宋_GB2312" w:eastAsia="仿宋_GB2312" w:cs="仿宋_GB2312"/>
                <w:b/>
                <w:color w:val="auto"/>
                <w:sz w:val="24"/>
                <w:highlight w:val="none"/>
                <w:shd w:val="clear" w:fill="auto"/>
                <w:lang w:val="en-US" w:eastAsia="zh-CN"/>
              </w:rPr>
            </w:pPr>
          </w:p>
        </w:tc>
        <w:tc>
          <w:tcPr>
            <w:tcW w:w="1068" w:type="dxa"/>
            <w:shd w:val="clear" w:color="auto" w:fill="auto"/>
            <w:vAlign w:val="center"/>
          </w:tcPr>
          <w:p>
            <w:pPr>
              <w:pStyle w:val="15"/>
              <w:shd w:val="clear" w:fill="auto"/>
              <w:spacing w:line="400" w:lineRule="exact"/>
              <w:jc w:val="left"/>
              <w:rPr>
                <w:rFonts w:hint="eastAsia" w:ascii="仿宋_GB2312" w:hAnsi="仿宋_GB2312" w:eastAsia="仿宋_GB2312" w:cs="仿宋_GB2312"/>
                <w:color w:val="auto"/>
                <w:spacing w:val="0"/>
                <w:kern w:val="0"/>
                <w:sz w:val="24"/>
                <w:szCs w:val="20"/>
                <w:highlight w:val="none"/>
                <w:shd w:val="clear" w:fill="auto"/>
                <w:lang w:val="en-US" w:eastAsia="zh-CN"/>
              </w:rPr>
            </w:pPr>
            <w:r>
              <w:rPr>
                <w:rFonts w:hint="eastAsia" w:ascii="仿宋_GB2312" w:hAnsi="仿宋_GB2312" w:eastAsia="仿宋_GB2312" w:cs="仿宋_GB2312"/>
                <w:color w:val="auto"/>
                <w:spacing w:val="0"/>
                <w:kern w:val="0"/>
                <w:sz w:val="24"/>
                <w:szCs w:val="20"/>
                <w:highlight w:val="none"/>
                <w:shd w:val="clear" w:fill="auto"/>
                <w:lang w:val="en-US" w:eastAsia="zh-CN"/>
              </w:rPr>
              <w:t>4.2</w:t>
            </w:r>
          </w:p>
        </w:tc>
        <w:tc>
          <w:tcPr>
            <w:tcW w:w="4229" w:type="dxa"/>
            <w:shd w:val="clear" w:color="auto" w:fill="auto"/>
            <w:vAlign w:val="center"/>
          </w:tcPr>
          <w:p>
            <w:pPr>
              <w:pStyle w:val="15"/>
              <w:shd w:val="clear" w:fill="auto"/>
              <w:spacing w:line="360" w:lineRule="auto"/>
              <w:jc w:val="left"/>
              <w:rPr>
                <w:rFonts w:hint="eastAsia" w:ascii="仿宋_GB2312" w:hAnsi="仿宋_GB2312" w:eastAsia="仿宋_GB2312" w:cs="仿宋_GB2312"/>
                <w:color w:val="auto"/>
                <w:kern w:val="0"/>
                <w:sz w:val="21"/>
                <w:highlight w:val="none"/>
                <w:shd w:val="clear" w:fill="auto"/>
                <w:lang w:val="en-US" w:eastAsia="zh-CN" w:bidi="ar-SA"/>
              </w:rPr>
            </w:pPr>
            <w:r>
              <w:rPr>
                <w:rFonts w:hint="eastAsia" w:ascii="仿宋_GB2312" w:hAnsi="仿宋_GB2312" w:eastAsia="仿宋_GB2312" w:cs="仿宋_GB2312"/>
                <w:color w:val="auto"/>
                <w:kern w:val="0"/>
                <w:sz w:val="21"/>
                <w:highlight w:val="none"/>
                <w:shd w:val="clear" w:fill="auto"/>
                <w:lang w:val="en-US" w:eastAsia="zh-CN" w:bidi="ar-SA"/>
              </w:rPr>
              <w:t>报价表（最终报价）</w:t>
            </w:r>
          </w:p>
        </w:tc>
        <w:tc>
          <w:tcPr>
            <w:tcW w:w="627"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594" w:type="dxa"/>
            <w:shd w:val="clear" w:color="auto" w:fill="auto"/>
            <w:vAlign w:val="center"/>
          </w:tcPr>
          <w:p>
            <w:pPr>
              <w:shd w:val="clear" w:fill="auto"/>
              <w:spacing w:line="400" w:lineRule="exact"/>
              <w:jc w:val="center"/>
              <w:rPr>
                <w:rFonts w:hint="eastAsia" w:ascii="仿宋_GB2312" w:hAnsi="仿宋_GB2312" w:eastAsia="仿宋_GB2312" w:cs="仿宋_GB2312"/>
                <w:color w:val="auto"/>
                <w:sz w:val="24"/>
                <w:highlight w:val="none"/>
                <w:shd w:val="clear" w:fill="auto"/>
              </w:rPr>
            </w:pPr>
          </w:p>
        </w:tc>
        <w:tc>
          <w:tcPr>
            <w:tcW w:w="616"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rPr>
            </w:pPr>
          </w:p>
        </w:tc>
        <w:tc>
          <w:tcPr>
            <w:tcW w:w="839" w:type="dxa"/>
            <w:shd w:val="clear" w:color="auto" w:fill="auto"/>
            <w:vAlign w:val="center"/>
          </w:tcPr>
          <w:p>
            <w:pPr>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1"/>
                <w:highlight w:val="none"/>
                <w:lang w:val="en-US" w:eastAsia="zh-CN"/>
              </w:rPr>
              <w:t>响应文件中无须提供。</w:t>
            </w:r>
          </w:p>
        </w:tc>
      </w:tr>
    </w:tbl>
    <w:p>
      <w:pPr>
        <w:spacing w:line="360" w:lineRule="auto"/>
        <w:jc w:val="center"/>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2"/>
        <w:rPr>
          <w:rFonts w:hint="eastAsia" w:ascii="仿宋_GB2312" w:hAnsi="仿宋_GB2312" w:eastAsia="仿宋_GB2312" w:cs="仿宋_GB2312"/>
          <w:b/>
          <w:color w:val="auto"/>
          <w:sz w:val="44"/>
          <w:highlight w:val="none"/>
        </w:rPr>
      </w:pPr>
    </w:p>
    <w:p>
      <w:pPr>
        <w:pStyle w:val="15"/>
        <w:spacing w:line="480" w:lineRule="exact"/>
        <w:rPr>
          <w:rFonts w:hint="eastAsia" w:ascii="仿宋_GB2312" w:hAnsi="仿宋_GB2312" w:eastAsia="仿宋_GB2312" w:cs="仿宋_GB2312"/>
          <w:b/>
          <w:color w:val="auto"/>
          <w:sz w:val="32"/>
          <w:szCs w:val="32"/>
          <w:highlight w:val="none"/>
        </w:rPr>
      </w:pPr>
      <w:bookmarkStart w:id="164" w:name="_Toc202252033"/>
      <w:bookmarkStart w:id="165" w:name="_Toc202251699"/>
      <w:bookmarkStart w:id="166" w:name="_Toc202251074"/>
      <w:bookmarkStart w:id="167" w:name="_Toc202254104"/>
      <w:bookmarkStart w:id="168" w:name="_Toc202820350"/>
      <w:bookmarkStart w:id="169" w:name="_Toc202816995"/>
      <w:bookmarkStart w:id="170" w:name="_Toc202819877"/>
      <w:r>
        <w:rPr>
          <w:rFonts w:hint="eastAsia" w:ascii="仿宋_GB2312" w:hAnsi="仿宋_GB2312" w:eastAsia="仿宋_GB2312" w:cs="仿宋_GB2312"/>
          <w:b/>
          <w:color w:val="auto"/>
          <w:sz w:val="32"/>
          <w:szCs w:val="32"/>
          <w:highlight w:val="none"/>
        </w:rPr>
        <w:t>一、资格文件</w:t>
      </w:r>
    </w:p>
    <w:bookmarkEnd w:id="164"/>
    <w:bookmarkEnd w:id="165"/>
    <w:bookmarkEnd w:id="166"/>
    <w:bookmarkEnd w:id="167"/>
    <w:bookmarkEnd w:id="168"/>
    <w:bookmarkEnd w:id="169"/>
    <w:bookmarkEnd w:id="170"/>
    <w:p>
      <w:pPr>
        <w:spacing w:line="360" w:lineRule="auto"/>
        <w:ind w:left="0" w:leftChars="0" w:firstLine="0" w:firstLineChars="0"/>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t>1.1</w:t>
      </w:r>
      <w:r>
        <w:rPr>
          <w:rFonts w:hint="eastAsia" w:ascii="仿宋_GB2312" w:hAnsi="仿宋_GB2312" w:eastAsia="仿宋_GB2312" w:cs="仿宋_GB2312"/>
          <w:b/>
          <w:color w:val="auto"/>
          <w:sz w:val="32"/>
          <w:szCs w:val="32"/>
          <w:highlight w:val="none"/>
          <w:lang w:val="en-US" w:eastAsia="zh-CN"/>
        </w:rPr>
        <w:t>磋商</w:t>
      </w:r>
      <w:r>
        <w:rPr>
          <w:rFonts w:hint="eastAsia" w:ascii="仿宋_GB2312" w:hAnsi="仿宋_GB2312" w:eastAsia="仿宋_GB2312" w:cs="仿宋_GB2312"/>
          <w:b/>
          <w:color w:val="auto"/>
          <w:sz w:val="32"/>
          <w:szCs w:val="32"/>
          <w:highlight w:val="none"/>
          <w:lang w:eastAsia="zh-CN"/>
        </w:rPr>
        <w:t>函</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致：珠海华信达工程顾问有限公司</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你方组织的“横琴粤澳深度合作区城市规划和建设局横琴粤澳深度合作区港澳大道3号地下人行通道提升改建工程设计服务项目”项目的招标[项目编号：HXD2303070</w:t>
      </w:r>
      <w:r>
        <w:rPr>
          <w:rFonts w:hint="eastAsia" w:ascii="仿宋_GB2312" w:hAnsi="仿宋_GB2312" w:eastAsia="仿宋_GB2312" w:cs="仿宋_GB2312"/>
          <w:color w:val="auto"/>
          <w:sz w:val="24"/>
          <w:szCs w:val="24"/>
          <w:highlight w:val="none"/>
          <w:lang w:val="en-US" w:eastAsia="zh-CN"/>
        </w:rPr>
        <w:t>22</w:t>
      </w:r>
      <w:r>
        <w:rPr>
          <w:rFonts w:hint="eastAsia" w:ascii="仿宋_GB2312" w:hAnsi="仿宋_GB2312" w:eastAsia="仿宋_GB2312" w:cs="仿宋_GB2312"/>
          <w:color w:val="auto"/>
          <w:sz w:val="24"/>
          <w:szCs w:val="24"/>
          <w:highlight w:val="none"/>
          <w:lang w:eastAsia="zh-CN"/>
        </w:rPr>
        <w:t>]，我方愿参与投标。</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我方确认收到贵方提供的“横琴粤澳深度合作区城市规划和建设局横琴粤澳深度合作区港澳大道3号地下人行通道提升改建工程设计服务项目”项目的磋商文件的全部内容。</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在参与投标前已详细研究了磋商文件的所有内容，包括澄清、修改文件（如果有）和所有已提供的参考资料以及有关附件，我方完全明白并认为此磋商文件没有倾向性，也不存在排斥潜在响应人的内容，我方同意磋商文件的相关条款，放弃对磋商文件提出误解和质疑的一切权力。</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(响应人名称)作为响应人正式授权(授权代表全名,职务)代表我方全权处理有关本投标的一切事宜。</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我方已完全明白磋商文件的所有条款要求，并申明如下：</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（一）按磋商文件提供的全部货物与相关服务的投标总价详见《</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lang w:eastAsia="zh-CN"/>
        </w:rPr>
        <w:t>表》。</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二）本响应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（三）我方明白并同意，在规定的开标日之后，投标有效期之内撤回投标或中标后不按规定与采购人签订合同或不提交履约保证金, 则贵方将不予退还投标保证金。</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（四）我方愿意向贵方提供任何与本项报价有关的数据、情况和技术资料。若贵方需要，我方愿意提供我方作出的一切承诺的证明材料。</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（五）我方理解贵方不一定接受最低投标价或任何贵方可能收到的投标。</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（六）我方如果中标，将保证履行磋商文件及其澄清、修改文件（如果有）中的全部责任和义务，按质、按量、按期完成《采购需求》及《合同书》中的全部任务。</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（七）我方作为法律、财务和运作上独立于采购人、采购代理机构的响应人，在此保证所提交的所有文件和全部说明是真实的和正确的。</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（八）我方投标报价已包含应向知识产权所有权人支付的所有相关税费，并保证采购人在中国使用我方提供的货物时，如有第三方提出侵犯其知识产权主张的，责任由我方承担。</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（九）我方接受采购人委托向贵方支付代理服务费，项目总报价已包含代理服务费，如果被确定为中标供应商，承诺向贵方足额支付。（若采购人支付代理服务费，则此条不适用）</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（十）我方与其他响应人不存在单位负责人为同一人或者存在直接控股、管理关系。</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（十一）我方承诺未为本项目提供整体设计、规范编制或者项目管理、监理、检测等服务。</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（十二）我方未被列入法院失信被执行人名单中。</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（十三）我方承诺如下：</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我方参加本项目采购活动前3年内在经营活动中没有以下违法记录，或因违法经营被禁止参加采购活动的期限已届满：因违法经营受到刑事处罚或者责令停产停业、吊销许可证或者执照、较大数额罚款等行政处罚。</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（2）我方符合法律、行政法规规定的其他条件。</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以上内容如有虚假或与事实不符的，评标委员会可将我方做无效投标处理，我方愿意承担相应的法律责任。</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（十四）我方对在本函及响应文件中所作的所有承诺承担法律责任。</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（十五）所有与本招标有关的函件请发往下列地址：</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地 址：__________________邮政编码：__________________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 话：__________________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传 真：__________________电子邮箱：__________________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代表姓名：__________________职 务：__________________</w:t>
      </w:r>
    </w:p>
    <w:p>
      <w:pPr>
        <w:spacing w:line="240" w:lineRule="auto"/>
        <w:ind w:left="0" w:leftChars="0" w:firstLine="0" w:firstLineChars="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br w:type="page"/>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响应人法定代表人（或港澳企业决策被授权人）</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法定代表人授权委托</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lang w:eastAsia="zh-CN"/>
        </w:rPr>
        <w:t>（或港澳企业投标被授权人）签字或盖章：__________________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响应人名称（盖章）：__________________</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日期： 年 月 日</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技术</w:t>
      </w:r>
      <w:r>
        <w:rPr>
          <w:rFonts w:hint="eastAsia" w:ascii="仿宋_GB2312" w:hAnsi="仿宋_GB2312" w:eastAsia="仿宋_GB2312" w:cs="仿宋_GB2312"/>
          <w:color w:val="auto"/>
          <w:sz w:val="24"/>
          <w:szCs w:val="24"/>
          <w:highlight w:val="none"/>
        </w:rPr>
        <w:t>文件：</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2.1  对项目的理解与认识 </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  项目设计方案</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  质量管理及实施方案</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商务</w:t>
      </w:r>
      <w:r>
        <w:rPr>
          <w:rFonts w:hint="eastAsia" w:ascii="仿宋_GB2312" w:hAnsi="仿宋_GB2312" w:eastAsia="仿宋_GB2312" w:cs="仿宋_GB2312"/>
          <w:color w:val="auto"/>
          <w:sz w:val="24"/>
          <w:szCs w:val="24"/>
          <w:highlight w:val="none"/>
        </w:rPr>
        <w:t>文件</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基本情况表</w:t>
      </w:r>
    </w:p>
    <w:p>
      <w:pPr>
        <w:spacing w:line="360" w:lineRule="auto"/>
        <w:ind w:left="105" w:leftChars="5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3.2 企业业绩</w:t>
      </w:r>
    </w:p>
    <w:p>
      <w:pPr>
        <w:spacing w:line="360" w:lineRule="auto"/>
        <w:ind w:left="105" w:leftChars="50" w:firstLine="480" w:firstLineChars="200"/>
        <w:rPr>
          <w:rFonts w:hint="default" w:ascii="仿宋_GB2312" w:hAnsi="仿宋_GB2312" w:eastAsia="仿宋_GB2312" w:cs="仿宋_GB2312"/>
          <w:color w:val="auto"/>
          <w:spacing w:val="0"/>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3.3 项目负责人业绩</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3.4</w:t>
      </w:r>
      <w:r>
        <w:rPr>
          <w:rFonts w:hint="eastAsia" w:ascii="仿宋_GB2312" w:hAnsi="仿宋_GB2312" w:eastAsia="仿宋_GB2312" w:cs="仿宋_GB2312"/>
          <w:color w:val="auto"/>
          <w:sz w:val="24"/>
          <w:szCs w:val="24"/>
          <w:highlight w:val="none"/>
          <w:lang w:eastAsia="zh-CN"/>
        </w:rPr>
        <w:t>商务</w:t>
      </w:r>
      <w:r>
        <w:rPr>
          <w:rFonts w:hint="eastAsia" w:ascii="仿宋_GB2312" w:hAnsi="仿宋_GB2312" w:eastAsia="仿宋_GB2312" w:cs="仿宋_GB2312"/>
          <w:color w:val="auto"/>
          <w:sz w:val="24"/>
          <w:szCs w:val="24"/>
          <w:highlight w:val="none"/>
        </w:rPr>
        <w:t>条款响应一览表</w:t>
      </w:r>
    </w:p>
    <w:p>
      <w:pPr>
        <w:pStyle w:val="2"/>
        <w:rPr>
          <w:rFonts w:hint="default" w:eastAsia="仿宋_GB2312"/>
          <w:lang w:val="en-US" w:eastAsia="zh-CN"/>
        </w:rPr>
      </w:pPr>
      <w:r>
        <w:rPr>
          <w:rFonts w:hint="eastAsia" w:ascii="仿宋_GB2312" w:hAnsi="仿宋_GB2312" w:eastAsia="仿宋_GB2312" w:cs="仿宋_GB2312"/>
          <w:color w:val="auto"/>
          <w:sz w:val="24"/>
          <w:szCs w:val="24"/>
          <w:highlight w:val="none"/>
          <w:lang w:val="en-US" w:eastAsia="zh-CN"/>
        </w:rPr>
        <w:t xml:space="preserve">   3.5</w:t>
      </w:r>
      <w:r>
        <w:rPr>
          <w:rFonts w:hint="eastAsia" w:ascii="仿宋_GB2312" w:hAnsi="仿宋_GB2312" w:eastAsia="仿宋_GB2312" w:cs="仿宋_GB2312"/>
          <w:color w:val="auto"/>
          <w:spacing w:val="0"/>
          <w:kern w:val="0"/>
          <w:sz w:val="21"/>
          <w:szCs w:val="20"/>
          <w:highlight w:val="none"/>
          <w:lang w:val="en-US" w:eastAsia="zh-CN" w:bidi="ar-SA"/>
        </w:rPr>
        <w:t>★条款响应一览表</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rPr>
        <w:t>、经济价格文件</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4.1 </w:t>
      </w:r>
      <w:r>
        <w:rPr>
          <w:rFonts w:hint="eastAsia" w:ascii="仿宋_GB2312" w:hAnsi="仿宋_GB2312" w:eastAsia="仿宋_GB2312" w:cs="仿宋_GB2312"/>
          <w:color w:val="auto"/>
          <w:sz w:val="24"/>
          <w:szCs w:val="24"/>
          <w:highlight w:val="none"/>
          <w:lang w:eastAsia="zh-CN"/>
        </w:rPr>
        <w:t>报价表</w:t>
      </w:r>
      <w:r>
        <w:rPr>
          <w:rFonts w:hint="eastAsia" w:ascii="仿宋_GB2312" w:hAnsi="仿宋_GB2312" w:eastAsia="仿宋_GB2312" w:cs="仿宋_GB2312"/>
          <w:color w:val="auto"/>
          <w:sz w:val="24"/>
          <w:szCs w:val="24"/>
          <w:highlight w:val="none"/>
        </w:rPr>
        <w:t>（首次报价）</w:t>
      </w:r>
    </w:p>
    <w:p>
      <w:pPr>
        <w:spacing w:line="360" w:lineRule="auto"/>
        <w:ind w:left="105" w:leftChars="5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w:t>
      </w:r>
    </w:p>
    <w:p>
      <w:pPr>
        <w:pStyle w:val="2"/>
        <w:rPr>
          <w:rFonts w:hint="eastAsia" w:ascii="仿宋_GB2312" w:hAnsi="仿宋_GB2312" w:eastAsia="仿宋_GB2312" w:cs="仿宋_GB2312"/>
          <w:color w:val="auto"/>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pStyle w:val="2"/>
        <w:rPr>
          <w:rFonts w:hint="eastAsia" w:ascii="仿宋_GB2312" w:hAnsi="仿宋_GB2312" w:eastAsia="仿宋_GB2312" w:cs="仿宋_GB2312"/>
          <w:b/>
          <w:color w:val="auto"/>
          <w:sz w:val="32"/>
          <w:szCs w:val="32"/>
          <w:highlight w:val="none"/>
        </w:rPr>
      </w:pPr>
    </w:p>
    <w:p>
      <w:pPr>
        <w:spacing w:line="360" w:lineRule="auto"/>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1.2法定代表人证明书及授权委托书</w:t>
      </w:r>
    </w:p>
    <w:p>
      <w:pPr>
        <w:keepLines/>
        <w:widowControl/>
        <w:tabs>
          <w:tab w:val="left" w:pos="720"/>
        </w:tabs>
        <w:adjustRightInd w:val="0"/>
        <w:snapToGrid w:val="0"/>
        <w:spacing w:line="360" w:lineRule="auto"/>
        <w:jc w:val="center"/>
        <w:rPr>
          <w:rFonts w:hint="eastAsia" w:ascii="仿宋_GB2312" w:hAnsi="仿宋_GB2312" w:eastAsia="仿宋_GB2312" w:cs="仿宋_GB2312"/>
          <w:b/>
          <w:color w:val="auto"/>
          <w:spacing w:val="0"/>
          <w:sz w:val="24"/>
          <w:highlight w:val="none"/>
        </w:rPr>
      </w:pPr>
    </w:p>
    <w:p>
      <w:pPr>
        <w:keepLines/>
        <w:widowControl/>
        <w:tabs>
          <w:tab w:val="left" w:pos="720"/>
        </w:tabs>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r>
        <w:rPr>
          <w:rFonts w:hint="eastAsia" w:ascii="仿宋_GB2312" w:hAnsi="仿宋_GB2312" w:eastAsia="仿宋_GB2312" w:cs="仿宋_GB2312"/>
          <w:bCs/>
          <w:color w:val="auto"/>
          <w:spacing w:val="0"/>
          <w:sz w:val="44"/>
          <w:szCs w:val="44"/>
          <w:highlight w:val="none"/>
        </w:rPr>
        <w:t>法定代表人证明书</w:t>
      </w:r>
    </w:p>
    <w:p>
      <w:pPr>
        <w:spacing w:line="360" w:lineRule="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致：珠海华信达工程顾问有限公司</w:t>
      </w:r>
    </w:p>
    <w:p>
      <w:pPr>
        <w:spacing w:line="360" w:lineRule="auto"/>
        <w:ind w:firstLine="420" w:firstLineChars="200"/>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姓名：</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性别：</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年龄：</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职务：</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身份证号码：</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 xml:space="preserve">系 </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u w:val="single"/>
          <w:lang w:eastAsia="zh-CN"/>
        </w:rPr>
        <w:t>响应人</w:t>
      </w:r>
      <w:r>
        <w:rPr>
          <w:rFonts w:hint="eastAsia" w:ascii="仿宋_GB2312" w:hAnsi="仿宋_GB2312" w:eastAsia="仿宋_GB2312" w:cs="仿宋_GB2312"/>
          <w:color w:val="auto"/>
          <w:spacing w:val="0"/>
          <w:sz w:val="21"/>
          <w:szCs w:val="21"/>
          <w:highlight w:val="none"/>
          <w:u w:val="single"/>
        </w:rPr>
        <w:t xml:space="preserve">名称）     </w:t>
      </w:r>
      <w:r>
        <w:rPr>
          <w:rFonts w:hint="eastAsia" w:ascii="仿宋_GB2312" w:hAnsi="仿宋_GB2312" w:eastAsia="仿宋_GB2312" w:cs="仿宋_GB2312"/>
          <w:color w:val="auto"/>
          <w:spacing w:val="0"/>
          <w:sz w:val="21"/>
          <w:szCs w:val="21"/>
          <w:highlight w:val="none"/>
        </w:rPr>
        <w:t xml:space="preserve">的法定代表人。为 </w:t>
      </w:r>
      <w:r>
        <w:rPr>
          <w:rFonts w:hint="eastAsia" w:ascii="仿宋_GB2312" w:hAnsi="仿宋_GB2312" w:eastAsia="仿宋_GB2312" w:cs="仿宋_GB2312"/>
          <w:color w:val="auto"/>
          <w:spacing w:val="0"/>
          <w:sz w:val="21"/>
          <w:szCs w:val="21"/>
          <w:highlight w:val="none"/>
          <w:u w:val="single"/>
        </w:rPr>
        <w:t xml:space="preserve"> 项目名称             </w:t>
      </w:r>
      <w:r>
        <w:rPr>
          <w:rFonts w:hint="eastAsia" w:ascii="仿宋_GB2312" w:hAnsi="仿宋_GB2312" w:eastAsia="仿宋_GB2312" w:cs="仿宋_GB2312"/>
          <w:color w:val="auto"/>
          <w:spacing w:val="0"/>
          <w:sz w:val="21"/>
          <w:szCs w:val="21"/>
          <w:highlight w:val="none"/>
        </w:rPr>
        <w:t>公开招标（</w:t>
      </w:r>
      <w:r>
        <w:rPr>
          <w:rFonts w:hint="eastAsia" w:ascii="仿宋_GB2312" w:hAnsi="仿宋_GB2312" w:eastAsia="仿宋_GB2312" w:cs="仿宋_GB2312"/>
          <w:color w:val="auto"/>
          <w:spacing w:val="0"/>
          <w:sz w:val="21"/>
          <w:szCs w:val="21"/>
          <w:highlight w:val="none"/>
          <w:u w:val="single"/>
        </w:rPr>
        <w:t xml:space="preserve">项目编号：           </w:t>
      </w:r>
      <w:r>
        <w:rPr>
          <w:rFonts w:hint="eastAsia" w:ascii="仿宋_GB2312" w:hAnsi="仿宋_GB2312" w:eastAsia="仿宋_GB2312" w:cs="仿宋_GB2312"/>
          <w:color w:val="auto"/>
          <w:spacing w:val="0"/>
          <w:sz w:val="21"/>
          <w:szCs w:val="21"/>
          <w:highlight w:val="none"/>
        </w:rPr>
        <w:t>）项目签署</w:t>
      </w:r>
      <w:r>
        <w:rPr>
          <w:rFonts w:hint="eastAsia" w:ascii="仿宋_GB2312" w:hAnsi="仿宋_GB2312" w:eastAsia="仿宋_GB2312" w:cs="仿宋_GB2312"/>
          <w:color w:val="auto"/>
          <w:spacing w:val="0"/>
          <w:sz w:val="21"/>
          <w:szCs w:val="21"/>
          <w:highlight w:val="none"/>
          <w:lang w:eastAsia="zh-CN"/>
        </w:rPr>
        <w:t>响应文件</w:t>
      </w:r>
      <w:r>
        <w:rPr>
          <w:rFonts w:hint="eastAsia" w:ascii="仿宋_GB2312" w:hAnsi="仿宋_GB2312" w:eastAsia="仿宋_GB2312" w:cs="仿宋_GB2312"/>
          <w:color w:val="auto"/>
          <w:spacing w:val="0"/>
          <w:sz w:val="21"/>
          <w:szCs w:val="21"/>
          <w:highlight w:val="none"/>
        </w:rPr>
        <w:t>、进行合同签署和处理与之有关的一切事务。</w:t>
      </w:r>
    </w:p>
    <w:p>
      <w:pPr>
        <w:spacing w:line="360" w:lineRule="auto"/>
        <w:ind w:left="359" w:firstLine="357"/>
        <w:rPr>
          <w:rFonts w:hint="eastAsia" w:ascii="仿宋_GB2312" w:hAnsi="仿宋_GB2312" w:eastAsia="仿宋_GB2312" w:cs="仿宋_GB2312"/>
          <w:color w:val="auto"/>
          <w:spacing w:val="0"/>
          <w:sz w:val="21"/>
          <w:szCs w:val="21"/>
          <w:highlight w:val="none"/>
        </w:rPr>
      </w:pPr>
    </w:p>
    <w:p>
      <w:pPr>
        <w:spacing w:line="360" w:lineRule="auto"/>
        <w:ind w:left="171" w:firstLine="369"/>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特此证明。</w:t>
      </w:r>
    </w:p>
    <w:p>
      <w:pPr>
        <w:spacing w:line="360" w:lineRule="auto"/>
        <w:ind w:left="171" w:firstLine="559"/>
        <w:rPr>
          <w:rFonts w:hint="eastAsia" w:ascii="仿宋_GB2312" w:hAnsi="仿宋_GB2312" w:eastAsia="仿宋_GB2312" w:cs="仿宋_GB2312"/>
          <w:color w:val="auto"/>
          <w:spacing w:val="0"/>
          <w:sz w:val="21"/>
          <w:szCs w:val="21"/>
          <w:highlight w:val="none"/>
        </w:rPr>
      </w:pPr>
    </w:p>
    <w:p>
      <w:pPr>
        <w:spacing w:line="360" w:lineRule="auto"/>
        <w:ind w:firstLine="540"/>
        <w:rPr>
          <w:rFonts w:hint="eastAsia" w:ascii="仿宋_GB2312" w:hAnsi="仿宋_GB2312" w:eastAsia="仿宋_GB2312" w:cs="仿宋_GB2312"/>
          <w:color w:val="auto"/>
          <w:spacing w:val="0"/>
          <w:sz w:val="21"/>
          <w:szCs w:val="21"/>
          <w:highlight w:val="none"/>
          <w:u w:val="single"/>
        </w:rPr>
      </w:pPr>
      <w:r>
        <w:rPr>
          <w:rFonts w:hint="eastAsia" w:ascii="仿宋_GB2312" w:hAnsi="仿宋_GB2312" w:eastAsia="仿宋_GB2312" w:cs="仿宋_GB2312"/>
          <w:color w:val="auto"/>
          <w:spacing w:val="0"/>
          <w:sz w:val="21"/>
          <w:szCs w:val="21"/>
          <w:highlight w:val="none"/>
          <w:lang w:eastAsia="zh-CN"/>
        </w:rPr>
        <w:t>响应人</w:t>
      </w:r>
      <w:r>
        <w:rPr>
          <w:rFonts w:hint="eastAsia" w:ascii="仿宋_GB2312" w:hAnsi="仿宋_GB2312" w:eastAsia="仿宋_GB2312" w:cs="仿宋_GB2312"/>
          <w:color w:val="auto"/>
          <w:spacing w:val="0"/>
          <w:sz w:val="21"/>
          <w:szCs w:val="21"/>
          <w:highlight w:val="none"/>
        </w:rPr>
        <w:t>名称（公章）：</w:t>
      </w:r>
      <w:r>
        <w:rPr>
          <w:rFonts w:hint="eastAsia" w:ascii="仿宋_GB2312" w:hAnsi="仿宋_GB2312" w:eastAsia="仿宋_GB2312" w:cs="仿宋_GB2312"/>
          <w:color w:val="auto"/>
          <w:spacing w:val="0"/>
          <w:sz w:val="21"/>
          <w:szCs w:val="21"/>
          <w:highlight w:val="none"/>
          <w:u w:val="single"/>
        </w:rPr>
        <w:t xml:space="preserve">                       </w:t>
      </w:r>
    </w:p>
    <w:p>
      <w:pPr>
        <w:spacing w:line="360" w:lineRule="auto"/>
        <w:rPr>
          <w:rFonts w:hint="eastAsia" w:ascii="仿宋_GB2312" w:hAnsi="仿宋_GB2312" w:eastAsia="仿宋_GB2312" w:cs="仿宋_GB2312"/>
          <w:color w:val="auto"/>
          <w:spacing w:val="0"/>
          <w:sz w:val="21"/>
          <w:szCs w:val="21"/>
          <w:highlight w:val="none"/>
        </w:rPr>
      </w:pPr>
    </w:p>
    <w:p>
      <w:pPr>
        <w:spacing w:line="360" w:lineRule="auto"/>
        <w:ind w:firstLine="540"/>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日期：</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月</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日</w:t>
      </w:r>
    </w:p>
    <w:p>
      <w:pPr>
        <w:spacing w:line="360" w:lineRule="auto"/>
        <w:rPr>
          <w:rFonts w:hint="eastAsia" w:ascii="仿宋_GB2312" w:hAnsi="仿宋_GB2312" w:eastAsia="仿宋_GB2312" w:cs="仿宋_GB2312"/>
          <w:color w:val="auto"/>
          <w:spacing w:val="0"/>
          <w:sz w:val="21"/>
          <w:szCs w:val="21"/>
          <w:highlight w:val="none"/>
        </w:rPr>
      </w:pPr>
    </w:p>
    <w:p>
      <w:pPr>
        <w:spacing w:line="360" w:lineRule="auto"/>
        <w:rPr>
          <w:rFonts w:hint="eastAsia" w:ascii="仿宋_GB2312" w:hAnsi="仿宋_GB2312" w:eastAsia="仿宋_GB2312" w:cs="仿宋_GB2312"/>
          <w:color w:val="auto"/>
          <w:spacing w:val="0"/>
          <w:sz w:val="21"/>
          <w:szCs w:val="21"/>
          <w:highlight w:val="none"/>
        </w:rPr>
      </w:pPr>
      <w:r>
        <w:rPr>
          <w:rFonts w:hint="eastAsia" w:ascii="仿宋_GB2312" w:hAnsi="仿宋_GB2312" w:eastAsia="仿宋_GB2312" w:cs="仿宋_GB2312"/>
          <w:color w:val="auto"/>
          <w:spacing w:val="0"/>
          <w:sz w:val="21"/>
          <w:szCs w:val="21"/>
          <w:highlight w:val="none"/>
        </w:rPr>
        <w:t>注：此处所述“法定代表人”须与</w:t>
      </w:r>
      <w:r>
        <w:rPr>
          <w:rFonts w:hint="eastAsia" w:ascii="仿宋_GB2312" w:hAnsi="仿宋_GB2312" w:eastAsia="仿宋_GB2312" w:cs="仿宋_GB2312"/>
          <w:color w:val="auto"/>
          <w:spacing w:val="0"/>
          <w:sz w:val="21"/>
          <w:szCs w:val="21"/>
          <w:highlight w:val="none"/>
          <w:lang w:eastAsia="zh-CN"/>
        </w:rPr>
        <w:t>响应人</w:t>
      </w:r>
      <w:r>
        <w:rPr>
          <w:rFonts w:hint="eastAsia" w:ascii="仿宋_GB2312" w:hAnsi="仿宋_GB2312" w:eastAsia="仿宋_GB2312" w:cs="仿宋_GB2312"/>
          <w:color w:val="auto"/>
          <w:spacing w:val="0"/>
          <w:sz w:val="21"/>
          <w:szCs w:val="21"/>
          <w:highlight w:val="none"/>
        </w:rPr>
        <w:t>的“营业执照”上的内容一致。</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附：法定代表人的身份证复印件：</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tbl>
      <w:tblPr>
        <w:tblStyle w:val="27"/>
        <w:tblW w:w="5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5995" w:type="dxa"/>
            <w:vAlign w:val="center"/>
          </w:tcPr>
          <w:p>
            <w:pPr>
              <w:keepLines/>
              <w:widowControl/>
              <w:adjustRightInd w:val="0"/>
              <w:snapToGrid w:val="0"/>
              <w:spacing w:line="360" w:lineRule="auto"/>
              <w:jc w:val="center"/>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附：法定代表人身份证正反两面（护照）复印件</w:t>
            </w:r>
          </w:p>
        </w:tc>
      </w:tr>
    </w:tbl>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4"/>
          <w:highlight w:val="none"/>
        </w:rPr>
      </w:pPr>
    </w:p>
    <w:p>
      <w:pPr>
        <w:tabs>
          <w:tab w:val="left" w:pos="720"/>
        </w:tabs>
        <w:adjustRightInd w:val="0"/>
        <w:snapToGrid w:val="0"/>
        <w:spacing w:beforeLines="50" w:afterLines="50"/>
        <w:jc w:val="left"/>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tabs>
          <w:tab w:val="left" w:pos="720"/>
        </w:tabs>
        <w:adjustRightInd w:val="0"/>
        <w:snapToGrid w:val="0"/>
        <w:spacing w:beforeLines="50" w:afterLines="50"/>
        <w:jc w:val="left"/>
        <w:rPr>
          <w:rFonts w:hint="eastAsia" w:ascii="仿宋_GB2312" w:hAnsi="仿宋_GB2312" w:eastAsia="仿宋_GB2312" w:cs="仿宋_GB2312"/>
          <w:color w:val="auto"/>
          <w:sz w:val="24"/>
          <w:highlight w:val="none"/>
        </w:rPr>
      </w:pPr>
    </w:p>
    <w:p>
      <w:pPr>
        <w:tabs>
          <w:tab w:val="left" w:pos="720"/>
        </w:tabs>
        <w:adjustRightInd w:val="0"/>
        <w:snapToGrid w:val="0"/>
        <w:spacing w:beforeLines="50" w:afterLines="50"/>
        <w:jc w:val="left"/>
        <w:rPr>
          <w:rFonts w:hint="eastAsia" w:ascii="仿宋_GB2312" w:hAnsi="仿宋_GB2312" w:eastAsia="仿宋_GB2312" w:cs="仿宋_GB2312"/>
          <w:color w:val="auto"/>
          <w:sz w:val="24"/>
          <w:highlight w:val="none"/>
        </w:rPr>
      </w:pPr>
    </w:p>
    <w:p>
      <w:pPr>
        <w:tabs>
          <w:tab w:val="left" w:pos="720"/>
        </w:tabs>
        <w:adjustRightInd w:val="0"/>
        <w:snapToGrid w:val="0"/>
        <w:spacing w:beforeLines="50" w:afterLines="5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法定代表人授权委托书</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致：珠海华信达工程顾问有限公司</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pStyle w:val="15"/>
        <w:spacing w:line="360" w:lineRule="auto"/>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本授权委托书声明：注册于</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eastAsia="zh-CN"/>
        </w:rPr>
        <w:t>响应人</w:t>
      </w:r>
      <w:r>
        <w:rPr>
          <w:rFonts w:hint="eastAsia" w:ascii="仿宋_GB2312" w:hAnsi="仿宋_GB2312" w:eastAsia="仿宋_GB2312" w:cs="仿宋_GB2312"/>
          <w:color w:val="auto"/>
          <w:highlight w:val="none"/>
          <w:u w:val="single"/>
        </w:rPr>
        <w:t xml:space="preserve">地址）  </w:t>
      </w:r>
      <w:r>
        <w:rPr>
          <w:rFonts w:hint="eastAsia" w:ascii="仿宋_GB2312" w:hAnsi="仿宋_GB2312" w:eastAsia="仿宋_GB2312" w:cs="仿宋_GB2312"/>
          <w:color w:val="auto"/>
          <w:highlight w:val="none"/>
        </w:rPr>
        <w:t>的</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eastAsia="zh-CN"/>
        </w:rPr>
        <w:t>响应人</w:t>
      </w:r>
      <w:r>
        <w:rPr>
          <w:rFonts w:hint="eastAsia" w:ascii="仿宋_GB2312" w:hAnsi="仿宋_GB2312" w:eastAsia="仿宋_GB2312" w:cs="仿宋_GB2312"/>
          <w:color w:val="auto"/>
          <w:highlight w:val="none"/>
          <w:u w:val="single"/>
        </w:rPr>
        <w:t xml:space="preserve">名称）    </w:t>
      </w:r>
      <w:r>
        <w:rPr>
          <w:rFonts w:hint="eastAsia" w:ascii="仿宋_GB2312" w:hAnsi="仿宋_GB2312" w:eastAsia="仿宋_GB2312" w:cs="仿宋_GB2312"/>
          <w:color w:val="auto"/>
          <w:highlight w:val="none"/>
        </w:rPr>
        <w:t>在下面签名的</w:t>
      </w:r>
      <w:r>
        <w:rPr>
          <w:rFonts w:hint="eastAsia" w:ascii="仿宋_GB2312" w:hAnsi="仿宋_GB2312" w:eastAsia="仿宋_GB2312" w:cs="仿宋_GB2312"/>
          <w:color w:val="auto"/>
          <w:highlight w:val="none"/>
          <w:u w:val="single"/>
        </w:rPr>
        <w:t>（法定代表人姓名、职务）</w:t>
      </w:r>
      <w:r>
        <w:rPr>
          <w:rFonts w:hint="eastAsia" w:ascii="仿宋_GB2312" w:hAnsi="仿宋_GB2312" w:eastAsia="仿宋_GB2312" w:cs="仿宋_GB2312"/>
          <w:color w:val="auto"/>
          <w:highlight w:val="none"/>
        </w:rPr>
        <w:t>在此授权</w:t>
      </w:r>
      <w:r>
        <w:rPr>
          <w:rFonts w:hint="eastAsia" w:ascii="仿宋_GB2312" w:hAnsi="仿宋_GB2312" w:eastAsia="仿宋_GB2312" w:cs="仿宋_GB2312"/>
          <w:color w:val="auto"/>
          <w:highlight w:val="none"/>
          <w:u w:val="single"/>
        </w:rPr>
        <w:t>（被授权人姓名、职务）</w:t>
      </w:r>
      <w:r>
        <w:rPr>
          <w:rFonts w:hint="eastAsia" w:ascii="仿宋_GB2312" w:hAnsi="仿宋_GB2312" w:eastAsia="仿宋_GB2312" w:cs="仿宋_GB2312"/>
          <w:color w:val="auto"/>
          <w:highlight w:val="none"/>
        </w:rPr>
        <w:t>作为我公司的合法代理人，就</w:t>
      </w:r>
      <w:r>
        <w:rPr>
          <w:rFonts w:hint="eastAsia" w:ascii="仿宋_GB2312" w:hAnsi="仿宋_GB2312" w:eastAsia="仿宋_GB2312" w:cs="仿宋_GB2312"/>
          <w:color w:val="auto"/>
          <w:highlight w:val="none"/>
          <w:u w:val="single"/>
        </w:rPr>
        <w:t>（项目名称、项目编号</w:t>
      </w:r>
      <w:r>
        <w:rPr>
          <w:rFonts w:hint="eastAsia" w:ascii="仿宋_GB2312" w:hAnsi="仿宋_GB2312" w:eastAsia="仿宋_GB2312" w:cs="仿宋_GB2312"/>
          <w:color w:val="auto"/>
          <w:highlight w:val="none"/>
        </w:rPr>
        <w:t>）的招投标活动，提交</w:t>
      </w:r>
      <w:r>
        <w:rPr>
          <w:rFonts w:hint="eastAsia" w:ascii="仿宋_GB2312" w:hAnsi="仿宋_GB2312" w:eastAsia="仿宋_GB2312" w:cs="仿宋_GB2312"/>
          <w:color w:val="auto"/>
          <w:highlight w:val="none"/>
          <w:lang w:eastAsia="zh-CN"/>
        </w:rPr>
        <w:t>响应文件</w:t>
      </w:r>
      <w:r>
        <w:rPr>
          <w:rFonts w:hint="eastAsia" w:ascii="仿宋_GB2312" w:hAnsi="仿宋_GB2312" w:eastAsia="仿宋_GB2312" w:cs="仿宋_GB2312"/>
          <w:color w:val="auto"/>
          <w:highlight w:val="none"/>
        </w:rPr>
        <w:t>及采购合同的签订、执行、完成和售后服务，作为</w:t>
      </w:r>
      <w:r>
        <w:rPr>
          <w:rFonts w:hint="eastAsia" w:ascii="仿宋_GB2312" w:hAnsi="仿宋_GB2312" w:eastAsia="仿宋_GB2312" w:cs="仿宋_GB2312"/>
          <w:color w:val="auto"/>
          <w:highlight w:val="none"/>
          <w:lang w:eastAsia="zh-CN"/>
        </w:rPr>
        <w:t>响应人</w:t>
      </w:r>
      <w:r>
        <w:rPr>
          <w:rFonts w:hint="eastAsia" w:ascii="仿宋_GB2312" w:hAnsi="仿宋_GB2312" w:eastAsia="仿宋_GB2312" w:cs="仿宋_GB2312"/>
          <w:color w:val="auto"/>
          <w:highlight w:val="none"/>
        </w:rPr>
        <w:t>代表以我方的名义处理一切与之有关的事务。</w:t>
      </w:r>
    </w:p>
    <w:p>
      <w:pPr>
        <w:pStyle w:val="15"/>
        <w:spacing w:line="360" w:lineRule="auto"/>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被授权人（</w:t>
      </w:r>
      <w:r>
        <w:rPr>
          <w:rFonts w:hint="eastAsia" w:ascii="仿宋_GB2312" w:hAnsi="仿宋_GB2312" w:eastAsia="仿宋_GB2312" w:cs="仿宋_GB2312"/>
          <w:color w:val="auto"/>
          <w:highlight w:val="none"/>
          <w:lang w:eastAsia="zh-CN"/>
        </w:rPr>
        <w:t>响应人</w:t>
      </w:r>
      <w:r>
        <w:rPr>
          <w:rFonts w:hint="eastAsia" w:ascii="仿宋_GB2312" w:hAnsi="仿宋_GB2312" w:eastAsia="仿宋_GB2312" w:cs="仿宋_GB2312"/>
          <w:color w:val="auto"/>
          <w:highlight w:val="none"/>
        </w:rPr>
        <w:t>授权代表）无转委托权限。</w:t>
      </w:r>
    </w:p>
    <w:p>
      <w:pPr>
        <w:keepLines/>
        <w:widowControl/>
        <w:adjustRightInd w:val="0"/>
        <w:snapToGrid w:val="0"/>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本授权书自法定代表人签字之日起生效，特此声明。</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法定代表人（签字或盖章）：</w:t>
      </w:r>
      <w:r>
        <w:rPr>
          <w:rFonts w:hint="eastAsia" w:ascii="仿宋_GB2312" w:hAnsi="仿宋_GB2312" w:eastAsia="仿宋_GB2312" w:cs="仿宋_GB2312"/>
          <w:bCs/>
          <w:color w:val="auto"/>
          <w:spacing w:val="0"/>
          <w:sz w:val="21"/>
          <w:szCs w:val="21"/>
          <w:highlight w:val="none"/>
          <w:u w:val="single"/>
        </w:rPr>
        <w:t xml:space="preserve">                            </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被授权人（签字或盖章）：</w:t>
      </w:r>
      <w:r>
        <w:rPr>
          <w:rFonts w:hint="eastAsia" w:ascii="仿宋_GB2312" w:hAnsi="仿宋_GB2312" w:eastAsia="仿宋_GB2312" w:cs="仿宋_GB2312"/>
          <w:bCs/>
          <w:color w:val="auto"/>
          <w:spacing w:val="0"/>
          <w:sz w:val="21"/>
          <w:szCs w:val="21"/>
          <w:highlight w:val="none"/>
          <w:u w:val="single"/>
        </w:rPr>
        <w:t xml:space="preserve">                                  </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ind w:firstLine="420" w:firstLineChars="200"/>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lang w:eastAsia="zh-CN"/>
        </w:rPr>
        <w:t>响应人</w:t>
      </w:r>
      <w:r>
        <w:rPr>
          <w:rFonts w:hint="eastAsia" w:ascii="仿宋_GB2312" w:hAnsi="仿宋_GB2312" w:eastAsia="仿宋_GB2312" w:cs="仿宋_GB2312"/>
          <w:bCs/>
          <w:color w:val="auto"/>
          <w:spacing w:val="0"/>
          <w:sz w:val="21"/>
          <w:szCs w:val="21"/>
          <w:highlight w:val="none"/>
        </w:rPr>
        <w:t>名称：</w:t>
      </w:r>
      <w:r>
        <w:rPr>
          <w:rFonts w:hint="eastAsia" w:ascii="仿宋_GB2312" w:hAnsi="仿宋_GB2312" w:eastAsia="仿宋_GB2312" w:cs="仿宋_GB2312"/>
          <w:bCs/>
          <w:color w:val="auto"/>
          <w:spacing w:val="0"/>
          <w:sz w:val="21"/>
          <w:szCs w:val="21"/>
          <w:highlight w:val="none"/>
          <w:u w:val="single"/>
        </w:rPr>
        <w:t xml:space="preserve">                           （公章）</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color w:val="auto"/>
          <w:spacing w:val="0"/>
          <w:sz w:val="21"/>
          <w:szCs w:val="21"/>
          <w:highlight w:val="none"/>
        </w:rPr>
        <w:t xml:space="preserve">   日   期：</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年</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月</w:t>
      </w:r>
      <w:r>
        <w:rPr>
          <w:rFonts w:hint="eastAsia" w:ascii="仿宋_GB2312" w:hAnsi="仿宋_GB2312" w:eastAsia="仿宋_GB2312" w:cs="仿宋_GB2312"/>
          <w:color w:val="auto"/>
          <w:spacing w:val="0"/>
          <w:sz w:val="21"/>
          <w:szCs w:val="21"/>
          <w:highlight w:val="none"/>
          <w:u w:val="single"/>
        </w:rPr>
        <w:t xml:space="preserve">      </w:t>
      </w:r>
      <w:r>
        <w:rPr>
          <w:rFonts w:hint="eastAsia" w:ascii="仿宋_GB2312" w:hAnsi="仿宋_GB2312" w:eastAsia="仿宋_GB2312" w:cs="仿宋_GB2312"/>
          <w:color w:val="auto"/>
          <w:spacing w:val="0"/>
          <w:sz w:val="21"/>
          <w:szCs w:val="21"/>
          <w:highlight w:val="none"/>
        </w:rPr>
        <w:t>日</w:t>
      </w:r>
    </w:p>
    <w:p>
      <w:pPr>
        <w:pStyle w:val="15"/>
        <w:spacing w:line="360" w:lineRule="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eastAsia="zh-CN"/>
        </w:rPr>
        <w:t>响应人</w:t>
      </w:r>
      <w:r>
        <w:rPr>
          <w:rFonts w:hint="eastAsia" w:ascii="仿宋_GB2312" w:hAnsi="仿宋_GB2312" w:eastAsia="仿宋_GB2312" w:cs="仿宋_GB2312"/>
          <w:color w:val="auto"/>
          <w:highlight w:val="none"/>
        </w:rPr>
        <w:t>法定代表人参加投标的无须提供该委托书。</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附：被授权人的身份证复印件：</w:t>
      </w:r>
    </w:p>
    <w:p>
      <w:pPr>
        <w:keepLines/>
        <w:widowControl/>
        <w:adjustRightInd w:val="0"/>
        <w:snapToGrid w:val="0"/>
        <w:spacing w:line="360" w:lineRule="auto"/>
        <w:rPr>
          <w:rFonts w:hint="eastAsia" w:ascii="仿宋_GB2312" w:hAnsi="仿宋_GB2312" w:eastAsia="仿宋_GB2312" w:cs="仿宋_GB2312"/>
          <w:bCs/>
          <w:color w:val="auto"/>
          <w:spacing w:val="0"/>
          <w:sz w:val="21"/>
          <w:szCs w:val="21"/>
          <w:highlight w:val="none"/>
        </w:rPr>
      </w:pPr>
    </w:p>
    <w:tbl>
      <w:tblPr>
        <w:tblStyle w:val="27"/>
        <w:tblW w:w="6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6325" w:type="dxa"/>
            <w:vAlign w:val="center"/>
          </w:tcPr>
          <w:p>
            <w:pPr>
              <w:keepLines/>
              <w:widowControl/>
              <w:adjustRightInd w:val="0"/>
              <w:snapToGrid w:val="0"/>
              <w:spacing w:line="360" w:lineRule="auto"/>
              <w:jc w:val="center"/>
              <w:rPr>
                <w:rFonts w:hint="eastAsia" w:ascii="仿宋_GB2312" w:hAnsi="仿宋_GB2312" w:eastAsia="仿宋_GB2312" w:cs="仿宋_GB2312"/>
                <w:bCs/>
                <w:color w:val="auto"/>
                <w:spacing w:val="0"/>
                <w:sz w:val="21"/>
                <w:szCs w:val="21"/>
                <w:highlight w:val="none"/>
              </w:rPr>
            </w:pPr>
            <w:r>
              <w:rPr>
                <w:rFonts w:hint="eastAsia" w:ascii="仿宋_GB2312" w:hAnsi="仿宋_GB2312" w:eastAsia="仿宋_GB2312" w:cs="仿宋_GB2312"/>
                <w:bCs/>
                <w:color w:val="auto"/>
                <w:spacing w:val="0"/>
                <w:sz w:val="21"/>
                <w:szCs w:val="21"/>
                <w:highlight w:val="none"/>
              </w:rPr>
              <w:t>附：粘贴被授权委托人身份证正反两面（护照）复印件</w:t>
            </w:r>
          </w:p>
        </w:tc>
      </w:tr>
    </w:tbl>
    <w:p>
      <w:pPr>
        <w:tabs>
          <w:tab w:val="left" w:pos="720"/>
        </w:tabs>
        <w:adjustRightInd w:val="0"/>
        <w:snapToGrid w:val="0"/>
        <w:spacing w:beforeLines="50" w:afterLines="50"/>
        <w:rPr>
          <w:rFonts w:hint="eastAsia" w:ascii="仿宋_GB2312" w:hAnsi="仿宋_GB2312" w:eastAsia="仿宋_GB2312" w:cs="仿宋_GB2312"/>
          <w:color w:val="auto"/>
          <w:sz w:val="21"/>
          <w:highlight w:val="none"/>
        </w:rPr>
      </w:pPr>
    </w:p>
    <w:p>
      <w:pPr>
        <w:rPr>
          <w:rFonts w:hint="eastAsia"/>
          <w:color w:val="auto"/>
          <w:sz w:val="32"/>
          <w:szCs w:val="32"/>
          <w:highlight w:val="none"/>
          <w:lang w:val="en-US" w:eastAsia="zh-CN"/>
        </w:rPr>
      </w:pPr>
      <w:r>
        <w:rPr>
          <w:rFonts w:hint="eastAsia"/>
          <w:color w:val="auto"/>
          <w:sz w:val="32"/>
          <w:szCs w:val="32"/>
          <w:highlight w:val="none"/>
          <w:lang w:val="en-US" w:eastAsia="zh-CN"/>
        </w:rPr>
        <w:br w:type="page"/>
      </w:r>
    </w:p>
    <w:p>
      <w:pPr>
        <w:tabs>
          <w:tab w:val="left" w:pos="720"/>
        </w:tabs>
        <w:autoSpaceDE/>
        <w:autoSpaceDN/>
        <w:adjustRightInd w:val="0"/>
        <w:snapToGrid w:val="0"/>
        <w:spacing w:beforeLines="50" w:afterLines="50"/>
        <w:jc w:val="center"/>
        <w:rPr>
          <w:rFonts w:hint="eastAsia" w:ascii="仿宋_GB2312" w:hAnsi="仿宋_GB2312" w:eastAsia="仿宋_GB2312" w:cs="仿宋_GB2312"/>
          <w:color w:val="auto"/>
          <w:kern w:val="0"/>
          <w:sz w:val="44"/>
          <w:szCs w:val="44"/>
          <w:highlight w:val="none"/>
        </w:rPr>
      </w:pPr>
      <w:r>
        <w:rPr>
          <w:rFonts w:hint="eastAsia" w:ascii="仿宋_GB2312" w:hAnsi="仿宋_GB2312" w:eastAsia="仿宋_GB2312" w:cs="仿宋_GB2312"/>
          <w:color w:val="auto"/>
          <w:kern w:val="0"/>
          <w:sz w:val="44"/>
          <w:szCs w:val="44"/>
          <w:highlight w:val="none"/>
          <w:lang w:bidi="ar"/>
        </w:rPr>
        <w:t>港澳企业决策授权书</w:t>
      </w:r>
    </w:p>
    <w:p>
      <w:pPr>
        <w:pStyle w:val="23"/>
        <w:spacing w:line="360" w:lineRule="auto"/>
        <w:ind w:firstLine="420" w:firstLineChars="200"/>
        <w:rPr>
          <w:rFonts w:hint="eastAsia" w:ascii="仿宋_GB2312" w:eastAsia="仿宋_GB2312" w:cs="仿宋_GB2312"/>
          <w:color w:val="auto"/>
          <w:kern w:val="0"/>
          <w:sz w:val="21"/>
          <w:szCs w:val="21"/>
          <w:highlight w:val="none"/>
          <w:lang w:bidi="ar"/>
        </w:rPr>
      </w:pP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（公司名称）现授权 （决策被授权委托人姓名）为代表，负责（项目名称）的投标活动，处理与之相关的事务，包括：获取招标投标相关文件、材料，提出相关问题，参加相关会议，签署、递交、撤回、修改、澄清、说明、补正</w:t>
      </w:r>
      <w:r>
        <w:rPr>
          <w:rFonts w:hint="eastAsia" w:ascii="仿宋_GB2312" w:eastAsia="仿宋_GB2312" w:cs="仿宋_GB2312"/>
          <w:color w:val="auto"/>
          <w:sz w:val="21"/>
          <w:szCs w:val="21"/>
          <w:highlight w:val="none"/>
          <w:lang w:val="en-US" w:eastAsia="zh-CN" w:bidi="ar"/>
        </w:rPr>
        <w:t>响应</w:t>
      </w:r>
      <w:r>
        <w:rPr>
          <w:rFonts w:hint="eastAsia" w:ascii="仿宋_GB2312" w:eastAsia="仿宋_GB2312" w:cs="仿宋_GB2312"/>
          <w:color w:val="auto"/>
          <w:sz w:val="21"/>
          <w:szCs w:val="21"/>
          <w:highlight w:val="none"/>
          <w:lang w:bidi="ar"/>
        </w:rPr>
        <w:t>文件</w:t>
      </w:r>
      <w:r>
        <w:rPr>
          <w:rFonts w:hint="eastAsia" w:ascii="仿宋_GB2312" w:eastAsia="仿宋_GB2312" w:cs="仿宋_GB2312"/>
          <w:color w:val="auto"/>
          <w:sz w:val="21"/>
          <w:szCs w:val="21"/>
          <w:highlight w:val="none"/>
          <w:lang w:eastAsia="zh-CN" w:bidi="ar"/>
        </w:rPr>
        <w:t>、</w:t>
      </w:r>
      <w:r>
        <w:rPr>
          <w:rFonts w:hint="eastAsia" w:ascii="仿宋_GB2312" w:eastAsia="仿宋_GB2312" w:cs="仿宋_GB2312"/>
          <w:color w:val="auto"/>
          <w:sz w:val="21"/>
          <w:szCs w:val="21"/>
          <w:highlight w:val="none"/>
          <w:lang w:bidi="ar"/>
        </w:rPr>
        <w:t>递交</w:t>
      </w:r>
      <w:r>
        <w:rPr>
          <w:rFonts w:hint="eastAsia" w:ascii="仿宋_GB2312" w:eastAsia="仿宋_GB2312" w:cs="仿宋_GB2312"/>
          <w:color w:val="auto"/>
          <w:kern w:val="0"/>
          <w:sz w:val="21"/>
          <w:szCs w:val="21"/>
          <w:highlight w:val="none"/>
          <w:lang w:bidi="ar"/>
        </w:rPr>
        <w:t>纸质保函</w:t>
      </w:r>
      <w:r>
        <w:rPr>
          <w:rFonts w:hint="eastAsia" w:ascii="仿宋_GB2312" w:eastAsia="仿宋_GB2312" w:cs="仿宋_GB2312"/>
          <w:color w:val="auto"/>
          <w:sz w:val="21"/>
          <w:szCs w:val="21"/>
          <w:highlight w:val="none"/>
          <w:lang w:bidi="ar"/>
        </w:rPr>
        <w:t>/保单。</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授权委托期限自</w:t>
      </w:r>
      <w:r>
        <w:rPr>
          <w:rFonts w:hint="eastAsia" w:ascii="仿宋_GB2312" w:hAnsi="宋体" w:eastAsia="仿宋_GB2312" w:cs="仿宋_GB2312"/>
          <w:color w:val="auto"/>
          <w:kern w:val="0"/>
          <w:sz w:val="21"/>
          <w:szCs w:val="21"/>
          <w:highlight w:val="none"/>
          <w:lang w:bidi="ar"/>
        </w:rPr>
        <w:t>[       ]年[   ]月[   ]日</w:t>
      </w:r>
      <w:r>
        <w:rPr>
          <w:rFonts w:hint="eastAsia" w:ascii="仿宋_GB2312" w:eastAsia="仿宋_GB2312" w:cs="仿宋_GB2312"/>
          <w:color w:val="auto"/>
          <w:sz w:val="21"/>
          <w:szCs w:val="21"/>
          <w:highlight w:val="none"/>
          <w:lang w:bidi="ar"/>
        </w:rPr>
        <w:t>起至</w:t>
      </w:r>
      <w:r>
        <w:rPr>
          <w:rFonts w:hint="eastAsia" w:ascii="仿宋_GB2312" w:hAnsi="宋体" w:eastAsia="仿宋_GB2312" w:cs="仿宋_GB2312"/>
          <w:color w:val="auto"/>
          <w:kern w:val="0"/>
          <w:sz w:val="21"/>
          <w:szCs w:val="21"/>
          <w:highlight w:val="none"/>
          <w:lang w:bidi="ar"/>
        </w:rPr>
        <w:t>[       ]年[   ]月[   ]日</w:t>
      </w:r>
      <w:r>
        <w:rPr>
          <w:rFonts w:hint="eastAsia" w:ascii="仿宋_GB2312" w:eastAsia="仿宋_GB2312" w:cs="仿宋_GB2312"/>
          <w:color w:val="auto"/>
          <w:sz w:val="21"/>
          <w:szCs w:val="21"/>
          <w:highlight w:val="none"/>
          <w:lang w:bidi="ar"/>
        </w:rPr>
        <w:t>止（不得短于投标有效期）。</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决策被授权委托人无转委托权。</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决策被授权委托人在授权期限之内从事授权范围之内的相关活动均视作</w:t>
      </w:r>
      <w:r>
        <w:rPr>
          <w:rFonts w:hint="eastAsia" w:ascii="仿宋_GB2312" w:eastAsia="仿宋_GB2312" w:cs="仿宋_GB2312"/>
          <w:color w:val="auto"/>
          <w:sz w:val="21"/>
          <w:szCs w:val="21"/>
          <w:highlight w:val="none"/>
          <w:lang w:eastAsia="zh-CN" w:bidi="ar"/>
        </w:rPr>
        <w:t>响应人</w:t>
      </w:r>
      <w:r>
        <w:rPr>
          <w:rFonts w:hint="eastAsia" w:ascii="仿宋_GB2312" w:eastAsia="仿宋_GB2312" w:cs="仿宋_GB2312"/>
          <w:color w:val="auto"/>
          <w:sz w:val="21"/>
          <w:szCs w:val="21"/>
          <w:highlight w:val="none"/>
          <w:lang w:bidi="ar"/>
        </w:rPr>
        <w:t>之行为，引起的一切法律责任与后果均由</w:t>
      </w:r>
      <w:r>
        <w:rPr>
          <w:rFonts w:hint="eastAsia" w:ascii="仿宋_GB2312" w:eastAsia="仿宋_GB2312" w:cs="仿宋_GB2312"/>
          <w:color w:val="auto"/>
          <w:sz w:val="21"/>
          <w:szCs w:val="21"/>
          <w:highlight w:val="none"/>
          <w:lang w:eastAsia="zh-CN" w:bidi="ar"/>
        </w:rPr>
        <w:t>响应人</w:t>
      </w:r>
      <w:r>
        <w:rPr>
          <w:rFonts w:hint="eastAsia" w:ascii="仿宋_GB2312" w:eastAsia="仿宋_GB2312" w:cs="仿宋_GB2312"/>
          <w:color w:val="auto"/>
          <w:sz w:val="21"/>
          <w:szCs w:val="21"/>
          <w:highlight w:val="none"/>
          <w:lang w:bidi="ar"/>
        </w:rPr>
        <w:t>承担。</w:t>
      </w:r>
    </w:p>
    <w:p>
      <w:pPr>
        <w:pStyle w:val="23"/>
        <w:widowControl w:val="0"/>
        <w:spacing w:before="0" w:beforeAutospacing="0" w:after="0" w:afterAutospacing="0" w:line="360" w:lineRule="auto"/>
        <w:ind w:firstLine="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Cs w:val="21"/>
          <w:highlight w:val="none"/>
          <w:lang w:val="en-US" w:eastAsia="zh-CN"/>
        </w:rPr>
        <w:t xml:space="preserve">    </w:t>
      </w:r>
      <w:r>
        <w:rPr>
          <w:rFonts w:hint="eastAsia" w:ascii="仿宋_GB2312" w:eastAsia="仿宋_GB2312" w:cs="仿宋_GB2312"/>
          <w:color w:val="auto"/>
          <w:sz w:val="21"/>
          <w:szCs w:val="21"/>
          <w:highlight w:val="none"/>
          <w:lang w:bidi="ar"/>
        </w:rPr>
        <w:t>特此授权。</w:t>
      </w:r>
    </w:p>
    <w:p>
      <w:pPr>
        <w:pStyle w:val="23"/>
        <w:widowControl w:val="0"/>
        <w:spacing w:before="0" w:beforeAutospacing="0" w:after="0" w:afterAutospacing="0" w:line="360" w:lineRule="auto"/>
        <w:ind w:firstLine="420"/>
        <w:rPr>
          <w:rFonts w:hint="eastAsia" w:ascii="仿宋_GB2312" w:eastAsia="仿宋_GB2312" w:cs="仿宋_GB2312"/>
          <w:color w:val="auto"/>
          <w:sz w:val="21"/>
          <w:szCs w:val="21"/>
          <w:highlight w:val="none"/>
          <w:lang w:val="en-US" w:eastAsia="zh-CN" w:bidi="ar"/>
        </w:rPr>
      </w:pPr>
    </w:p>
    <w:p>
      <w:pPr>
        <w:pStyle w:val="23"/>
        <w:widowControl w:val="0"/>
        <w:spacing w:before="0" w:beforeAutospacing="0" w:after="0" w:afterAutospacing="0" w:line="360" w:lineRule="auto"/>
        <w:ind w:firstLine="420"/>
        <w:rPr>
          <w:rFonts w:hint="eastAsia" w:ascii="仿宋_GB2312" w:eastAsia="仿宋_GB2312" w:cs="仿宋_GB2312"/>
          <w:color w:val="auto"/>
          <w:sz w:val="21"/>
          <w:szCs w:val="21"/>
          <w:highlight w:val="none"/>
          <w:lang w:val="en-US" w:eastAsia="zh-CN" w:bidi="ar"/>
        </w:rPr>
      </w:pPr>
    </w:p>
    <w:p>
      <w:pPr>
        <w:pStyle w:val="23"/>
        <w:widowControl w:val="0"/>
        <w:spacing w:before="0" w:beforeAutospacing="0" w:after="0" w:afterAutospacing="0" w:line="360" w:lineRule="auto"/>
        <w:ind w:firstLine="42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val="en-US" w:eastAsia="zh-CN" w:bidi="ar"/>
        </w:rPr>
        <w:t>日期：</w:t>
      </w:r>
      <w:r>
        <w:rPr>
          <w:rFonts w:hint="eastAsia" w:ascii="仿宋_GB2312" w:eastAsia="仿宋_GB2312" w:cs="仿宋_GB2312"/>
          <w:color w:val="auto"/>
          <w:sz w:val="21"/>
          <w:szCs w:val="21"/>
          <w:highlight w:val="none"/>
          <w:lang w:bidi="ar"/>
        </w:rPr>
        <w:t xml:space="preserve"> </w:t>
      </w:r>
    </w:p>
    <w:p>
      <w:pPr>
        <w:pStyle w:val="23"/>
        <w:widowControl w:val="0"/>
        <w:spacing w:before="0" w:beforeAutospacing="0" w:after="0" w:afterAutospacing="0"/>
        <w:rPr>
          <w:rFonts w:hint="eastAsia" w:ascii="仿宋_GB2312" w:hAnsi="仿宋" w:eastAsia="仿宋_GB2312" w:cs="仿宋_GB2312"/>
          <w:color w:val="auto"/>
          <w:szCs w:val="21"/>
          <w:highlight w:val="none"/>
        </w:rPr>
      </w:pPr>
    </w:p>
    <w:p>
      <w:pPr>
        <w:pStyle w:val="23"/>
        <w:widowControl w:val="0"/>
        <w:spacing w:before="0" w:beforeAutospacing="0" w:after="0" w:afterAutospacing="0"/>
        <w:rPr>
          <w:rFonts w:hint="eastAsia" w:ascii="仿宋_GB2312" w:hAnsi="仿宋" w:eastAsia="仿宋_GB2312" w:cs="仿宋_GB2312"/>
          <w:color w:val="auto"/>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tbl>
      <w:tblPr>
        <w:tblStyle w:val="27"/>
        <w:tblW w:w="8310" w:type="dxa"/>
        <w:jc w:val="center"/>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310"/>
      </w:tblGrid>
      <w:tr>
        <w:tblPrEx>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CellMar>
            <w:top w:w="0" w:type="dxa"/>
            <w:left w:w="108" w:type="dxa"/>
            <w:bottom w:w="0" w:type="dxa"/>
            <w:right w:w="108" w:type="dxa"/>
          </w:tblCellMar>
        </w:tblPrEx>
        <w:trPr>
          <w:trHeight w:val="4356" w:hRule="atLeast"/>
          <w:jc w:val="center"/>
        </w:trPr>
        <w:tc>
          <w:tcPr>
            <w:tcW w:w="8310" w:type="dxa"/>
            <w:tcBorders>
              <w:top w:val="dashed" w:color="auto" w:sz="4" w:space="0"/>
              <w:left w:val="dashed" w:color="auto" w:sz="4" w:space="0"/>
              <w:bottom w:val="dashed" w:color="auto" w:sz="4" w:space="0"/>
              <w:right w:val="dashed" w:color="auto" w:sz="4" w:space="0"/>
            </w:tcBorders>
            <w:vAlign w:val="center"/>
          </w:tcPr>
          <w:p>
            <w:pPr>
              <w:pStyle w:val="23"/>
              <w:widowControl w:val="0"/>
              <w:spacing w:before="0" w:beforeAutospacing="0" w:after="0" w:afterAutospacing="0"/>
              <w:jc w:val="center"/>
              <w:rPr>
                <w:rFonts w:hint="eastAsia" w:ascii="仿宋_GB2312" w:hAnsi="仿宋" w:eastAsia="仿宋_GB2312" w:cs="仿宋_GB2312"/>
                <w:color w:val="auto"/>
                <w:szCs w:val="21"/>
                <w:highlight w:val="none"/>
              </w:rPr>
            </w:pPr>
            <w:r>
              <w:rPr>
                <w:rFonts w:hint="eastAsia" w:ascii="仿宋_GB2312" w:hAnsi="仿宋" w:eastAsia="仿宋_GB2312" w:cs="仿宋_GB2312"/>
                <w:color w:val="auto"/>
                <w:sz w:val="21"/>
                <w:szCs w:val="21"/>
                <w:highlight w:val="none"/>
                <w:lang w:bidi="ar"/>
              </w:rPr>
              <w:t>粘贴</w:t>
            </w:r>
            <w:r>
              <w:rPr>
                <w:rFonts w:hint="eastAsia" w:ascii="仿宋_GB2312" w:eastAsia="仿宋_GB2312" w:cs="仿宋_GB2312"/>
                <w:color w:val="auto"/>
                <w:sz w:val="21"/>
                <w:szCs w:val="21"/>
                <w:highlight w:val="none"/>
                <w:lang w:bidi="ar"/>
              </w:rPr>
              <w:t>决策</w:t>
            </w:r>
            <w:r>
              <w:rPr>
                <w:rFonts w:hint="eastAsia" w:ascii="仿宋_GB2312" w:hAnsi="仿宋" w:eastAsia="仿宋_GB2312" w:cs="仿宋_GB2312"/>
                <w:color w:val="auto"/>
                <w:sz w:val="21"/>
                <w:szCs w:val="21"/>
                <w:highlight w:val="none"/>
                <w:lang w:bidi="ar"/>
              </w:rPr>
              <w:t>被授权委托人身份证（或港澳居民往来内地通行证）正反两面复印件或护照身份信息页复印件</w:t>
            </w:r>
          </w:p>
        </w:tc>
      </w:tr>
    </w:tbl>
    <w:p>
      <w:pPr>
        <w:pStyle w:val="23"/>
        <w:widowControl w:val="0"/>
        <w:spacing w:before="0" w:beforeAutospacing="0" w:after="0" w:afterAutospacing="0"/>
        <w:rPr>
          <w:rFonts w:hint="eastAsia" w:ascii="仿宋" w:hAnsi="仿宋" w:eastAsia="仿宋" w:cs="仿宋"/>
          <w:color w:val="auto"/>
          <w:highlight w:val="none"/>
        </w:rPr>
      </w:pPr>
    </w:p>
    <w:p>
      <w:pPr>
        <w:autoSpaceDE w:val="0"/>
        <w:autoSpaceDN w:val="0"/>
        <w:adjustRightInd w:val="0"/>
        <w:snapToGrid w:val="0"/>
        <w:spacing w:line="480" w:lineRule="auto"/>
        <w:ind w:firstLine="420" w:firstLineChars="200"/>
        <w:jc w:val="left"/>
        <w:rPr>
          <w:rFonts w:hint="eastAsia" w:ascii="仿宋_GB2312" w:hAnsi="Times New Roman" w:eastAsia="仿宋_GB2312" w:cs="仿宋_GB2312"/>
          <w:color w:val="auto"/>
          <w:kern w:val="0"/>
          <w:szCs w:val="21"/>
          <w:highlight w:val="none"/>
        </w:rPr>
      </w:pPr>
      <w:r>
        <w:rPr>
          <w:rFonts w:hint="eastAsia" w:ascii="仿宋_GB2312" w:hAnsi="Times New Roman" w:eastAsia="仿宋_GB2312" w:cs="仿宋_GB2312"/>
          <w:color w:val="auto"/>
          <w:kern w:val="0"/>
          <w:szCs w:val="21"/>
          <w:highlight w:val="none"/>
          <w:lang w:bidi="ar"/>
        </w:rPr>
        <w:t>备注：仅港澳企业提供。</w:t>
      </w:r>
    </w:p>
    <w:p>
      <w:pPr>
        <w:spacing w:line="480" w:lineRule="auto"/>
        <w:rPr>
          <w:rFonts w:hint="eastAsia" w:ascii="仿宋_GB2312" w:hAnsi="Times New Roman" w:eastAsia="仿宋_GB2312"/>
          <w:color w:val="auto"/>
          <w:szCs w:val="21"/>
          <w:highlight w:val="none"/>
          <w:lang w:bidi="ar"/>
        </w:rPr>
        <w:sectPr>
          <w:footerReference r:id="rId3" w:type="default"/>
          <w:pgSz w:w="11906" w:h="16838"/>
          <w:pgMar w:top="1440" w:right="1797" w:bottom="1440" w:left="1797" w:header="851" w:footer="850" w:gutter="0"/>
          <w:pgBorders>
            <w:top w:val="none" w:sz="0" w:space="0"/>
            <w:left w:val="none" w:sz="0" w:space="0"/>
            <w:bottom w:val="none" w:sz="0" w:space="0"/>
            <w:right w:val="none" w:sz="0" w:space="0"/>
          </w:pgBorders>
          <w:cols w:space="720" w:num="1"/>
          <w:docGrid w:linePitch="290" w:charSpace="0"/>
        </w:sectPr>
      </w:pPr>
    </w:p>
    <w:p>
      <w:pPr>
        <w:tabs>
          <w:tab w:val="left" w:pos="720"/>
        </w:tabs>
        <w:autoSpaceDE/>
        <w:autoSpaceDN/>
        <w:adjustRightInd w:val="0"/>
        <w:snapToGrid w:val="0"/>
        <w:spacing w:beforeLines="50" w:afterLines="50"/>
        <w:jc w:val="center"/>
        <w:rPr>
          <w:rFonts w:hint="eastAsia" w:ascii="仿宋_GB2312" w:hAnsi="仿宋_GB2312" w:eastAsia="仿宋_GB2312" w:cs="仿宋_GB2312"/>
          <w:color w:val="auto"/>
          <w:kern w:val="0"/>
          <w:sz w:val="44"/>
          <w:szCs w:val="44"/>
          <w:highlight w:val="none"/>
          <w:lang w:bidi="ar"/>
        </w:rPr>
      </w:pPr>
      <w:r>
        <w:rPr>
          <w:rFonts w:hint="eastAsia" w:ascii="仿宋_GB2312" w:hAnsi="仿宋_GB2312" w:eastAsia="仿宋_GB2312" w:cs="仿宋_GB2312"/>
          <w:color w:val="auto"/>
          <w:kern w:val="0"/>
          <w:sz w:val="44"/>
          <w:szCs w:val="44"/>
          <w:highlight w:val="none"/>
          <w:lang w:bidi="ar"/>
        </w:rPr>
        <w:t>港澳企业投标授权书</w:t>
      </w:r>
    </w:p>
    <w:p>
      <w:pPr>
        <w:autoSpaceDE w:val="0"/>
        <w:autoSpaceDN w:val="0"/>
        <w:adjustRightInd w:val="0"/>
        <w:jc w:val="center"/>
        <w:rPr>
          <w:rFonts w:hint="eastAsia" w:ascii="仿宋_GB2312" w:eastAsia="仿宋_GB2312" w:cs="黑体"/>
          <w:color w:val="auto"/>
          <w:kern w:val="0"/>
          <w:sz w:val="44"/>
          <w:szCs w:val="44"/>
          <w:highlight w:val="none"/>
        </w:rPr>
      </w:pP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 w:val="21"/>
          <w:szCs w:val="21"/>
          <w:highlight w:val="none"/>
          <w:lang w:bidi="ar"/>
        </w:rPr>
        <w:t>（公司名称）现授权 （投标被授权委托人姓名）为代表，负责（项目名称）的投标活动，处理与之相关的事务，包括：获取招标投标相关文件、材料，提出相关问题，参加相关会议，签署、递交、撤回、修改、澄清、说明、补正</w:t>
      </w:r>
      <w:r>
        <w:rPr>
          <w:rFonts w:hint="eastAsia" w:ascii="仿宋_GB2312" w:eastAsia="仿宋_GB2312" w:cs="仿宋_GB2312"/>
          <w:color w:val="auto"/>
          <w:sz w:val="21"/>
          <w:szCs w:val="21"/>
          <w:highlight w:val="none"/>
          <w:lang w:val="en-US" w:eastAsia="zh-CN" w:bidi="ar"/>
        </w:rPr>
        <w:t>响应</w:t>
      </w:r>
      <w:r>
        <w:rPr>
          <w:rFonts w:hint="eastAsia" w:ascii="仿宋_GB2312" w:eastAsia="仿宋_GB2312" w:cs="仿宋_GB2312"/>
          <w:color w:val="auto"/>
          <w:sz w:val="21"/>
          <w:szCs w:val="21"/>
          <w:highlight w:val="none"/>
          <w:lang w:bidi="ar"/>
        </w:rPr>
        <w:t>文件</w:t>
      </w:r>
      <w:r>
        <w:rPr>
          <w:rFonts w:hint="eastAsia" w:ascii="仿宋_GB2312" w:eastAsia="仿宋_GB2312" w:cs="仿宋_GB2312"/>
          <w:color w:val="auto"/>
          <w:sz w:val="21"/>
          <w:szCs w:val="21"/>
          <w:highlight w:val="none"/>
          <w:lang w:eastAsia="zh-CN" w:bidi="ar"/>
        </w:rPr>
        <w:t>、</w:t>
      </w:r>
      <w:r>
        <w:rPr>
          <w:rFonts w:hint="eastAsia" w:ascii="仿宋_GB2312" w:eastAsia="仿宋_GB2312" w:cs="仿宋_GB2312"/>
          <w:color w:val="auto"/>
          <w:sz w:val="21"/>
          <w:szCs w:val="21"/>
          <w:highlight w:val="none"/>
          <w:lang w:bidi="ar"/>
        </w:rPr>
        <w:t>递交</w:t>
      </w:r>
      <w:r>
        <w:rPr>
          <w:rFonts w:hint="eastAsia" w:ascii="仿宋_GB2312" w:eastAsia="仿宋_GB2312" w:cs="仿宋_GB2312"/>
          <w:color w:val="auto"/>
          <w:kern w:val="0"/>
          <w:sz w:val="21"/>
          <w:szCs w:val="21"/>
          <w:highlight w:val="none"/>
          <w:lang w:bidi="ar"/>
        </w:rPr>
        <w:t>纸质保函</w:t>
      </w:r>
      <w:r>
        <w:rPr>
          <w:rFonts w:hint="eastAsia" w:ascii="仿宋_GB2312" w:eastAsia="仿宋_GB2312" w:cs="仿宋_GB2312"/>
          <w:color w:val="auto"/>
          <w:sz w:val="21"/>
          <w:szCs w:val="21"/>
          <w:highlight w:val="none"/>
          <w:lang w:bidi="ar"/>
        </w:rPr>
        <w:t>/保单。</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授权委托期限自</w:t>
      </w:r>
      <w:r>
        <w:rPr>
          <w:rFonts w:hint="eastAsia" w:ascii="仿宋_GB2312" w:hAnsi="宋体" w:eastAsia="仿宋_GB2312" w:cs="仿宋_GB2312"/>
          <w:color w:val="auto"/>
          <w:kern w:val="0"/>
          <w:sz w:val="21"/>
          <w:szCs w:val="21"/>
          <w:highlight w:val="none"/>
          <w:lang w:bidi="ar"/>
        </w:rPr>
        <w:t xml:space="preserve">[     </w:t>
      </w:r>
      <w:r>
        <w:rPr>
          <w:rFonts w:hint="eastAsia" w:ascii="仿宋_GB2312" w:hAnsi="仿宋" w:eastAsia="仿宋_GB2312" w:cs="仿宋_GB2312"/>
          <w:color w:val="auto"/>
          <w:kern w:val="2"/>
          <w:sz w:val="21"/>
          <w:szCs w:val="21"/>
          <w:highlight w:val="none"/>
          <w:lang w:bidi="ar"/>
        </w:rPr>
        <w:t xml:space="preserve">  ]年[   ]月[   ]日</w:t>
      </w:r>
      <w:r>
        <w:rPr>
          <w:rFonts w:hint="eastAsia" w:ascii="仿宋_GB2312" w:eastAsia="仿宋_GB2312" w:cs="仿宋_GB2312"/>
          <w:color w:val="auto"/>
          <w:sz w:val="21"/>
          <w:szCs w:val="21"/>
          <w:highlight w:val="none"/>
          <w:lang w:bidi="ar"/>
        </w:rPr>
        <w:t>起至</w:t>
      </w:r>
      <w:r>
        <w:rPr>
          <w:rFonts w:hint="eastAsia" w:ascii="仿宋_GB2312" w:hAnsi="仿宋" w:eastAsia="仿宋_GB2312" w:cs="仿宋_GB2312"/>
          <w:color w:val="auto"/>
          <w:kern w:val="2"/>
          <w:sz w:val="21"/>
          <w:szCs w:val="21"/>
          <w:highlight w:val="none"/>
          <w:lang w:bidi="ar"/>
        </w:rPr>
        <w:t>[       ]年[   ]月[   ]日</w:t>
      </w:r>
      <w:r>
        <w:rPr>
          <w:rFonts w:hint="eastAsia" w:ascii="仿宋_GB2312" w:eastAsia="仿宋_GB2312" w:cs="仿宋_GB2312"/>
          <w:color w:val="auto"/>
          <w:sz w:val="21"/>
          <w:szCs w:val="21"/>
          <w:highlight w:val="none"/>
          <w:lang w:bidi="ar"/>
        </w:rPr>
        <w:t>止（不得短于投标有效期）。</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投标被授权委托人无转委托权。</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bidi="ar"/>
        </w:rPr>
        <w:t>投标被授权委托人在授权期限之内从事授权范围之内的相关活动均视作</w:t>
      </w:r>
      <w:r>
        <w:rPr>
          <w:rFonts w:hint="eastAsia" w:ascii="仿宋_GB2312" w:eastAsia="仿宋_GB2312" w:cs="仿宋_GB2312"/>
          <w:color w:val="auto"/>
          <w:sz w:val="21"/>
          <w:szCs w:val="21"/>
          <w:highlight w:val="none"/>
          <w:lang w:eastAsia="zh-CN" w:bidi="ar"/>
        </w:rPr>
        <w:t>响应人</w:t>
      </w:r>
      <w:r>
        <w:rPr>
          <w:rFonts w:hint="eastAsia" w:ascii="仿宋_GB2312" w:eastAsia="仿宋_GB2312" w:cs="仿宋_GB2312"/>
          <w:color w:val="auto"/>
          <w:sz w:val="21"/>
          <w:szCs w:val="21"/>
          <w:highlight w:val="none"/>
          <w:lang w:bidi="ar"/>
        </w:rPr>
        <w:t>之行为，引起的一切法律责任与后果均由</w:t>
      </w:r>
      <w:r>
        <w:rPr>
          <w:rFonts w:hint="eastAsia" w:ascii="仿宋_GB2312" w:eastAsia="仿宋_GB2312" w:cs="仿宋_GB2312"/>
          <w:color w:val="auto"/>
          <w:sz w:val="21"/>
          <w:szCs w:val="21"/>
          <w:highlight w:val="none"/>
          <w:lang w:eastAsia="zh-CN" w:bidi="ar"/>
        </w:rPr>
        <w:t>响应人</w:t>
      </w:r>
      <w:r>
        <w:rPr>
          <w:rFonts w:hint="eastAsia" w:ascii="仿宋_GB2312" w:eastAsia="仿宋_GB2312" w:cs="仿宋_GB2312"/>
          <w:color w:val="auto"/>
          <w:sz w:val="21"/>
          <w:szCs w:val="21"/>
          <w:highlight w:val="none"/>
          <w:lang w:bidi="ar"/>
        </w:rPr>
        <w:t>承担。</w:t>
      </w:r>
    </w:p>
    <w:p>
      <w:pPr>
        <w:pStyle w:val="23"/>
        <w:widowControl w:val="0"/>
        <w:spacing w:before="0" w:beforeAutospacing="0" w:after="0" w:afterAutospacing="0" w:line="360" w:lineRule="auto"/>
        <w:rPr>
          <w:rFonts w:hint="eastAsia" w:ascii="仿宋_GB2312" w:eastAsia="仿宋_GB2312" w:cs="仿宋_GB2312"/>
          <w:color w:val="auto"/>
          <w:sz w:val="21"/>
          <w:szCs w:val="21"/>
          <w:highlight w:val="none"/>
          <w:lang w:bidi="ar"/>
        </w:rPr>
      </w:pPr>
      <w:r>
        <w:rPr>
          <w:rFonts w:hint="eastAsia" w:ascii="仿宋_GB2312" w:eastAsia="仿宋_GB2312" w:cs="仿宋_GB2312"/>
          <w:color w:val="auto"/>
          <w:szCs w:val="21"/>
          <w:highlight w:val="none"/>
          <w:lang w:val="en-US" w:eastAsia="zh-CN"/>
        </w:rPr>
        <w:t xml:space="preserve">    </w:t>
      </w:r>
      <w:r>
        <w:rPr>
          <w:rFonts w:hint="eastAsia" w:ascii="仿宋_GB2312" w:eastAsia="仿宋_GB2312" w:cs="仿宋_GB2312"/>
          <w:color w:val="auto"/>
          <w:sz w:val="21"/>
          <w:szCs w:val="21"/>
          <w:highlight w:val="none"/>
          <w:lang w:bidi="ar"/>
        </w:rPr>
        <w:t>特此授权。</w:t>
      </w: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 w:val="21"/>
          <w:szCs w:val="21"/>
          <w:highlight w:val="none"/>
          <w:lang w:val="en-US" w:eastAsia="zh-CN" w:bidi="ar"/>
        </w:rPr>
      </w:pPr>
    </w:p>
    <w:p>
      <w:pPr>
        <w:pStyle w:val="23"/>
        <w:widowControl w:val="0"/>
        <w:spacing w:before="0" w:beforeAutospacing="0" w:after="0" w:afterAutospacing="0" w:line="360" w:lineRule="auto"/>
        <w:ind w:firstLine="420" w:firstLineChars="200"/>
        <w:rPr>
          <w:rFonts w:hint="eastAsia" w:ascii="仿宋_GB2312" w:eastAsia="仿宋_GB2312" w:cs="仿宋_GB2312"/>
          <w:color w:val="auto"/>
          <w:szCs w:val="21"/>
          <w:highlight w:val="none"/>
        </w:rPr>
      </w:pPr>
      <w:r>
        <w:rPr>
          <w:rFonts w:hint="eastAsia" w:ascii="仿宋_GB2312" w:eastAsia="仿宋_GB2312" w:cs="仿宋_GB2312"/>
          <w:color w:val="auto"/>
          <w:sz w:val="21"/>
          <w:szCs w:val="21"/>
          <w:highlight w:val="none"/>
          <w:lang w:val="en-US" w:eastAsia="zh-CN" w:bidi="ar"/>
        </w:rPr>
        <w:t>日期：</w:t>
      </w:r>
      <w:r>
        <w:rPr>
          <w:rFonts w:hint="eastAsia" w:ascii="仿宋_GB2312" w:eastAsia="仿宋_GB2312" w:cs="仿宋_GB2312"/>
          <w:color w:val="auto"/>
          <w:sz w:val="21"/>
          <w:szCs w:val="21"/>
          <w:highlight w:val="none"/>
          <w:lang w:bidi="ar"/>
        </w:rPr>
        <w:t xml:space="preserve"> </w:t>
      </w:r>
    </w:p>
    <w:p>
      <w:pPr>
        <w:pStyle w:val="23"/>
        <w:widowControl w:val="0"/>
        <w:spacing w:before="0" w:beforeAutospacing="0" w:after="0" w:afterAutospacing="0" w:line="360" w:lineRule="auto"/>
        <w:rPr>
          <w:rFonts w:hint="eastAsia" w:ascii="仿宋_GB2312" w:eastAsia="仿宋_GB2312" w:cs="仿宋_GB2312"/>
          <w:color w:val="auto"/>
          <w:szCs w:val="21"/>
          <w:highlight w:val="none"/>
        </w:rPr>
      </w:pPr>
    </w:p>
    <w:p>
      <w:pPr>
        <w:pStyle w:val="23"/>
        <w:widowControl w:val="0"/>
        <w:spacing w:before="0" w:beforeAutospacing="0" w:after="0" w:afterAutospacing="0"/>
        <w:rPr>
          <w:rFonts w:hint="eastAsia" w:ascii="仿宋_GB2312" w:hAnsi="仿宋" w:eastAsia="仿宋_GB2312" w:cs="仿宋_GB2312"/>
          <w:color w:val="auto"/>
          <w:szCs w:val="21"/>
          <w:highlight w:val="none"/>
        </w:rPr>
      </w:pPr>
    </w:p>
    <w:p>
      <w:pPr>
        <w:pStyle w:val="23"/>
        <w:widowControl w:val="0"/>
        <w:spacing w:before="0" w:beforeAutospacing="0" w:after="0" w:afterAutospacing="0"/>
        <w:rPr>
          <w:rFonts w:hint="eastAsia" w:ascii="仿宋_GB2312" w:hAnsi="仿宋" w:eastAsia="仿宋_GB2312" w:cs="仿宋_GB2312"/>
          <w:color w:val="auto"/>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p>
      <w:pPr>
        <w:autoSpaceDE w:val="0"/>
        <w:autoSpaceDN w:val="0"/>
        <w:adjustRightInd w:val="0"/>
        <w:jc w:val="left"/>
        <w:rPr>
          <w:rFonts w:hint="eastAsia" w:ascii="仿宋_GB2312" w:hAnsi="宋体" w:eastAsia="仿宋_GB2312" w:cs="仿宋_GB2312"/>
          <w:color w:val="auto"/>
          <w:kern w:val="0"/>
          <w:szCs w:val="21"/>
          <w:highlight w:val="none"/>
        </w:rPr>
      </w:pPr>
    </w:p>
    <w:tbl>
      <w:tblPr>
        <w:tblStyle w:val="27"/>
        <w:tblW w:w="8310" w:type="dxa"/>
        <w:jc w:val="center"/>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310"/>
      </w:tblGrid>
      <w:tr>
        <w:tblPrEx>
          <w:tblBorders>
            <w:top w:val="dashed" w:color="auto" w:sz="4" w:space="0"/>
            <w:left w:val="dashed" w:color="auto" w:sz="4" w:space="0"/>
            <w:bottom w:val="dashed" w:color="auto" w:sz="4" w:space="0"/>
            <w:right w:val="dashed" w:color="auto" w:sz="4" w:space="0"/>
            <w:insideH w:val="outset" w:color="auto" w:sz="6" w:space="0"/>
            <w:insideV w:val="outset" w:color="auto" w:sz="6" w:space="0"/>
          </w:tblBorders>
          <w:tblCellMar>
            <w:top w:w="0" w:type="dxa"/>
            <w:left w:w="108" w:type="dxa"/>
            <w:bottom w:w="0" w:type="dxa"/>
            <w:right w:w="108" w:type="dxa"/>
          </w:tblCellMar>
        </w:tblPrEx>
        <w:trPr>
          <w:trHeight w:val="4356" w:hRule="atLeast"/>
          <w:jc w:val="center"/>
        </w:trPr>
        <w:tc>
          <w:tcPr>
            <w:tcW w:w="8310" w:type="dxa"/>
            <w:tcBorders>
              <w:top w:val="dashed" w:color="auto" w:sz="4" w:space="0"/>
              <w:left w:val="dashed" w:color="auto" w:sz="4" w:space="0"/>
              <w:bottom w:val="dashed" w:color="auto" w:sz="4" w:space="0"/>
              <w:right w:val="dashed" w:color="auto" w:sz="4" w:space="0"/>
            </w:tcBorders>
            <w:vAlign w:val="center"/>
          </w:tcPr>
          <w:p>
            <w:pPr>
              <w:pStyle w:val="23"/>
              <w:widowControl w:val="0"/>
              <w:spacing w:before="0" w:beforeAutospacing="0" w:after="0" w:afterAutospacing="0"/>
              <w:jc w:val="center"/>
              <w:rPr>
                <w:rFonts w:hint="eastAsia" w:ascii="仿宋_GB2312" w:hAnsi="仿宋" w:eastAsia="仿宋_GB2312" w:cs="仿宋_GB2312"/>
                <w:color w:val="auto"/>
                <w:szCs w:val="21"/>
                <w:highlight w:val="none"/>
              </w:rPr>
            </w:pPr>
            <w:r>
              <w:rPr>
                <w:rFonts w:hint="eastAsia" w:ascii="仿宋_GB2312" w:hAnsi="仿宋" w:eastAsia="仿宋_GB2312" w:cs="仿宋_GB2312"/>
                <w:color w:val="auto"/>
                <w:sz w:val="21"/>
                <w:szCs w:val="21"/>
                <w:highlight w:val="none"/>
                <w:lang w:bidi="ar"/>
              </w:rPr>
              <w:t>粘贴</w:t>
            </w:r>
            <w:r>
              <w:rPr>
                <w:rFonts w:hint="eastAsia" w:ascii="仿宋_GB2312" w:eastAsia="仿宋_GB2312" w:cs="仿宋_GB2312"/>
                <w:color w:val="auto"/>
                <w:sz w:val="21"/>
                <w:szCs w:val="21"/>
                <w:highlight w:val="none"/>
                <w:lang w:bidi="ar"/>
              </w:rPr>
              <w:t>投标</w:t>
            </w:r>
            <w:r>
              <w:rPr>
                <w:rFonts w:hint="eastAsia" w:ascii="仿宋_GB2312" w:hAnsi="仿宋" w:eastAsia="仿宋_GB2312" w:cs="仿宋_GB2312"/>
                <w:color w:val="auto"/>
                <w:sz w:val="21"/>
                <w:szCs w:val="21"/>
                <w:highlight w:val="none"/>
                <w:lang w:bidi="ar"/>
              </w:rPr>
              <w:t>被授权委托人身份证（或港澳居民往来内地通行证）正反两面复印件或护照身份信息页复印件</w:t>
            </w:r>
          </w:p>
        </w:tc>
      </w:tr>
    </w:tbl>
    <w:p>
      <w:pPr>
        <w:pStyle w:val="23"/>
        <w:widowControl w:val="0"/>
        <w:spacing w:before="0" w:beforeAutospacing="0" w:after="0" w:afterAutospacing="0"/>
        <w:rPr>
          <w:rFonts w:hint="eastAsia" w:ascii="仿宋" w:hAnsi="仿宋" w:eastAsia="仿宋" w:cs="仿宋"/>
          <w:color w:val="auto"/>
          <w:highlight w:val="none"/>
        </w:rPr>
      </w:pPr>
    </w:p>
    <w:p>
      <w:pPr>
        <w:pStyle w:val="2"/>
        <w:rPr>
          <w:rFonts w:hint="eastAsia"/>
          <w:color w:val="auto"/>
          <w:sz w:val="32"/>
          <w:szCs w:val="32"/>
          <w:highlight w:val="none"/>
          <w:lang w:val="en-US" w:eastAsia="zh-CN"/>
        </w:rPr>
      </w:pPr>
      <w:r>
        <w:rPr>
          <w:rFonts w:hint="eastAsia" w:ascii="仿宋_GB2312" w:hAnsi="Times New Roman" w:eastAsia="仿宋_GB2312" w:cs="仿宋_GB2312"/>
          <w:color w:val="auto"/>
          <w:kern w:val="0"/>
          <w:szCs w:val="21"/>
          <w:highlight w:val="none"/>
          <w:lang w:bidi="ar"/>
        </w:rPr>
        <w:t>备注：仅港澳企业提供。</w:t>
      </w:r>
      <w:r>
        <w:rPr>
          <w:rFonts w:hint="eastAsia" w:ascii="黑体" w:eastAsia="黑体"/>
          <w:color w:val="auto"/>
          <w:sz w:val="32"/>
          <w:szCs w:val="32"/>
          <w:highlight w:val="none"/>
          <w:lang w:val="zh-CN"/>
        </w:rPr>
        <w:br w:type="page"/>
      </w:r>
    </w:p>
    <w:p>
      <w:pPr>
        <w:rPr>
          <w:rFonts w:hint="default" w:eastAsia="宋体"/>
          <w:color w:val="auto"/>
          <w:sz w:val="32"/>
          <w:szCs w:val="32"/>
          <w:highlight w:val="none"/>
          <w:lang w:val="en-US" w:eastAsia="zh-CN"/>
        </w:rPr>
      </w:pPr>
      <w:r>
        <w:rPr>
          <w:rFonts w:hint="eastAsia"/>
          <w:color w:val="auto"/>
          <w:sz w:val="32"/>
          <w:szCs w:val="32"/>
          <w:highlight w:val="none"/>
          <w:lang w:val="en-US" w:eastAsia="zh-CN"/>
        </w:rPr>
        <w:t>1.4</w:t>
      </w:r>
      <w:r>
        <w:rPr>
          <w:rFonts w:hint="eastAsia" w:ascii="仿宋_GB2312" w:hAnsi="仿宋_GB2312" w:eastAsia="仿宋_GB2312" w:cs="仿宋_GB2312"/>
          <w:b/>
          <w:color w:val="auto"/>
          <w:kern w:val="2"/>
          <w:sz w:val="32"/>
          <w:szCs w:val="32"/>
          <w:highlight w:val="none"/>
          <w:lang w:val="en-US" w:eastAsia="zh-CN" w:bidi="ar-SA"/>
        </w:rPr>
        <w:t>资格条件承诺函</w:t>
      </w:r>
    </w:p>
    <w:p>
      <w:pPr>
        <w:jc w:val="center"/>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资格条件承诺函</w:t>
      </w:r>
    </w:p>
    <w:p>
      <w:pPr>
        <w:rPr>
          <w:rFonts w:hint="eastAsia" w:ascii="仿宋_GB2312" w:hAnsi="仿宋_GB2312" w:eastAsia="仿宋_GB2312" w:cs="仿宋_GB2312"/>
          <w:color w:val="auto"/>
          <w:sz w:val="32"/>
          <w:szCs w:val="32"/>
          <w:highlight w:val="none"/>
        </w:rPr>
      </w:pP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我方：</w:t>
      </w: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1</w:t>
      </w:r>
      <w:r>
        <w:rPr>
          <w:rFonts w:hint="eastAsia" w:ascii="仿宋_GB2312" w:hAnsi="仿宋_GB2312" w:eastAsia="仿宋_GB2312" w:cs="仿宋_GB2312"/>
          <w:color w:val="auto"/>
          <w:spacing w:val="20"/>
          <w:sz w:val="28"/>
          <w:szCs w:val="28"/>
          <w:highlight w:val="none"/>
          <w:lang w:eastAsia="zh-CN"/>
        </w:rPr>
        <w:t>、</w:t>
      </w:r>
      <w:r>
        <w:rPr>
          <w:rFonts w:hint="eastAsia" w:ascii="仿宋_GB2312" w:hAnsi="仿宋_GB2312" w:eastAsia="仿宋_GB2312" w:cs="仿宋_GB2312"/>
          <w:color w:val="auto"/>
          <w:spacing w:val="20"/>
          <w:sz w:val="28"/>
          <w:szCs w:val="28"/>
          <w:highlight w:val="none"/>
        </w:rPr>
        <w:t xml:space="preserve"> 具有</w:t>
      </w:r>
      <w:r>
        <w:rPr>
          <w:rFonts w:hint="eastAsia" w:ascii="仿宋_GB2312" w:hAnsi="仿宋_GB2312" w:eastAsia="仿宋_GB2312" w:cs="仿宋_GB2312"/>
          <w:color w:val="auto"/>
          <w:spacing w:val="20"/>
          <w:sz w:val="28"/>
          <w:szCs w:val="28"/>
          <w:highlight w:val="none"/>
          <w:lang w:eastAsia="zh-CN"/>
        </w:rPr>
        <w:t>良好的商业信誉和</w:t>
      </w:r>
      <w:r>
        <w:rPr>
          <w:rFonts w:hint="eastAsia" w:ascii="仿宋_GB2312" w:hAnsi="仿宋_GB2312" w:eastAsia="仿宋_GB2312" w:cs="仿宋_GB2312"/>
          <w:color w:val="auto"/>
          <w:spacing w:val="20"/>
          <w:sz w:val="28"/>
          <w:szCs w:val="28"/>
          <w:highlight w:val="none"/>
        </w:rPr>
        <w:t>健全的财务会计制度；</w:t>
      </w:r>
    </w:p>
    <w:p>
      <w:pPr>
        <w:ind w:firstLine="640" w:firstLineChars="200"/>
        <w:rPr>
          <w:rFonts w:hint="eastAsia" w:ascii="仿宋_GB2312" w:hAnsi="仿宋_GB2312" w:eastAsia="仿宋_GB2312" w:cs="仿宋_GB2312"/>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lang w:val="en-US" w:eastAsia="zh-CN"/>
        </w:rPr>
        <w:t>2、 具有履行合同所必需的设备和专业技术能力；</w:t>
      </w:r>
    </w:p>
    <w:p>
      <w:pPr>
        <w:ind w:firstLine="640" w:firstLineChars="200"/>
        <w:rPr>
          <w:rFonts w:hint="eastAsia" w:ascii="仿宋_GB2312" w:hAnsi="仿宋_GB2312" w:eastAsia="仿宋_GB2312" w:cs="仿宋_GB2312"/>
          <w:color w:val="auto"/>
          <w:spacing w:val="20"/>
          <w:sz w:val="28"/>
          <w:szCs w:val="28"/>
          <w:highlight w:val="none"/>
          <w:lang w:eastAsia="zh-CN"/>
        </w:rPr>
      </w:pPr>
      <w:r>
        <w:rPr>
          <w:rFonts w:hint="eastAsia" w:ascii="仿宋_GB2312" w:hAnsi="仿宋_GB2312" w:eastAsia="仿宋_GB2312" w:cs="仿宋_GB2312"/>
          <w:color w:val="auto"/>
          <w:spacing w:val="20"/>
          <w:sz w:val="28"/>
          <w:szCs w:val="28"/>
          <w:highlight w:val="none"/>
          <w:lang w:val="en-US" w:eastAsia="zh-CN"/>
        </w:rPr>
        <w:t>3</w:t>
      </w:r>
      <w:r>
        <w:rPr>
          <w:rFonts w:hint="eastAsia" w:ascii="仿宋_GB2312" w:hAnsi="仿宋_GB2312" w:eastAsia="仿宋_GB2312" w:cs="仿宋_GB2312"/>
          <w:color w:val="auto"/>
          <w:spacing w:val="20"/>
          <w:sz w:val="28"/>
          <w:szCs w:val="28"/>
          <w:highlight w:val="none"/>
          <w:lang w:eastAsia="zh-CN"/>
        </w:rPr>
        <w:t>、</w:t>
      </w:r>
      <w:r>
        <w:rPr>
          <w:rFonts w:hint="eastAsia" w:ascii="仿宋_GB2312" w:hAnsi="仿宋_GB2312" w:eastAsia="仿宋_GB2312" w:cs="仿宋_GB2312"/>
          <w:color w:val="auto"/>
          <w:spacing w:val="20"/>
          <w:sz w:val="28"/>
          <w:szCs w:val="28"/>
          <w:highlight w:val="none"/>
        </w:rPr>
        <w:t xml:space="preserve"> </w:t>
      </w:r>
      <w:r>
        <w:rPr>
          <w:rFonts w:hint="eastAsia" w:ascii="仿宋_GB2312" w:hAnsi="仿宋_GB2312" w:eastAsia="仿宋_GB2312" w:cs="仿宋_GB2312"/>
          <w:color w:val="auto"/>
          <w:spacing w:val="20"/>
          <w:sz w:val="28"/>
          <w:szCs w:val="28"/>
          <w:highlight w:val="none"/>
          <w:lang w:eastAsia="zh-CN"/>
        </w:rPr>
        <w:t>具</w:t>
      </w:r>
      <w:r>
        <w:rPr>
          <w:rFonts w:hint="eastAsia" w:ascii="仿宋_GB2312" w:hAnsi="仿宋_GB2312" w:eastAsia="仿宋_GB2312" w:cs="仿宋_GB2312"/>
          <w:color w:val="auto"/>
          <w:spacing w:val="20"/>
          <w:sz w:val="28"/>
          <w:szCs w:val="28"/>
          <w:highlight w:val="none"/>
        </w:rPr>
        <w:t>有依法缴纳税收和社会保障资金的良好记录</w:t>
      </w:r>
      <w:r>
        <w:rPr>
          <w:rFonts w:hint="eastAsia" w:ascii="仿宋_GB2312" w:hAnsi="仿宋_GB2312" w:eastAsia="仿宋_GB2312" w:cs="仿宋_GB2312"/>
          <w:color w:val="auto"/>
          <w:spacing w:val="20"/>
          <w:sz w:val="28"/>
          <w:szCs w:val="28"/>
          <w:highlight w:val="none"/>
          <w:lang w:eastAsia="zh-CN"/>
        </w:rPr>
        <w:t>；</w:t>
      </w:r>
    </w:p>
    <w:p>
      <w:pPr>
        <w:ind w:firstLine="640" w:firstLineChars="200"/>
        <w:rPr>
          <w:rFonts w:hint="eastAsia" w:ascii="仿宋_GB2312" w:hAnsi="仿宋_GB2312" w:eastAsia="仿宋_GB2312" w:cs="仿宋_GB2312"/>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lang w:val="en-US" w:eastAsia="zh-CN"/>
        </w:rPr>
        <w:t>4、 参加采购活动前三年内，在经营活动中没有重大违法记录。</w:t>
      </w: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特此</w:t>
      </w:r>
      <w:r>
        <w:rPr>
          <w:rFonts w:hint="eastAsia" w:ascii="仿宋_GB2312" w:hAnsi="仿宋_GB2312" w:eastAsia="仿宋_GB2312" w:cs="仿宋_GB2312"/>
          <w:color w:val="auto"/>
          <w:spacing w:val="20"/>
          <w:sz w:val="28"/>
          <w:szCs w:val="28"/>
          <w:highlight w:val="none"/>
          <w:lang w:eastAsia="zh-CN"/>
        </w:rPr>
        <w:t>承诺</w:t>
      </w:r>
      <w:r>
        <w:rPr>
          <w:rFonts w:hint="eastAsia" w:ascii="仿宋_GB2312" w:hAnsi="仿宋_GB2312" w:eastAsia="仿宋_GB2312" w:cs="仿宋_GB2312"/>
          <w:color w:val="auto"/>
          <w:spacing w:val="20"/>
          <w:sz w:val="28"/>
          <w:szCs w:val="28"/>
          <w:highlight w:val="none"/>
        </w:rPr>
        <w:t>。</w:t>
      </w: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rPr>
        <w:t>我方对上述</w:t>
      </w:r>
      <w:r>
        <w:rPr>
          <w:rFonts w:hint="eastAsia" w:ascii="仿宋_GB2312" w:hAnsi="仿宋_GB2312" w:eastAsia="仿宋_GB2312" w:cs="仿宋_GB2312"/>
          <w:color w:val="auto"/>
          <w:spacing w:val="20"/>
          <w:sz w:val="28"/>
          <w:szCs w:val="28"/>
          <w:highlight w:val="none"/>
          <w:lang w:eastAsia="zh-CN"/>
        </w:rPr>
        <w:t>承诺</w:t>
      </w:r>
      <w:r>
        <w:rPr>
          <w:rFonts w:hint="eastAsia" w:ascii="仿宋_GB2312" w:hAnsi="仿宋_GB2312" w:eastAsia="仿宋_GB2312" w:cs="仿宋_GB2312"/>
          <w:color w:val="auto"/>
          <w:spacing w:val="20"/>
          <w:sz w:val="28"/>
          <w:szCs w:val="28"/>
          <w:highlight w:val="none"/>
        </w:rPr>
        <w:t>的真实性负责。如有虚假，将依法承担相应</w:t>
      </w:r>
      <w:r>
        <w:rPr>
          <w:rFonts w:hint="eastAsia" w:ascii="仿宋_GB2312" w:hAnsi="仿宋_GB2312" w:eastAsia="仿宋_GB2312" w:cs="仿宋_GB2312"/>
          <w:color w:val="auto"/>
          <w:spacing w:val="20"/>
          <w:sz w:val="28"/>
          <w:szCs w:val="28"/>
          <w:highlight w:val="none"/>
          <w:lang w:eastAsia="zh-CN"/>
        </w:rPr>
        <w:t>法律</w:t>
      </w:r>
      <w:r>
        <w:rPr>
          <w:rFonts w:hint="eastAsia" w:ascii="仿宋_GB2312" w:hAnsi="仿宋_GB2312" w:eastAsia="仿宋_GB2312" w:cs="仿宋_GB2312"/>
          <w:color w:val="auto"/>
          <w:spacing w:val="20"/>
          <w:sz w:val="28"/>
          <w:szCs w:val="28"/>
          <w:highlight w:val="none"/>
        </w:rPr>
        <w:t>责任。</w:t>
      </w: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rPr>
          <w:rFonts w:hint="eastAsia" w:ascii="仿宋_GB2312" w:hAnsi="仿宋_GB2312" w:eastAsia="仿宋_GB2312" w:cs="仿宋_GB2312"/>
          <w:color w:val="auto"/>
          <w:spacing w:val="20"/>
          <w:sz w:val="28"/>
          <w:szCs w:val="28"/>
          <w:highlight w:val="none"/>
        </w:rPr>
      </w:pPr>
    </w:p>
    <w:p>
      <w:pPr>
        <w:ind w:firstLine="640" w:firstLineChars="200"/>
        <w:jc w:val="right"/>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20"/>
          <w:sz w:val="28"/>
          <w:szCs w:val="28"/>
          <w:highlight w:val="none"/>
          <w:lang w:val="en-US" w:eastAsia="zh-CN"/>
        </w:rPr>
        <w:t>响应人</w:t>
      </w:r>
      <w:r>
        <w:rPr>
          <w:rFonts w:hint="eastAsia" w:ascii="仿宋_GB2312" w:hAnsi="仿宋_GB2312" w:eastAsia="仿宋_GB2312" w:cs="仿宋_GB2312"/>
          <w:color w:val="auto"/>
          <w:spacing w:val="20"/>
          <w:sz w:val="28"/>
          <w:szCs w:val="28"/>
          <w:highlight w:val="none"/>
        </w:rPr>
        <w:t>名称（公章）</w:t>
      </w:r>
    </w:p>
    <w:p>
      <w:pPr>
        <w:ind w:firstLine="640" w:firstLineChars="200"/>
        <w:jc w:val="center"/>
        <w:rPr>
          <w:rFonts w:hint="eastAsia" w:ascii="仿宋_GB2312" w:hAnsi="仿宋_GB2312" w:eastAsia="仿宋_GB2312" w:cs="仿宋_GB2312"/>
          <w:b w:val="0"/>
          <w:bCs w:val="0"/>
          <w:color w:val="auto"/>
          <w:spacing w:val="20"/>
          <w:sz w:val="28"/>
          <w:szCs w:val="28"/>
          <w:highlight w:val="none"/>
          <w:lang w:val="en-US" w:eastAsia="zh-CN"/>
        </w:rPr>
      </w:pPr>
      <w:r>
        <w:rPr>
          <w:rFonts w:hint="eastAsia" w:ascii="仿宋_GB2312" w:hAnsi="仿宋_GB2312" w:eastAsia="仿宋_GB2312" w:cs="仿宋_GB2312"/>
          <w:color w:val="auto"/>
          <w:spacing w:val="20"/>
          <w:sz w:val="28"/>
          <w:szCs w:val="28"/>
          <w:highlight w:val="none"/>
        </w:rPr>
        <w:t xml:space="preserve">                  日期：</w:t>
      </w:r>
    </w:p>
    <w:p>
      <w:pPr>
        <w:rPr>
          <w:color w:val="auto"/>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二、</w:t>
      </w:r>
      <w:r>
        <w:rPr>
          <w:rFonts w:hint="eastAsia" w:ascii="仿宋_GB2312" w:hAnsi="仿宋_GB2312" w:eastAsia="仿宋_GB2312" w:cs="仿宋_GB2312"/>
          <w:b/>
          <w:color w:val="auto"/>
          <w:sz w:val="32"/>
          <w:szCs w:val="32"/>
          <w:highlight w:val="none"/>
          <w:lang w:eastAsia="zh-CN"/>
        </w:rPr>
        <w:t>响应人</w:t>
      </w:r>
      <w:r>
        <w:rPr>
          <w:rFonts w:hint="eastAsia" w:ascii="仿宋_GB2312" w:hAnsi="仿宋_GB2312" w:eastAsia="仿宋_GB2312" w:cs="仿宋_GB2312"/>
          <w:b/>
          <w:color w:val="auto"/>
          <w:sz w:val="32"/>
          <w:szCs w:val="32"/>
          <w:highlight w:val="none"/>
        </w:rPr>
        <w:t>应提交的技术文件</w:t>
      </w:r>
    </w:p>
    <w:p>
      <w:pPr>
        <w:spacing w:line="360" w:lineRule="auto"/>
        <w:rPr>
          <w:rFonts w:hint="eastAsia" w:ascii="仿宋_GB2312" w:hAnsi="仿宋_GB2312" w:eastAsia="仿宋_GB2312" w:cs="仿宋_GB2312"/>
          <w:b/>
          <w:color w:val="auto"/>
          <w:sz w:val="32"/>
          <w:szCs w:val="32"/>
          <w:highlight w:val="none"/>
        </w:rPr>
      </w:pPr>
    </w:p>
    <w:p>
      <w:pPr>
        <w:wordWrap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pPr>
        <w:wordWrap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u w:val="single"/>
        </w:rPr>
        <w:t xml:space="preserve">                                            </w:t>
      </w:r>
    </w:p>
    <w:p>
      <w:pPr>
        <w:tabs>
          <w:tab w:val="left" w:pos="1322"/>
        </w:tabs>
        <w:ind w:left="420"/>
        <w:rPr>
          <w:rFonts w:hint="eastAsia" w:ascii="仿宋_GB2312" w:hAnsi="仿宋_GB2312" w:eastAsia="仿宋_GB2312" w:cs="仿宋_GB2312"/>
          <w:color w:val="auto"/>
          <w:sz w:val="24"/>
          <w:szCs w:val="24"/>
          <w:highlight w:val="none"/>
          <w:lang w:val="en-GB"/>
        </w:rPr>
      </w:pPr>
    </w:p>
    <w:p>
      <w:pPr>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主要内容应包括但不限于以下内容（格式自定）：</w:t>
      </w:r>
    </w:p>
    <w:p>
      <w:pPr>
        <w:spacing w:line="400" w:lineRule="exact"/>
        <w:rPr>
          <w:rFonts w:hint="eastAsia" w:ascii="仿宋_GB2312" w:hAnsi="仿宋_GB2312" w:eastAsia="仿宋_GB2312" w:cs="仿宋_GB2312"/>
          <w:color w:val="auto"/>
          <w:sz w:val="24"/>
          <w:szCs w:val="24"/>
          <w:highlight w:val="none"/>
        </w:rPr>
      </w:pPr>
    </w:p>
    <w:p>
      <w:pPr>
        <w:spacing w:line="4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2.1  对项目的理解与认识 </w:t>
      </w:r>
    </w:p>
    <w:p>
      <w:pPr>
        <w:spacing w:line="400" w:lineRule="exact"/>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  项目设计方案</w:t>
      </w:r>
    </w:p>
    <w:p>
      <w:pPr>
        <w:spacing w:line="400" w:lineRule="exact"/>
        <w:ind w:left="0" w:leftChars="0"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  质量管理及实施方案</w:t>
      </w:r>
    </w:p>
    <w:p>
      <w:pPr>
        <w:spacing w:line="400" w:lineRule="exact"/>
        <w:rPr>
          <w:rFonts w:hint="eastAsia" w:ascii="仿宋_GB2312" w:hAnsi="仿宋_GB2312" w:eastAsia="仿宋_GB2312" w:cs="仿宋_GB2312"/>
          <w:color w:val="auto"/>
          <w:sz w:val="24"/>
          <w:szCs w:val="24"/>
          <w:highlight w:val="none"/>
        </w:rPr>
      </w:pPr>
    </w:p>
    <w:p>
      <w:pPr>
        <w:spacing w:line="400" w:lineRule="exact"/>
        <w:rPr>
          <w:rFonts w:hint="eastAsia" w:ascii="仿宋_GB2312" w:hAnsi="仿宋_GB2312" w:eastAsia="仿宋_GB2312" w:cs="仿宋_GB2312"/>
          <w:color w:val="auto"/>
          <w:sz w:val="24"/>
          <w:szCs w:val="24"/>
          <w:highlight w:val="none"/>
        </w:rPr>
      </w:pPr>
    </w:p>
    <w:p>
      <w:pPr>
        <w:adjustRightInd w:val="0"/>
        <w:snapToGrid w:val="0"/>
        <w:spacing w:line="300" w:lineRule="auto"/>
        <w:rPr>
          <w:rFonts w:hint="eastAsia" w:ascii="仿宋_GB2312" w:hAnsi="仿宋_GB2312" w:eastAsia="仿宋_GB2312" w:cs="仿宋_GB2312"/>
          <w:color w:val="auto"/>
          <w:sz w:val="24"/>
          <w:szCs w:val="24"/>
          <w:highlight w:val="none"/>
        </w:rPr>
      </w:pP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名称（盖公章）:</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z w:val="24"/>
          <w:szCs w:val="24"/>
          <w:highlight w:val="none"/>
          <w:u w:val="single"/>
        </w:rPr>
        <w:t xml:space="preserve">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日</w:t>
      </w:r>
    </w:p>
    <w:p>
      <w:pPr>
        <w:jc w:val="center"/>
        <w:rPr>
          <w:rFonts w:hint="eastAsia" w:ascii="仿宋_GB2312" w:hAnsi="仿宋_GB2312" w:eastAsia="仿宋_GB2312" w:cs="仿宋_GB2312"/>
          <w:b/>
          <w:color w:val="auto"/>
          <w:sz w:val="32"/>
          <w:szCs w:val="32"/>
          <w:highlight w:val="none"/>
        </w:rPr>
      </w:pPr>
    </w:p>
    <w:p>
      <w:pPr>
        <w:jc w:val="center"/>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pStyle w:val="15"/>
        <w:rPr>
          <w:rFonts w:hint="eastAsia" w:ascii="仿宋_GB2312" w:hAnsi="仿宋_GB2312" w:eastAsia="仿宋_GB2312" w:cs="仿宋_GB2312"/>
          <w:b/>
          <w:color w:val="auto"/>
          <w:sz w:val="32"/>
          <w:szCs w:val="32"/>
          <w:highlight w:val="none"/>
        </w:rPr>
      </w:pPr>
    </w:p>
    <w:p>
      <w:pPr>
        <w:spacing w:line="240" w:lineRule="auto"/>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br w:type="page"/>
      </w:r>
    </w:p>
    <w:p>
      <w:pPr>
        <w:spacing w:line="360" w:lineRule="auto"/>
        <w:rPr>
          <w:rFonts w:hint="eastAsia" w:ascii="仿宋_GB2312" w:hAnsi="仿宋_GB2312" w:eastAsia="仿宋_GB2312" w:cs="仿宋_GB2312"/>
          <w:b/>
          <w:color w:val="auto"/>
          <w:kern w:val="2"/>
          <w:sz w:val="32"/>
          <w:szCs w:val="32"/>
          <w:highlight w:val="none"/>
          <w:lang w:val="en-US" w:eastAsia="zh-CN" w:bidi="ar-SA"/>
        </w:rPr>
      </w:pPr>
      <w:r>
        <w:rPr>
          <w:rFonts w:hint="eastAsia" w:ascii="仿宋_GB2312" w:hAnsi="仿宋_GB2312" w:eastAsia="仿宋_GB2312" w:cs="仿宋_GB2312"/>
          <w:b/>
          <w:color w:val="auto"/>
          <w:kern w:val="2"/>
          <w:sz w:val="32"/>
          <w:szCs w:val="32"/>
          <w:highlight w:val="none"/>
          <w:lang w:val="en-US" w:eastAsia="zh-CN" w:bidi="ar-SA"/>
        </w:rPr>
        <w:t>三、响应人应提交的商务文件</w:t>
      </w:r>
    </w:p>
    <w:p>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3.1</w:t>
      </w:r>
      <w:r>
        <w:rPr>
          <w:rFonts w:hint="eastAsia" w:ascii="仿宋_GB2312" w:hAnsi="仿宋_GB2312" w:eastAsia="仿宋_GB2312" w:cs="仿宋_GB2312"/>
          <w:b/>
          <w:color w:val="auto"/>
          <w:sz w:val="32"/>
          <w:szCs w:val="32"/>
          <w:highlight w:val="none"/>
          <w:lang w:eastAsia="zh-CN"/>
        </w:rPr>
        <w:t>响应人</w:t>
      </w:r>
      <w:r>
        <w:rPr>
          <w:rFonts w:hint="eastAsia" w:ascii="仿宋_GB2312" w:hAnsi="仿宋_GB2312" w:eastAsia="仿宋_GB2312" w:cs="仿宋_GB2312"/>
          <w:b/>
          <w:color w:val="auto"/>
          <w:sz w:val="32"/>
          <w:szCs w:val="32"/>
          <w:highlight w:val="none"/>
        </w:rPr>
        <w:t>基本情况表</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1.公司名称：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2.地    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3.电话号码：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传真：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4.注册资金：</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经济性质：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5.公司开户银行名称及账号：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6.营业执照注册号（统一社会信用代码）：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widowControl w:val="0"/>
        <w:tabs>
          <w:tab w:val="left" w:pos="420"/>
          <w:tab w:val="left" w:pos="481"/>
          <w:tab w:val="left" w:pos="840"/>
        </w:tabs>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7.公司简介:</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（企业规模、技术力量、财务状况、管理水平等方面进行阐述）。</w:t>
      </w:r>
    </w:p>
    <w:p>
      <w:pPr>
        <w:adjustRightInd w:val="0"/>
        <w:snapToGrid w:val="0"/>
        <w:spacing w:line="360" w:lineRule="auto"/>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我/我们声明以上所述是正确无误的，您有权进行您认为必要的所有调查。</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z w:val="24"/>
          <w:szCs w:val="24"/>
          <w:highlight w:val="none"/>
          <w:lang w:eastAsia="zh-CN"/>
        </w:rPr>
        <w:t>响应人法定代表人（或港澳企业决策被授权人）</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法定代表人授权委托</w:t>
      </w:r>
      <w:r>
        <w:rPr>
          <w:rFonts w:hint="eastAsia" w:ascii="仿宋_GB2312" w:hAnsi="仿宋_GB2312" w:eastAsia="仿宋_GB2312" w:cs="仿宋_GB2312"/>
          <w:color w:val="auto"/>
          <w:sz w:val="24"/>
          <w:szCs w:val="24"/>
          <w:highlight w:val="none"/>
          <w:lang w:val="en-US" w:eastAsia="zh-CN"/>
        </w:rPr>
        <w:t>人</w:t>
      </w:r>
      <w:r>
        <w:rPr>
          <w:rFonts w:hint="eastAsia" w:ascii="仿宋_GB2312" w:hAnsi="仿宋_GB2312" w:eastAsia="仿宋_GB2312" w:cs="仿宋_GB2312"/>
          <w:color w:val="auto"/>
          <w:sz w:val="24"/>
          <w:szCs w:val="24"/>
          <w:highlight w:val="none"/>
          <w:lang w:eastAsia="zh-CN"/>
        </w:rPr>
        <w:t>（或港澳企业投标被授权人）签字或盖章：</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spacing w:line="360" w:lineRule="auto"/>
        <w:rPr>
          <w:rFonts w:hint="eastAsia" w:ascii="仿宋_GB2312" w:hAnsi="仿宋_GB2312" w:eastAsia="仿宋_GB2312" w:cs="仿宋_GB2312"/>
          <w:b/>
          <w:color w:val="auto"/>
          <w:sz w:val="32"/>
          <w:szCs w:val="32"/>
          <w:highlight w:val="none"/>
        </w:rPr>
      </w:pPr>
    </w:p>
    <w:p>
      <w:pPr>
        <w:widowControl w:val="0"/>
        <w:jc w:val="both"/>
        <w:rPr>
          <w:rFonts w:hint="eastAsia" w:ascii="仿宋_GB2312" w:hAnsi="仿宋_GB2312" w:eastAsia="仿宋_GB2312" w:cs="仿宋_GB2312"/>
          <w:color w:val="auto"/>
          <w:spacing w:val="20"/>
          <w:kern w:val="2"/>
          <w:sz w:val="28"/>
          <w:szCs w:val="28"/>
          <w:highlight w:val="none"/>
        </w:rPr>
      </w:pPr>
      <w:r>
        <w:rPr>
          <w:rFonts w:hint="eastAsia" w:ascii="仿宋_GB2312" w:hAnsi="仿宋_GB2312" w:eastAsia="仿宋_GB2312" w:cs="仿宋_GB2312"/>
          <w:color w:val="auto"/>
          <w:spacing w:val="20"/>
          <w:kern w:val="2"/>
          <w:sz w:val="28"/>
          <w:szCs w:val="28"/>
          <w:highlight w:val="none"/>
        </w:rPr>
        <w:t>其他商务文件</w:t>
      </w:r>
    </w:p>
    <w:p>
      <w:pPr>
        <w:spacing w:line="400" w:lineRule="exact"/>
        <w:ind w:left="1125" w:hanging="945" w:hangingChars="450"/>
        <w:rPr>
          <w:rFonts w:hint="eastAsia" w:ascii="仿宋_GB2312" w:hAnsi="仿宋_GB2312" w:eastAsia="仿宋_GB2312" w:cs="仿宋_GB2312"/>
          <w:color w:val="auto"/>
          <w:sz w:val="21"/>
          <w:szCs w:val="21"/>
          <w:highlight w:val="none"/>
        </w:rPr>
      </w:pPr>
    </w:p>
    <w:p>
      <w:pPr>
        <w:widowControl/>
        <w:wordWrap w:val="0"/>
        <w:spacing w:line="360" w:lineRule="auto"/>
        <w:jc w:val="lef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rPr>
        <w:t>项目名称：</w:t>
      </w:r>
      <w:r>
        <w:rPr>
          <w:rFonts w:hint="eastAsia" w:ascii="仿宋_GB2312" w:hAnsi="仿宋_GB2312" w:eastAsia="仿宋_GB2312" w:cs="仿宋_GB2312"/>
          <w:color w:val="auto"/>
          <w:sz w:val="21"/>
          <w:szCs w:val="21"/>
          <w:highlight w:val="none"/>
          <w:u w:val="single"/>
        </w:rPr>
        <w:t xml:space="preserve">                                      </w:t>
      </w:r>
    </w:p>
    <w:p>
      <w:pPr>
        <w:widowControl/>
        <w:wordWrap w:val="0"/>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项目编号：</w:t>
      </w:r>
      <w:r>
        <w:rPr>
          <w:rFonts w:hint="eastAsia" w:ascii="仿宋_GB2312" w:hAnsi="仿宋_GB2312" w:eastAsia="仿宋_GB2312" w:cs="仿宋_GB2312"/>
          <w:color w:val="auto"/>
          <w:kern w:val="0"/>
          <w:sz w:val="21"/>
          <w:szCs w:val="21"/>
          <w:highlight w:val="none"/>
          <w:u w:val="single"/>
        </w:rPr>
        <w:t xml:space="preserve">                                      </w:t>
      </w: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p>
    <w:p>
      <w:pPr>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包括但不限于以下内容。格式自拟，根据评分细则的要求提交相应资料。</w:t>
      </w:r>
    </w:p>
    <w:p>
      <w:pPr>
        <w:autoSpaceDE w:val="0"/>
        <w:autoSpaceDN w:val="0"/>
        <w:adjustRightInd w:val="0"/>
        <w:spacing w:line="300" w:lineRule="auto"/>
        <w:ind w:right="246" w:firstLine="770" w:firstLineChars="321"/>
        <w:rPr>
          <w:rFonts w:hint="eastAsia" w:ascii="仿宋_GB2312" w:hAnsi="仿宋_GB2312" w:eastAsia="仿宋_GB2312" w:cs="仿宋_GB2312"/>
          <w:color w:val="auto"/>
          <w:sz w:val="24"/>
          <w:highlight w:val="none"/>
        </w:rPr>
      </w:pPr>
    </w:p>
    <w:p>
      <w:pPr>
        <w:pStyle w:val="2"/>
        <w:keepNext w:val="0"/>
        <w:keepLines w:val="0"/>
        <w:pageBreakBefore w:val="0"/>
        <w:numPr>
          <w:ilvl w:val="0"/>
          <w:numId w:val="0"/>
        </w:numPr>
        <w:kinsoku/>
        <w:wordWrap/>
        <w:overflowPunct/>
        <w:topLinePunct w:val="0"/>
        <w:bidi w:val="0"/>
        <w:snapToGrid/>
        <w:spacing w:line="360" w:lineRule="auto"/>
        <w:ind w:left="0" w:leftChars="0" w:firstLine="638" w:firstLineChars="266"/>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 xml:space="preserve">3.2 </w:t>
      </w:r>
      <w:r>
        <w:rPr>
          <w:rFonts w:hint="eastAsia" w:ascii="仿宋_GB2312" w:hAnsi="仿宋_GB2312" w:eastAsia="仿宋_GB2312" w:cs="仿宋_GB2312"/>
          <w:color w:val="auto"/>
          <w:sz w:val="24"/>
          <w:szCs w:val="24"/>
          <w:highlight w:val="none"/>
          <w:lang w:val="en-US" w:eastAsia="zh-CN"/>
        </w:rPr>
        <w:t>企业业绩</w:t>
      </w:r>
    </w:p>
    <w:p>
      <w:pPr>
        <w:pStyle w:val="2"/>
        <w:keepNext w:val="0"/>
        <w:keepLines w:val="0"/>
        <w:pageBreakBefore w:val="0"/>
        <w:numPr>
          <w:ilvl w:val="0"/>
          <w:numId w:val="0"/>
        </w:numPr>
        <w:kinsoku/>
        <w:wordWrap/>
        <w:overflowPunct/>
        <w:topLinePunct w:val="0"/>
        <w:bidi w:val="0"/>
        <w:snapToGrid/>
        <w:spacing w:line="360" w:lineRule="auto"/>
        <w:ind w:left="0" w:leftChars="0" w:firstLine="638" w:firstLineChars="266"/>
        <w:textAlignment w:val="auto"/>
        <w:rPr>
          <w:rStyle w:val="66"/>
          <w:rFonts w:hint="default" w:ascii="仿宋_GB2312" w:hAnsi="仿宋_GB2312" w:eastAsia="仿宋_GB2312" w:cs="仿宋_GB2312"/>
          <w:color w:val="auto"/>
          <w:spacing w:val="0"/>
          <w:kern w:val="0"/>
          <w:highlight w:val="none"/>
          <w:lang w:val="en-US" w:eastAsia="zh-CN" w:bidi="ar"/>
        </w:rPr>
      </w:pPr>
      <w:r>
        <w:rPr>
          <w:rStyle w:val="66"/>
          <w:rFonts w:hint="eastAsia" w:ascii="仿宋_GB2312" w:hAnsi="仿宋_GB2312" w:eastAsia="仿宋_GB2312" w:cs="仿宋_GB2312"/>
          <w:color w:val="auto"/>
          <w:spacing w:val="0"/>
          <w:kern w:val="0"/>
          <w:highlight w:val="none"/>
          <w:lang w:val="en-US" w:eastAsia="zh-CN" w:bidi="ar"/>
        </w:rPr>
        <w:t>3.3 项目负责人业绩</w:t>
      </w:r>
    </w:p>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widowControl w:val="0"/>
        <w:numPr>
          <w:ilvl w:val="0"/>
          <w:numId w:val="5"/>
        </w:numPr>
        <w:tabs>
          <w:tab w:val="left" w:pos="426"/>
        </w:tabs>
        <w:spacing w:line="440" w:lineRule="exact"/>
        <w:ind w:hanging="780"/>
        <w:jc w:val="both"/>
        <w:rPr>
          <w:rFonts w:hint="eastAsia" w:ascii="仿宋_GB2312" w:hAnsi="仿宋_GB2312" w:eastAsia="仿宋_GB2312" w:cs="仿宋_GB2312"/>
          <w:bCs/>
          <w:color w:val="auto"/>
          <w:highlight w:val="none"/>
        </w:rPr>
      </w:pPr>
      <w:r>
        <w:rPr>
          <w:rFonts w:hint="eastAsia" w:ascii="仿宋_GB2312" w:hAnsi="仿宋_GB2312" w:eastAsia="仿宋_GB2312" w:cs="仿宋_GB2312"/>
          <w:color w:val="auto"/>
          <w:sz w:val="24"/>
          <w:highlight w:val="none"/>
        </w:rPr>
        <w:br w:type="page"/>
      </w:r>
    </w:p>
    <w:p>
      <w:pPr>
        <w:spacing w:line="360" w:lineRule="auto"/>
        <w:jc w:val="center"/>
        <w:rPr>
          <w:rFonts w:hint="eastAsia" w:ascii="仿宋_GB2312" w:hAnsi="仿宋_GB2312" w:eastAsia="仿宋_GB2312" w:cs="仿宋_GB2312"/>
          <w:b/>
          <w:color w:val="auto"/>
          <w:sz w:val="32"/>
          <w:szCs w:val="32"/>
          <w:highlight w:val="none"/>
          <w:lang w:val="en-US" w:eastAsia="zh-CN"/>
        </w:rPr>
        <w:sectPr>
          <w:footerReference r:id="rId6" w:type="first"/>
          <w:headerReference r:id="rId4" w:type="default"/>
          <w:footerReference r:id="rId5" w:type="default"/>
          <w:pgSz w:w="11906" w:h="16838"/>
          <w:pgMar w:top="1276" w:right="1489" w:bottom="1440" w:left="1797"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360" w:lineRule="auto"/>
        <w:jc w:val="center"/>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3.4商务条款响应一览表格式</w:t>
      </w:r>
    </w:p>
    <w:p>
      <w:pPr>
        <w:spacing w:line="360" w:lineRule="auto"/>
        <w:rPr>
          <w:rFonts w:hint="eastAsia" w:ascii="仿宋_GB2312" w:hAnsi="仿宋_GB2312" w:eastAsia="仿宋_GB2312" w:cs="仿宋_GB2312"/>
          <w:b/>
          <w:color w:val="auto"/>
          <w:sz w:val="32"/>
          <w:szCs w:val="32"/>
          <w:highlight w:val="none"/>
        </w:rPr>
      </w:pPr>
    </w:p>
    <w:p>
      <w:pPr>
        <w:spacing w:line="360" w:lineRule="auto"/>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商务</w:t>
      </w:r>
      <w:r>
        <w:rPr>
          <w:rFonts w:hint="eastAsia" w:ascii="仿宋_GB2312" w:hAnsi="仿宋_GB2312" w:eastAsia="仿宋_GB2312" w:cs="仿宋_GB2312"/>
          <w:b/>
          <w:color w:val="auto"/>
          <w:sz w:val="32"/>
          <w:szCs w:val="32"/>
          <w:highlight w:val="none"/>
        </w:rPr>
        <w:t>条款响应一览表</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必须对应竞争性磋商文件的合同条款逐条应答并按要求填写下表。</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iCs/>
          <w:color w:val="auto"/>
          <w:sz w:val="24"/>
          <w:szCs w:val="24"/>
          <w:highlight w:val="none"/>
        </w:rPr>
        <w:t xml:space="preserve">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项目编号：</w:t>
      </w:r>
    </w:p>
    <w:tbl>
      <w:tblPr>
        <w:tblStyle w:val="27"/>
        <w:tblW w:w="9507"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3094"/>
        <w:gridCol w:w="2575"/>
        <w:gridCol w:w="30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40" w:type="dxa"/>
            <w:tcBorders>
              <w:top w:val="single" w:color="auto" w:sz="12" w:space="0"/>
            </w:tcBorders>
            <w:shd w:val="clear" w:color="auto" w:fill="EEECE1"/>
            <w:vAlign w:val="center"/>
          </w:tcPr>
          <w:p>
            <w:pPr>
              <w:ind w:left="-109" w:leftChars="-52" w:right="-113" w:rightChars="-54"/>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094" w:type="dxa"/>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竞争性磋商文件条款描述</w:t>
            </w:r>
          </w:p>
        </w:tc>
        <w:tc>
          <w:tcPr>
            <w:tcW w:w="2575" w:type="dxa"/>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响应描述</w:t>
            </w:r>
          </w:p>
        </w:tc>
        <w:tc>
          <w:tcPr>
            <w:tcW w:w="3098" w:type="dxa"/>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偏离情况说明</w:t>
            </w:r>
          </w:p>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pStyle w:val="15"/>
              <w:tabs>
                <w:tab w:val="left" w:pos="2340"/>
              </w:tabs>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响应报价</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snapToGrid/>
                <w:color w:val="auto"/>
                <w:sz w:val="24"/>
                <w:szCs w:val="24"/>
                <w:highlight w:val="none"/>
              </w:rPr>
            </w:pPr>
            <w:r>
              <w:rPr>
                <w:rFonts w:hint="eastAsia" w:ascii="仿宋_GB2312" w:hAnsi="仿宋_GB2312" w:eastAsia="仿宋_GB2312" w:cs="仿宋_GB2312"/>
                <w:color w:val="auto"/>
                <w:sz w:val="24"/>
                <w:szCs w:val="24"/>
                <w:highlight w:val="none"/>
                <w:lang w:val="en-US" w:eastAsia="zh-CN"/>
              </w:rPr>
              <w:t>服务期限</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主要工作内容及质量要求</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napToGrid/>
                <w:color w:val="auto"/>
                <w:sz w:val="24"/>
                <w:szCs w:val="24"/>
                <w:highlight w:val="none"/>
              </w:rPr>
              <w:t>付款方法和支付比例</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napToGrid/>
                <w:color w:val="auto"/>
                <w:sz w:val="24"/>
                <w:szCs w:val="24"/>
                <w:highlight w:val="none"/>
              </w:rPr>
              <w:t>服务标准</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验收要求</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违约责任</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740" w:type="dxa"/>
            <w:vAlign w:val="center"/>
          </w:tcPr>
          <w:p>
            <w:pPr>
              <w:widowControl w:val="0"/>
              <w:numPr>
                <w:ilvl w:val="0"/>
                <w:numId w:val="6"/>
              </w:numPr>
              <w:ind w:left="425" w:hanging="425"/>
              <w:jc w:val="center"/>
              <w:rPr>
                <w:rFonts w:hint="eastAsia" w:ascii="仿宋_GB2312" w:hAnsi="仿宋_GB2312" w:eastAsia="仿宋_GB2312" w:cs="仿宋_GB2312"/>
                <w:color w:val="auto"/>
                <w:sz w:val="24"/>
                <w:szCs w:val="24"/>
                <w:highlight w:val="none"/>
              </w:rPr>
            </w:pPr>
          </w:p>
        </w:tc>
        <w:tc>
          <w:tcPr>
            <w:tcW w:w="3094" w:type="dxa"/>
            <w:vAlign w:val="center"/>
          </w:tcPr>
          <w:p>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权利和义务</w:t>
            </w:r>
          </w:p>
        </w:tc>
        <w:tc>
          <w:tcPr>
            <w:tcW w:w="2575" w:type="dxa"/>
            <w:vAlign w:val="center"/>
          </w:tcPr>
          <w:p>
            <w:pPr>
              <w:jc w:val="center"/>
              <w:rPr>
                <w:rFonts w:hint="eastAsia" w:ascii="仿宋_GB2312" w:hAnsi="仿宋_GB2312" w:eastAsia="仿宋_GB2312" w:cs="仿宋_GB2312"/>
                <w:color w:val="auto"/>
                <w:sz w:val="24"/>
                <w:szCs w:val="24"/>
                <w:highlight w:val="none"/>
              </w:rPr>
            </w:pPr>
          </w:p>
        </w:tc>
        <w:tc>
          <w:tcPr>
            <w:tcW w:w="3098" w:type="dxa"/>
            <w:vAlign w:val="center"/>
          </w:tcPr>
          <w:p>
            <w:pPr>
              <w:jc w:val="center"/>
              <w:rPr>
                <w:rFonts w:hint="eastAsia" w:ascii="仿宋_GB2312" w:hAnsi="仿宋_GB2312" w:eastAsia="仿宋_GB2312" w:cs="仿宋_GB2312"/>
                <w:color w:val="auto"/>
                <w:sz w:val="24"/>
                <w:szCs w:val="24"/>
                <w:highlight w:val="none"/>
              </w:rPr>
            </w:pPr>
          </w:p>
        </w:tc>
      </w:tr>
    </w:tbl>
    <w:p>
      <w:pPr>
        <w:spacing w:line="500" w:lineRule="exact"/>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u w:val="singl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pStyle w:val="2"/>
        <w:rPr>
          <w:rFonts w:hint="eastAsia" w:ascii="仿宋_GB2312" w:hAnsi="仿宋_GB2312" w:eastAsia="仿宋_GB2312" w:cs="仿宋_GB2312"/>
          <w:color w:val="auto"/>
          <w:spacing w:val="4"/>
          <w:sz w:val="24"/>
          <w:szCs w:val="24"/>
          <w:highlight w:val="none"/>
          <w:u w:val="single"/>
        </w:rPr>
      </w:pPr>
    </w:p>
    <w:p>
      <w:pPr>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br w:type="page"/>
      </w:r>
    </w:p>
    <w:p>
      <w:pPr>
        <w:spacing w:line="240" w:lineRule="auto"/>
        <w:jc w:val="center"/>
        <w:rPr>
          <w:rFonts w:hint="eastAsia" w:ascii="仿宋_GB2312" w:hAnsi="仿宋_GB2312" w:eastAsia="仿宋_GB2312" w:cs="仿宋_GB2312"/>
          <w:b/>
          <w:color w:val="auto"/>
          <w:sz w:val="32"/>
          <w:szCs w:val="32"/>
          <w:highlight w:val="none"/>
          <w:vertAlign w:val="baseline"/>
          <w:lang w:val="en-US" w:eastAsia="zh-CN"/>
        </w:rPr>
      </w:pPr>
      <w:r>
        <w:rPr>
          <w:rFonts w:hint="eastAsia" w:ascii="仿宋_GB2312" w:hAnsi="仿宋_GB2312" w:eastAsia="仿宋_GB2312" w:cs="仿宋_GB2312"/>
          <w:b/>
          <w:color w:val="auto"/>
          <w:sz w:val="32"/>
          <w:szCs w:val="32"/>
          <w:highlight w:val="none"/>
          <w:lang w:val="en-US" w:eastAsia="zh-CN"/>
        </w:rPr>
        <w:t xml:space="preserve">3.5 </w:t>
      </w:r>
      <w:r>
        <w:rPr>
          <w:rFonts w:hint="eastAsia" w:ascii="仿宋_GB2312" w:hAnsi="仿宋_GB2312" w:eastAsia="仿宋_GB2312" w:cs="仿宋_GB2312"/>
          <w:b/>
          <w:color w:val="auto"/>
          <w:sz w:val="32"/>
          <w:szCs w:val="32"/>
          <w:highlight w:val="none"/>
          <w:vertAlign w:val="baseline"/>
          <w:lang w:val="en-US" w:eastAsia="zh-CN"/>
        </w:rPr>
        <w:t>★条款响应一览表</w:t>
      </w:r>
    </w:p>
    <w:tbl>
      <w:tblPr>
        <w:tblStyle w:val="2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3964"/>
        <w:gridCol w:w="1861"/>
        <w:gridCol w:w="2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388" w:type="pct"/>
            <w:tcBorders>
              <w:top w:val="single" w:color="auto" w:sz="12" w:space="0"/>
            </w:tcBorders>
            <w:shd w:val="clear" w:color="auto" w:fill="EEECE1"/>
            <w:vAlign w:val="center"/>
          </w:tcPr>
          <w:p>
            <w:pPr>
              <w:ind w:left="-109" w:leftChars="-52" w:right="-113" w:rightChars="-54"/>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2243" w:type="pct"/>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竞争性磋商文件条款描述</w:t>
            </w:r>
          </w:p>
        </w:tc>
        <w:tc>
          <w:tcPr>
            <w:tcW w:w="1053" w:type="pct"/>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响应人</w:t>
            </w:r>
            <w:r>
              <w:rPr>
                <w:rFonts w:hint="eastAsia" w:ascii="仿宋_GB2312" w:hAnsi="仿宋_GB2312" w:eastAsia="仿宋_GB2312" w:cs="仿宋_GB2312"/>
                <w:color w:val="auto"/>
                <w:szCs w:val="21"/>
                <w:highlight w:val="none"/>
              </w:rPr>
              <w:t>响应描述</w:t>
            </w:r>
          </w:p>
        </w:tc>
        <w:tc>
          <w:tcPr>
            <w:tcW w:w="1314" w:type="pct"/>
            <w:tcBorders>
              <w:top w:val="single" w:color="auto" w:sz="12" w:space="0"/>
            </w:tcBorders>
            <w:shd w:val="clear" w:color="auto" w:fill="EEECE1"/>
            <w:vAlign w:val="center"/>
          </w:tcPr>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偏离情况说明</w:t>
            </w:r>
          </w:p>
          <w:p>
            <w:pP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388" w:type="pct"/>
            <w:vAlign w:val="center"/>
          </w:tcPr>
          <w:p>
            <w:pPr>
              <w:widowControl w:val="0"/>
              <w:numPr>
                <w:ilvl w:val="-1"/>
                <w:numId w:val="0"/>
              </w:numPr>
              <w:ind w:left="0" w:firstLine="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p>
        </w:tc>
        <w:tc>
          <w:tcPr>
            <w:tcW w:w="2243" w:type="pct"/>
            <w:vAlign w:val="center"/>
          </w:tcPr>
          <w:p>
            <w:pPr>
              <w:pStyle w:val="8"/>
              <w:widowControl/>
              <w:numPr>
                <w:ilvl w:val="0"/>
                <w:numId w:val="0"/>
              </w:numPr>
              <w:shd w:val="clear"/>
              <w:autoSpaceDE w:val="0"/>
              <w:autoSpaceDN w:val="0"/>
              <w:adjustRightInd w:val="0"/>
              <w:spacing w:before="91" w:beforeAutospacing="0" w:after="0" w:afterLines="0" w:afterAutospacing="0" w:line="321" w:lineRule="auto"/>
              <w:ind w:left="0" w:right="-15" w:firstLine="0" w:firstLineChars="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人员要求：</w:t>
            </w:r>
          </w:p>
          <w:p>
            <w:pPr>
              <w:pStyle w:val="8"/>
              <w:widowControl/>
              <w:numPr>
                <w:ilvl w:val="0"/>
                <w:numId w:val="0"/>
              </w:numPr>
              <w:shd w:val="clear"/>
              <w:autoSpaceDE w:val="0"/>
              <w:autoSpaceDN w:val="0"/>
              <w:adjustRightInd w:val="0"/>
              <w:spacing w:before="91" w:beforeAutospacing="0" w:after="0" w:afterLines="0" w:afterAutospacing="0" w:line="321" w:lineRule="auto"/>
              <w:ind w:left="0" w:right="-15"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内地</w:t>
            </w:r>
            <w:r>
              <w:rPr>
                <w:rFonts w:hint="eastAsia" w:ascii="仿宋_GB2312" w:hAnsi="仿宋_GB2312" w:eastAsia="仿宋_GB2312" w:cs="仿宋_GB2312"/>
                <w:color w:val="auto"/>
                <w:sz w:val="24"/>
                <w:szCs w:val="24"/>
                <w:highlight w:val="none"/>
              </w:rPr>
              <w:t>拟派项目负责人具有注册建筑师资格证书。港澳拟派项目负责人具有横琴粤澳深度合作区城市规划和建设局颁发</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港澳建筑及相关工程专业人士执业资格备案认可书，备案业务范围为[注册建筑师]资格</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或具有广东省住房和城乡建设厅备案认可的证明文件，备案业务范围为[注册建筑师]。</w:t>
            </w:r>
          </w:p>
          <w:p>
            <w:pPr>
              <w:pStyle w:val="15"/>
              <w:tabs>
                <w:tab w:val="left" w:pos="2340"/>
              </w:tabs>
              <w:rPr>
                <w:rFonts w:hint="eastAsia" w:ascii="仿宋_GB2312" w:hAnsi="仿宋_GB2312" w:eastAsia="仿宋_GB2312" w:cs="仿宋_GB2312"/>
                <w:color w:val="auto"/>
                <w:kern w:val="0"/>
                <w:sz w:val="24"/>
                <w:szCs w:val="24"/>
                <w:highlight w:val="none"/>
                <w:lang w:eastAsia="zh-CN"/>
              </w:rPr>
            </w:pPr>
          </w:p>
        </w:tc>
        <w:tc>
          <w:tcPr>
            <w:tcW w:w="1053" w:type="pct"/>
            <w:vAlign w:val="center"/>
          </w:tcPr>
          <w:p>
            <w:pPr>
              <w:jc w:val="center"/>
              <w:rPr>
                <w:rFonts w:hint="eastAsia" w:ascii="仿宋_GB2312" w:hAnsi="仿宋_GB2312" w:eastAsia="仿宋_GB2312" w:cs="仿宋_GB2312"/>
                <w:color w:val="auto"/>
                <w:sz w:val="24"/>
                <w:szCs w:val="24"/>
                <w:highlight w:val="none"/>
              </w:rPr>
            </w:pPr>
          </w:p>
        </w:tc>
        <w:tc>
          <w:tcPr>
            <w:tcW w:w="1314" w:type="pct"/>
            <w:vAlign w:val="center"/>
          </w:tcPr>
          <w:p>
            <w:pPr>
              <w:jc w:val="center"/>
              <w:rPr>
                <w:rFonts w:hint="eastAsia" w:ascii="仿宋_GB2312" w:hAnsi="仿宋_GB2312" w:eastAsia="仿宋_GB2312" w:cs="仿宋_GB2312"/>
                <w:color w:val="auto"/>
                <w:sz w:val="24"/>
                <w:szCs w:val="24"/>
                <w:highlight w:val="none"/>
              </w:rPr>
            </w:pPr>
          </w:p>
        </w:tc>
      </w:tr>
    </w:tbl>
    <w:p>
      <w:pPr>
        <w:pStyle w:val="13"/>
        <w:numPr>
          <w:ilvl w:val="0"/>
          <w:numId w:val="0"/>
        </w:numPr>
        <w:snapToGrid w:val="0"/>
        <w:spacing w:before="60" w:after="0" w:line="360" w:lineRule="auto"/>
        <w:ind w:left="0" w:leftChars="0" w:firstLine="0" w:firstLineChars="0"/>
        <w:jc w:val="both"/>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备注：1.</w:t>
      </w:r>
      <w:r>
        <w:rPr>
          <w:rFonts w:hint="eastAsia" w:ascii="仿宋_GB2312" w:hAnsi="仿宋_GB2312" w:eastAsia="仿宋_GB2312" w:cs="仿宋_GB2312"/>
          <w:i w:val="0"/>
          <w:iCs w:val="0"/>
          <w:color w:val="auto"/>
          <w:sz w:val="24"/>
          <w:szCs w:val="24"/>
          <w:highlight w:val="none"/>
          <w:u w:val="none"/>
        </w:rPr>
        <w:t>根据《全国注册建筑师管理委员会关于开展使用一级注册建筑师电子注册证书工作的通知》（注建〔2021〕2号）规定，</w:t>
      </w:r>
      <w:r>
        <w:rPr>
          <w:rFonts w:hint="eastAsia" w:ascii="仿宋_GB2312" w:hAnsi="仿宋_GB2312" w:eastAsia="仿宋_GB2312" w:cs="仿宋_GB2312"/>
          <w:i w:val="0"/>
          <w:iCs w:val="0"/>
          <w:color w:val="auto"/>
          <w:sz w:val="24"/>
          <w:szCs w:val="24"/>
          <w:highlight w:val="none"/>
          <w:u w:val="none"/>
          <w:lang w:val="en-US" w:eastAsia="zh-CN"/>
        </w:rPr>
        <w:t>内地</w:t>
      </w:r>
      <w:r>
        <w:rPr>
          <w:rFonts w:hint="eastAsia" w:ascii="仿宋_GB2312" w:hAnsi="仿宋_GB2312" w:eastAsia="仿宋_GB2312" w:cs="仿宋_GB2312"/>
          <w:i w:val="0"/>
          <w:iCs w:val="0"/>
          <w:color w:val="auto"/>
          <w:sz w:val="24"/>
          <w:szCs w:val="24"/>
          <w:highlight w:val="none"/>
          <w:u w:val="none"/>
        </w:rPr>
        <w:t>拟派项目负责人的注册建筑师必须使用电子证书，并在个人签名处手写签名，手写签名应与签名图像笔迹一致，且电子证书必须在使用时限内。</w:t>
      </w:r>
    </w:p>
    <w:p>
      <w:pPr>
        <w:pStyle w:val="13"/>
        <w:numPr>
          <w:ilvl w:val="-1"/>
          <w:numId w:val="0"/>
        </w:numPr>
        <w:snapToGrid w:val="0"/>
        <w:spacing w:before="60" w:after="0" w:line="360" w:lineRule="auto"/>
        <w:ind w:left="0" w:leftChars="0" w:firstLine="720" w:firstLineChars="300"/>
        <w:jc w:val="both"/>
        <w:rPr>
          <w:rFonts w:hint="eastAsia" w:ascii="仿宋_GB2312" w:hAnsi="仿宋_GB2312" w:eastAsia="仿宋_GB2312" w:cs="仿宋_GB2312"/>
          <w:b w:val="0"/>
          <w:iCs/>
          <w:color w:val="auto"/>
          <w:sz w:val="24"/>
          <w:szCs w:val="24"/>
          <w:highlight w:val="none"/>
        </w:rPr>
      </w:pPr>
      <w:r>
        <w:rPr>
          <w:rFonts w:hint="eastAsia" w:ascii="仿宋_GB2312" w:hAnsi="仿宋_GB2312" w:eastAsia="仿宋_GB2312" w:cs="仿宋_GB2312"/>
          <w:i w:val="0"/>
          <w:iCs w:val="0"/>
          <w:color w:val="auto"/>
          <w:sz w:val="24"/>
          <w:szCs w:val="24"/>
          <w:highlight w:val="none"/>
          <w:u w:val="none"/>
          <w:lang w:val="en-US" w:eastAsia="zh-CN"/>
        </w:rPr>
        <w:t>2.港澳</w:t>
      </w:r>
      <w:r>
        <w:rPr>
          <w:rFonts w:hint="eastAsia" w:ascii="仿宋_GB2312" w:hAnsi="仿宋_GB2312" w:eastAsia="仿宋_GB2312" w:cs="仿宋_GB2312"/>
          <w:i w:val="0"/>
          <w:iCs w:val="0"/>
          <w:color w:val="auto"/>
          <w:sz w:val="24"/>
          <w:szCs w:val="24"/>
          <w:highlight w:val="none"/>
          <w:u w:val="none"/>
        </w:rPr>
        <w:t>拟派项目负责人</w:t>
      </w:r>
      <w:r>
        <w:rPr>
          <w:rFonts w:hint="eastAsia" w:ascii="仿宋_GB2312" w:hAnsi="仿宋_GB2312" w:eastAsia="仿宋_GB2312" w:cs="仿宋_GB2312"/>
          <w:i w:val="0"/>
          <w:iCs w:val="0"/>
          <w:color w:val="auto"/>
          <w:sz w:val="24"/>
          <w:szCs w:val="24"/>
          <w:highlight w:val="none"/>
          <w:u w:val="none"/>
          <w:lang w:val="en-US" w:eastAsia="zh-CN"/>
        </w:rPr>
        <w:t>具有</w:t>
      </w:r>
      <w:r>
        <w:rPr>
          <w:rFonts w:hint="eastAsia" w:ascii="仿宋_GB2312" w:hAnsi="仿宋_GB2312" w:eastAsia="仿宋_GB2312" w:cs="仿宋_GB2312"/>
          <w:b w:val="0"/>
          <w:iCs/>
          <w:color w:val="auto"/>
          <w:sz w:val="24"/>
          <w:szCs w:val="24"/>
          <w:highlight w:val="none"/>
        </w:rPr>
        <w:t>横琴粤澳深度合作区城市规划和建设局颁发</w:t>
      </w:r>
      <w:r>
        <w:rPr>
          <w:rFonts w:hint="eastAsia" w:ascii="仿宋_GB2312" w:hAnsi="仿宋_GB2312" w:eastAsia="仿宋_GB2312" w:cs="仿宋_GB2312"/>
          <w:b w:val="0"/>
          <w:iCs/>
          <w:color w:val="auto"/>
          <w:sz w:val="24"/>
          <w:szCs w:val="24"/>
          <w:highlight w:val="none"/>
          <w:lang w:eastAsia="zh-CN"/>
        </w:rPr>
        <w:t>的</w:t>
      </w:r>
      <w:r>
        <w:rPr>
          <w:rFonts w:hint="eastAsia" w:ascii="仿宋_GB2312" w:hAnsi="仿宋_GB2312" w:eastAsia="仿宋_GB2312" w:cs="仿宋_GB2312"/>
          <w:b w:val="0"/>
          <w:iCs/>
          <w:color w:val="auto"/>
          <w:sz w:val="24"/>
          <w:szCs w:val="24"/>
          <w:highlight w:val="none"/>
        </w:rPr>
        <w:t>港澳建筑及相关工程专业人士执业资格备案认可书，备案业务范围为[注册建筑师]资格。或具有广东省住房和城乡建设厅备案认可的证明文件，备案业务范围为[注册建筑师]。</w:t>
      </w:r>
    </w:p>
    <w:p>
      <w:pPr>
        <w:spacing w:line="240" w:lineRule="auto"/>
        <w:ind w:firstLine="720" w:firstLineChars="300"/>
        <w:jc w:val="both"/>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b w:val="0"/>
          <w:iCs/>
          <w:color w:val="auto"/>
          <w:sz w:val="24"/>
          <w:szCs w:val="24"/>
          <w:highlight w:val="none"/>
          <w:lang w:val="en-US" w:eastAsia="zh-CN"/>
        </w:rPr>
        <w:t>3.提供</w:t>
      </w:r>
      <w:r>
        <w:rPr>
          <w:rFonts w:hint="eastAsia" w:ascii="仿宋_GB2312" w:hAnsi="仿宋_GB2312" w:eastAsia="仿宋_GB2312" w:cs="仿宋_GB2312"/>
          <w:i w:val="0"/>
          <w:iCs w:val="0"/>
          <w:color w:val="auto"/>
          <w:sz w:val="24"/>
          <w:szCs w:val="24"/>
          <w:highlight w:val="none"/>
          <w:u w:val="none"/>
        </w:rPr>
        <w:t>项目负责人</w:t>
      </w:r>
      <w:r>
        <w:rPr>
          <w:rFonts w:hint="eastAsia" w:ascii="仿宋_GB2312" w:hAnsi="仿宋_GB2312" w:eastAsia="仿宋_GB2312" w:cs="仿宋_GB2312"/>
          <w:i w:val="0"/>
          <w:iCs w:val="0"/>
          <w:color w:val="auto"/>
          <w:sz w:val="24"/>
          <w:szCs w:val="24"/>
          <w:highlight w:val="none"/>
          <w:u w:val="none"/>
          <w:lang w:val="en-US" w:eastAsia="zh-CN"/>
        </w:rPr>
        <w:t>证书复印件加盖响应人公章。</w:t>
      </w:r>
    </w:p>
    <w:p>
      <w:pPr>
        <w:spacing w:line="240" w:lineRule="auto"/>
        <w:ind w:firstLine="720" w:firstLineChars="300"/>
        <w:jc w:val="both"/>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4.</w:t>
      </w:r>
      <w:r>
        <w:rPr>
          <w:rFonts w:hint="eastAsia" w:ascii="微软雅黑" w:hAnsi="微软雅黑" w:eastAsia="微软雅黑" w:cs="微软雅黑"/>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lang w:val="en-US" w:eastAsia="zh-CN"/>
        </w:rPr>
        <w:t>条款必须响应为正偏离或完全响应，若为负偏离则响应文件作为无效响应文件处理。</w:t>
      </w:r>
    </w:p>
    <w:p>
      <w:pPr>
        <w:spacing w:line="240" w:lineRule="auto"/>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eastAsia="zh-CN"/>
        </w:rPr>
        <w:br w:type="page"/>
      </w:r>
    </w:p>
    <w:p>
      <w:pPr>
        <w:spacing w:line="360" w:lineRule="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b/>
          <w:color w:val="auto"/>
          <w:sz w:val="32"/>
          <w:szCs w:val="32"/>
          <w:highlight w:val="none"/>
          <w:lang w:eastAsia="zh-CN"/>
        </w:rPr>
        <w:t>经济价格</w:t>
      </w:r>
      <w:r>
        <w:rPr>
          <w:rFonts w:hint="eastAsia" w:ascii="仿宋_GB2312" w:hAnsi="仿宋_GB2312" w:eastAsia="仿宋_GB2312" w:cs="仿宋_GB2312"/>
          <w:b/>
          <w:color w:val="auto"/>
          <w:sz w:val="32"/>
          <w:szCs w:val="32"/>
          <w:highlight w:val="none"/>
        </w:rPr>
        <w:t>文件</w:t>
      </w: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4.1</w:t>
      </w:r>
      <w:r>
        <w:rPr>
          <w:rFonts w:hint="eastAsia" w:ascii="仿宋_GB2312" w:hAnsi="仿宋_GB2312" w:eastAsia="仿宋_GB2312" w:cs="仿宋_GB2312"/>
          <w:b/>
          <w:color w:val="auto"/>
          <w:sz w:val="32"/>
          <w:szCs w:val="32"/>
          <w:highlight w:val="none"/>
        </w:rPr>
        <w:t>报价表</w:t>
      </w:r>
      <w:r>
        <w:rPr>
          <w:rFonts w:hint="eastAsia" w:ascii="仿宋_GB2312" w:hAnsi="仿宋_GB2312" w:eastAsia="仿宋_GB2312" w:cs="仿宋_GB2312"/>
          <w:b/>
          <w:color w:val="auto"/>
          <w:sz w:val="32"/>
          <w:szCs w:val="32"/>
          <w:highlight w:val="none"/>
          <w:lang w:eastAsia="zh-CN"/>
        </w:rPr>
        <w:t>（首次报价）</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项目名称：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项目编号： </w:t>
      </w:r>
    </w:p>
    <w:tbl>
      <w:tblPr>
        <w:tblStyle w:val="27"/>
        <w:tblW w:w="99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709"/>
        <w:gridCol w:w="3119"/>
        <w:gridCol w:w="3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tcBorders>
              <w:top w:val="single" w:color="auto" w:sz="12" w:space="0"/>
              <w:left w:val="single" w:color="auto" w:sz="4"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采购内容</w:t>
            </w:r>
          </w:p>
        </w:tc>
        <w:tc>
          <w:tcPr>
            <w:tcW w:w="709"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数量</w:t>
            </w:r>
          </w:p>
        </w:tc>
        <w:tc>
          <w:tcPr>
            <w:tcW w:w="3119"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报 价</w:t>
            </w:r>
          </w:p>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szCs w:val="21"/>
                <w:highlight w:val="none"/>
              </w:rPr>
              <w:t>（人民币 元）</w:t>
            </w:r>
          </w:p>
        </w:tc>
        <w:tc>
          <w:tcPr>
            <w:tcW w:w="3260"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2835" w:type="dxa"/>
            <w:tcBorders>
              <w:top w:val="double" w:color="auto" w:sz="4" w:space="0"/>
              <w:left w:val="sing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横琴粤澳深度合作区城市规划和建设局横琴粤澳深度合作区港澳大道3号地下人行通道提升改建工程设计服务项目</w:t>
            </w: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tc>
        <w:tc>
          <w:tcPr>
            <w:tcW w:w="709" w:type="dxa"/>
            <w:tcBorders>
              <w:top w:val="doub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一项</w:t>
            </w:r>
          </w:p>
        </w:tc>
        <w:tc>
          <w:tcPr>
            <w:tcW w:w="3119" w:type="dxa"/>
            <w:tcBorders>
              <w:top w:val="double" w:color="auto" w:sz="4" w:space="0"/>
              <w:bottom w:val="single" w:color="auto" w:sz="12" w:space="0"/>
            </w:tcBorders>
            <w:vAlign w:val="center"/>
          </w:tcPr>
          <w:p>
            <w:pPr>
              <w:spacing w:line="400" w:lineRule="exac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小写：       大写：</w:t>
            </w:r>
          </w:p>
        </w:tc>
        <w:tc>
          <w:tcPr>
            <w:tcW w:w="3260" w:type="dxa"/>
            <w:tcBorders>
              <w:top w:val="double" w:color="auto" w:sz="4" w:space="0"/>
              <w:bottom w:val="single" w:color="auto" w:sz="12" w:space="0"/>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2、取得甲方的设计方案同意意见后，15个日历天内提交施工图文件及预算等相关成果文件；</w:t>
            </w:r>
          </w:p>
          <w:p>
            <w:pPr>
              <w:pStyle w:val="8"/>
              <w:autoSpaceDE w:val="0"/>
              <w:autoSpaceDN w:val="0"/>
              <w:adjustRightInd w:val="0"/>
              <w:spacing w:line="360" w:lineRule="auto"/>
              <w:ind w:firstLine="0" w:firstLineChars="0"/>
              <w:jc w:val="both"/>
              <w:textAlignment w:val="baseline"/>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 w:val="0"/>
                <w:bCs w:val="0"/>
                <w:color w:val="auto"/>
                <w:sz w:val="24"/>
                <w:szCs w:val="24"/>
                <w:highlight w:val="none"/>
                <w:lang w:val="en-US" w:eastAsia="zh-CN"/>
              </w:rPr>
              <w:t>3、在港澳大道3号地下人行通提升改建项目施工期间，乙方应积极配合施工过程中相关可能发生的设计、施工、预算等变更手续， 服务直至改造施工项目完工。</w:t>
            </w:r>
          </w:p>
        </w:tc>
      </w:tr>
    </w:tbl>
    <w:p>
      <w:pPr>
        <w:snapToGrid w:val="0"/>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spacing w:line="400" w:lineRule="exact"/>
        <w:rPr>
          <w:rFonts w:hint="eastAsia" w:ascii="仿宋_GB2312" w:hAnsi="仿宋_GB2312" w:eastAsia="仿宋_GB2312" w:cs="仿宋_GB2312"/>
          <w:b/>
          <w:bCs/>
          <w:color w:val="auto"/>
          <w:sz w:val="24"/>
          <w:szCs w:val="24"/>
          <w:highlight w:val="none"/>
        </w:rPr>
      </w:pP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p>
      <w:pPr>
        <w:widowControl w:val="0"/>
        <w:numPr>
          <w:ilvl w:val="0"/>
          <w:numId w:val="7"/>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eastAsia="zh-CN"/>
        </w:rPr>
        <w:t>响应报价</w:t>
      </w:r>
      <w:r>
        <w:rPr>
          <w:rFonts w:hint="eastAsia" w:ascii="仿宋_GB2312" w:hAnsi="仿宋_GB2312" w:eastAsia="仿宋_GB2312" w:cs="仿宋_GB2312"/>
          <w:b/>
          <w:color w:val="auto"/>
          <w:sz w:val="24"/>
          <w:szCs w:val="24"/>
          <w:highlight w:val="none"/>
        </w:rPr>
        <w:t>的小数点后保留两位有效数。</w:t>
      </w:r>
    </w:p>
    <w:p>
      <w:pPr>
        <w:widowControl w:val="0"/>
        <w:numPr>
          <w:ilvl w:val="0"/>
          <w:numId w:val="7"/>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此表须附在正、副本的响应文件中。</w:t>
      </w:r>
    </w:p>
    <w:p>
      <w:pPr>
        <w:widowControl w:val="0"/>
        <w:numPr>
          <w:ilvl w:val="0"/>
          <w:numId w:val="7"/>
        </w:numPr>
        <w:snapToGrid w:val="0"/>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未报价或报价为零的视为</w:t>
      </w:r>
      <w:r>
        <w:rPr>
          <w:rFonts w:hint="eastAsia" w:ascii="仿宋_GB2312" w:hAnsi="仿宋_GB2312" w:eastAsia="仿宋_GB2312" w:cs="仿宋_GB2312"/>
          <w:b/>
          <w:color w:val="auto"/>
          <w:sz w:val="24"/>
          <w:szCs w:val="24"/>
          <w:highlight w:val="none"/>
          <w:lang w:eastAsia="zh-CN"/>
        </w:rPr>
        <w:t>响应人</w:t>
      </w:r>
      <w:r>
        <w:rPr>
          <w:rFonts w:hint="eastAsia" w:ascii="仿宋_GB2312" w:hAnsi="仿宋_GB2312" w:eastAsia="仿宋_GB2312" w:cs="仿宋_GB2312"/>
          <w:b/>
          <w:color w:val="auto"/>
          <w:sz w:val="24"/>
          <w:szCs w:val="24"/>
          <w:highlight w:val="none"/>
        </w:rPr>
        <w:t>已包含在磋商总报价中。</w:t>
      </w:r>
    </w:p>
    <w:p>
      <w:pPr>
        <w:spacing w:line="360" w:lineRule="auto"/>
        <w:jc w:val="center"/>
        <w:rPr>
          <w:rFonts w:hint="eastAsia" w:ascii="仿宋_GB2312" w:hAnsi="仿宋_GB2312" w:eastAsia="仿宋_GB2312" w:cs="仿宋_GB2312"/>
          <w:b/>
          <w:color w:val="auto"/>
          <w:sz w:val="32"/>
          <w:szCs w:val="32"/>
          <w:highlight w:val="none"/>
        </w:rPr>
      </w:pPr>
    </w:p>
    <w:p>
      <w:pPr>
        <w:spacing w:line="360" w:lineRule="auto"/>
        <w:jc w:val="center"/>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color w:val="auto"/>
          <w:sz w:val="32"/>
          <w:szCs w:val="32"/>
          <w:highlight w:val="none"/>
          <w:lang w:val="en-US" w:eastAsia="zh-CN"/>
        </w:rPr>
        <w:t>4.2</w:t>
      </w:r>
      <w:r>
        <w:rPr>
          <w:rFonts w:hint="eastAsia" w:ascii="仿宋_GB2312" w:hAnsi="仿宋_GB2312" w:eastAsia="仿宋_GB2312" w:cs="仿宋_GB2312"/>
          <w:b/>
          <w:color w:val="auto"/>
          <w:sz w:val="32"/>
          <w:szCs w:val="32"/>
          <w:highlight w:val="none"/>
        </w:rPr>
        <w:t>报价表</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lang w:val="en-US" w:eastAsia="zh-CN"/>
        </w:rPr>
        <w:t>最终</w:t>
      </w:r>
      <w:r>
        <w:rPr>
          <w:rFonts w:hint="eastAsia" w:ascii="仿宋_GB2312" w:hAnsi="仿宋_GB2312" w:eastAsia="仿宋_GB2312" w:cs="仿宋_GB2312"/>
          <w:b/>
          <w:color w:val="auto"/>
          <w:sz w:val="32"/>
          <w:szCs w:val="32"/>
          <w:highlight w:val="none"/>
          <w:lang w:eastAsia="zh-CN"/>
        </w:rPr>
        <w:t>报价）</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项目名称： </w:t>
      </w:r>
    </w:p>
    <w:p>
      <w:pP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项目编号： </w:t>
      </w:r>
    </w:p>
    <w:tbl>
      <w:tblPr>
        <w:tblStyle w:val="27"/>
        <w:tblW w:w="92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658"/>
        <w:gridCol w:w="2898"/>
        <w:gridCol w:w="30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34" w:type="dxa"/>
            <w:tcBorders>
              <w:top w:val="single" w:color="auto" w:sz="12" w:space="0"/>
              <w:left w:val="single" w:color="auto" w:sz="4"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采购内容</w:t>
            </w:r>
          </w:p>
        </w:tc>
        <w:tc>
          <w:tcPr>
            <w:tcW w:w="658"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数量</w:t>
            </w:r>
          </w:p>
        </w:tc>
        <w:tc>
          <w:tcPr>
            <w:tcW w:w="2898"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报 价</w:t>
            </w:r>
          </w:p>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szCs w:val="21"/>
                <w:highlight w:val="none"/>
              </w:rPr>
              <w:t>（人民币 元）</w:t>
            </w:r>
          </w:p>
        </w:tc>
        <w:tc>
          <w:tcPr>
            <w:tcW w:w="3029" w:type="dxa"/>
            <w:tcBorders>
              <w:top w:val="single" w:color="auto" w:sz="12" w:space="0"/>
              <w:bottom w:val="double" w:color="auto" w:sz="4" w:space="0"/>
            </w:tcBorders>
            <w:shd w:val="clear" w:color="auto" w:fill="EEECE1"/>
            <w:vAlign w:val="center"/>
          </w:tcPr>
          <w:p>
            <w:pPr>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16" w:hRule="atLeast"/>
          <w:jc w:val="center"/>
        </w:trPr>
        <w:tc>
          <w:tcPr>
            <w:tcW w:w="2634" w:type="dxa"/>
            <w:tcBorders>
              <w:top w:val="double" w:color="auto" w:sz="4" w:space="0"/>
              <w:left w:val="sing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横琴粤澳深度合作区城市规划和建设局横琴粤澳深度合作区港澳大道3号地下人行通道提升改建工程设计服务项目</w:t>
            </w: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p>
            <w:pPr>
              <w:snapToGrid w:val="0"/>
              <w:jc w:val="center"/>
              <w:rPr>
                <w:rFonts w:hint="eastAsia" w:ascii="仿宋_GB2312" w:hAnsi="仿宋_GB2312" w:eastAsia="仿宋_GB2312" w:cs="仿宋_GB2312"/>
                <w:color w:val="auto"/>
                <w:sz w:val="24"/>
                <w:szCs w:val="24"/>
                <w:highlight w:val="none"/>
              </w:rPr>
            </w:pPr>
          </w:p>
        </w:tc>
        <w:tc>
          <w:tcPr>
            <w:tcW w:w="658" w:type="dxa"/>
            <w:tcBorders>
              <w:top w:val="double" w:color="auto" w:sz="4" w:space="0"/>
              <w:bottom w:val="single" w:color="auto" w:sz="12" w:space="0"/>
            </w:tcBorders>
            <w:vAlign w:val="center"/>
          </w:tcPr>
          <w:p>
            <w:pPr>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一项</w:t>
            </w:r>
          </w:p>
        </w:tc>
        <w:tc>
          <w:tcPr>
            <w:tcW w:w="2898" w:type="dxa"/>
            <w:tcBorders>
              <w:top w:val="double" w:color="auto" w:sz="4" w:space="0"/>
              <w:bottom w:val="single" w:color="auto" w:sz="12" w:space="0"/>
            </w:tcBorders>
            <w:vAlign w:val="center"/>
          </w:tcPr>
          <w:p>
            <w:pPr>
              <w:spacing w:line="400" w:lineRule="exac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小写：       大写：</w:t>
            </w:r>
          </w:p>
        </w:tc>
        <w:tc>
          <w:tcPr>
            <w:tcW w:w="3029" w:type="dxa"/>
            <w:tcBorders>
              <w:top w:val="double" w:color="auto" w:sz="4" w:space="0"/>
              <w:bottom w:val="single" w:color="auto" w:sz="12" w:space="0"/>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1、签订设计合同后在15个日历天内提交初步设计方案及概算文件；</w:t>
            </w:r>
          </w:p>
          <w:p>
            <w:pPr>
              <w:pStyle w:val="8"/>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2、取得甲方的设计方案同意意见后，15个日历天内提交施工图文件及预算等相关成果文件；</w:t>
            </w:r>
          </w:p>
          <w:p>
            <w:pPr>
              <w:pStyle w:val="8"/>
              <w:autoSpaceDE w:val="0"/>
              <w:autoSpaceDN w:val="0"/>
              <w:adjustRightInd w:val="0"/>
              <w:spacing w:line="360" w:lineRule="auto"/>
              <w:ind w:firstLine="0" w:firstLineChars="0"/>
              <w:jc w:val="both"/>
              <w:textAlignment w:val="baseline"/>
              <w:rPr>
                <w:rFonts w:hint="eastAsia" w:ascii="仿宋_GB2312" w:hAnsi="仿宋_GB2312" w:eastAsia="仿宋_GB2312" w:cs="仿宋_GB2312"/>
                <w:bCs/>
                <w:color w:val="auto"/>
                <w:szCs w:val="24"/>
                <w:highlight w:val="none"/>
              </w:rPr>
            </w:pPr>
            <w:r>
              <w:rPr>
                <w:rFonts w:hint="eastAsia" w:ascii="仿宋_GB2312" w:hAnsi="仿宋_GB2312" w:eastAsia="仿宋_GB2312" w:cs="仿宋_GB2312"/>
                <w:b w:val="0"/>
                <w:bCs w:val="0"/>
                <w:color w:val="auto"/>
                <w:sz w:val="24"/>
                <w:szCs w:val="24"/>
                <w:highlight w:val="none"/>
                <w:lang w:val="en-US" w:eastAsia="zh-CN"/>
              </w:rPr>
              <w:t>3、在港澳大道3号地下人行通提升改建项目施工期间，乙方应积极配合施工过程中相关可能发生的设计、施工、预算等变更手续， 服务直至改造施工项目完工。</w:t>
            </w:r>
          </w:p>
        </w:tc>
      </w:tr>
    </w:tbl>
    <w:p>
      <w:pPr>
        <w:snapToGrid w:val="0"/>
        <w:rPr>
          <w:rFonts w:hint="eastAsia" w:ascii="仿宋_GB2312" w:hAnsi="仿宋_GB2312" w:eastAsia="仿宋_GB2312" w:cs="仿宋_GB2312"/>
          <w:color w:val="auto"/>
          <w:sz w:val="24"/>
          <w:szCs w:val="24"/>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spacing w:line="400" w:lineRule="exact"/>
        <w:rPr>
          <w:rFonts w:hint="eastAsia" w:ascii="仿宋_GB2312" w:hAnsi="仿宋_GB2312" w:eastAsia="仿宋_GB2312" w:cs="仿宋_GB2312"/>
          <w:b/>
          <w:bCs/>
          <w:color w:val="auto"/>
          <w:sz w:val="24"/>
          <w:szCs w:val="24"/>
          <w:highlight w:val="none"/>
        </w:rPr>
      </w:pPr>
    </w:p>
    <w:p>
      <w:pPr>
        <w:spacing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备注：</w:t>
      </w:r>
    </w:p>
    <w:p>
      <w:pPr>
        <w:widowControl w:val="0"/>
        <w:numPr>
          <w:ilvl w:val="-1"/>
          <w:numId w:val="0"/>
        </w:numPr>
        <w:snapToGrid w:val="0"/>
        <w:spacing w:line="360" w:lineRule="auto"/>
        <w:ind w:left="0" w:firstLine="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lang w:eastAsia="zh-CN"/>
        </w:rPr>
        <w:t>响应报价</w:t>
      </w:r>
      <w:r>
        <w:rPr>
          <w:rFonts w:hint="eastAsia" w:ascii="仿宋_GB2312" w:hAnsi="仿宋_GB2312" w:eastAsia="仿宋_GB2312" w:cs="仿宋_GB2312"/>
          <w:b/>
          <w:color w:val="auto"/>
          <w:sz w:val="24"/>
          <w:szCs w:val="24"/>
          <w:highlight w:val="none"/>
        </w:rPr>
        <w:t>的小数点后保留两位有效数。</w:t>
      </w:r>
    </w:p>
    <w:p>
      <w:pPr>
        <w:widowControl w:val="0"/>
        <w:numPr>
          <w:ilvl w:val="-1"/>
          <w:numId w:val="0"/>
        </w:numPr>
        <w:snapToGrid w:val="0"/>
        <w:spacing w:line="360" w:lineRule="auto"/>
        <w:ind w:left="0" w:firstLine="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rPr>
        <w:t>未报价或报价为零的视为</w:t>
      </w:r>
      <w:r>
        <w:rPr>
          <w:rFonts w:hint="eastAsia" w:ascii="仿宋_GB2312" w:hAnsi="仿宋_GB2312" w:eastAsia="仿宋_GB2312" w:cs="仿宋_GB2312"/>
          <w:b/>
          <w:color w:val="auto"/>
          <w:sz w:val="24"/>
          <w:szCs w:val="24"/>
          <w:highlight w:val="none"/>
          <w:lang w:eastAsia="zh-CN"/>
        </w:rPr>
        <w:t>响应人</w:t>
      </w:r>
      <w:r>
        <w:rPr>
          <w:rFonts w:hint="eastAsia" w:ascii="仿宋_GB2312" w:hAnsi="仿宋_GB2312" w:eastAsia="仿宋_GB2312" w:cs="仿宋_GB2312"/>
          <w:b/>
          <w:color w:val="auto"/>
          <w:sz w:val="24"/>
          <w:szCs w:val="24"/>
          <w:highlight w:val="none"/>
        </w:rPr>
        <w:t>已包含在磋商总报价中。</w:t>
      </w:r>
    </w:p>
    <w:p>
      <w:pPr>
        <w:widowControl w:val="0"/>
        <w:numPr>
          <w:ilvl w:val="-1"/>
          <w:numId w:val="0"/>
        </w:numPr>
        <w:snapToGrid w:val="0"/>
        <w:spacing w:line="360" w:lineRule="auto"/>
        <w:ind w:left="0" w:firstLine="0"/>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3.报价表（最终报价）无须放在响应文件中，在评标环节中与评委磋商后提供。</w:t>
      </w:r>
    </w:p>
    <w:p>
      <w:pPr>
        <w:widowControl w:val="0"/>
        <w:numPr>
          <w:ilvl w:val="-1"/>
          <w:numId w:val="0"/>
        </w:numPr>
        <w:snapToGrid w:val="0"/>
        <w:spacing w:line="360" w:lineRule="auto"/>
        <w:ind w:left="0" w:firstLine="0"/>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4.响应人可先加盖公章或签字。</w:t>
      </w:r>
    </w:p>
    <w:p>
      <w:pPr>
        <w:spacing w:line="360" w:lineRule="auto"/>
        <w:jc w:val="center"/>
        <w:rPr>
          <w:rFonts w:hint="eastAsia" w:ascii="仿宋_GB2312" w:hAnsi="仿宋_GB2312" w:eastAsia="仿宋_GB2312" w:cs="仿宋_GB2312"/>
          <w:b/>
          <w:color w:val="auto"/>
          <w:sz w:val="32"/>
          <w:szCs w:val="32"/>
          <w:highlight w:val="none"/>
        </w:rPr>
      </w:pPr>
    </w:p>
    <w:p>
      <w:pPr>
        <w:pStyle w:val="5"/>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eastAsia="zh-CN"/>
        </w:rPr>
        <w:t>报价</w:t>
      </w:r>
      <w:r>
        <w:rPr>
          <w:rFonts w:hint="eastAsia" w:ascii="仿宋_GB2312" w:hAnsi="仿宋_GB2312" w:eastAsia="仿宋_GB2312" w:cs="仿宋_GB2312"/>
          <w:color w:val="auto"/>
          <w:sz w:val="32"/>
          <w:szCs w:val="32"/>
          <w:highlight w:val="none"/>
        </w:rPr>
        <w:t>信封</w:t>
      </w:r>
    </w:p>
    <w:p>
      <w:pPr>
        <w:tabs>
          <w:tab w:val="left" w:pos="720"/>
        </w:tabs>
        <w:adjustRightInd w:val="0"/>
        <w:snapToGrid w:val="0"/>
        <w:rPr>
          <w:rFonts w:hint="eastAsia" w:ascii="仿宋_GB2312" w:hAnsi="仿宋_GB2312" w:eastAsia="仿宋_GB2312" w:cs="仿宋_GB2312"/>
          <w:color w:val="auto"/>
          <w:szCs w:val="28"/>
          <w:highlight w:val="none"/>
        </w:rPr>
      </w:pPr>
    </w:p>
    <w:p>
      <w:pPr>
        <w:tabs>
          <w:tab w:val="left" w:pos="720"/>
        </w:tabs>
        <w:adjustRightInd w:val="0"/>
        <w:snapToGrid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说明：唱标信封应包括但不限于以下内容：</w:t>
      </w:r>
    </w:p>
    <w:p>
      <w:pPr>
        <w:numPr>
          <w:ilvl w:val="-1"/>
          <w:numId w:val="0"/>
        </w:numPr>
        <w:spacing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24"/>
          <w:szCs w:val="24"/>
          <w:highlight w:val="none"/>
          <w:lang w:val="en-US" w:eastAsia="zh-CN"/>
        </w:rPr>
        <w:t>1、</w:t>
      </w:r>
      <w:r>
        <w:rPr>
          <w:rFonts w:hint="eastAsia" w:ascii="仿宋_GB2312" w:hAnsi="仿宋_GB2312" w:eastAsia="仿宋_GB2312" w:cs="仿宋_GB2312"/>
          <w:b/>
          <w:color w:val="auto"/>
          <w:sz w:val="24"/>
          <w:szCs w:val="24"/>
          <w:highlight w:val="none"/>
        </w:rPr>
        <w:t>报价表（首次</w:t>
      </w:r>
      <w:r>
        <w:rPr>
          <w:rFonts w:hint="eastAsia" w:ascii="仿宋_GB2312" w:hAnsi="仿宋_GB2312" w:eastAsia="仿宋_GB2312" w:cs="仿宋_GB2312"/>
          <w:b/>
          <w:color w:val="auto"/>
          <w:sz w:val="24"/>
          <w:szCs w:val="24"/>
          <w:highlight w:val="none"/>
          <w:lang w:eastAsia="zh-CN"/>
        </w:rPr>
        <w:t>报价</w:t>
      </w:r>
      <w:r>
        <w:rPr>
          <w:rFonts w:hint="eastAsia" w:ascii="仿宋_GB2312" w:hAnsi="仿宋_GB2312" w:eastAsia="仿宋_GB2312" w:cs="仿宋_GB2312"/>
          <w:b/>
          <w:color w:val="auto"/>
          <w:sz w:val="24"/>
          <w:szCs w:val="24"/>
          <w:highlight w:val="none"/>
        </w:rPr>
        <w:t>）原件或复印件加盖公章（一份）</w:t>
      </w:r>
      <w:r>
        <w:rPr>
          <w:rFonts w:hint="eastAsia" w:ascii="仿宋_GB2312" w:hAnsi="仿宋_GB2312" w:eastAsia="仿宋_GB2312" w:cs="仿宋_GB2312"/>
          <w:color w:val="auto"/>
          <w:sz w:val="32"/>
          <w:szCs w:val="32"/>
          <w:highlight w:val="none"/>
        </w:rPr>
        <w:t>。</w:t>
      </w:r>
    </w:p>
    <w:p>
      <w:pPr>
        <w:pStyle w:val="2"/>
        <w:numPr>
          <w:ilvl w:val="0"/>
          <w:numId w:val="0"/>
        </w:numPr>
        <w:rPr>
          <w:rFonts w:hint="eastAsia" w:ascii="仿宋_GB2312" w:hAnsi="仿宋_GB2312" w:eastAsia="仿宋_GB2312" w:cs="仿宋_GB2312"/>
          <w:color w:val="auto"/>
          <w:highlight w:val="none"/>
        </w:rPr>
      </w:pPr>
    </w:p>
    <w:p>
      <w:pPr>
        <w:pStyle w:val="2"/>
        <w:numPr>
          <w:ilvl w:val="0"/>
          <w:numId w:val="0"/>
        </w:numPr>
        <w:rPr>
          <w:rFonts w:hint="eastAsia" w:ascii="仿宋_GB2312" w:hAnsi="仿宋_GB2312" w:eastAsia="仿宋_GB2312" w:cs="仿宋_GB2312"/>
          <w:color w:val="auto"/>
          <w:highlight w:val="none"/>
        </w:rPr>
      </w:pPr>
    </w:p>
    <w:p>
      <w:pPr>
        <w:pStyle w:val="2"/>
        <w:numPr>
          <w:ilvl w:val="0"/>
          <w:numId w:val="0"/>
        </w:numPr>
        <w:rPr>
          <w:rFonts w:hint="eastAsia" w:ascii="仿宋_GB2312" w:hAnsi="仿宋_GB2312" w:eastAsia="仿宋_GB2312" w:cs="仿宋_GB2312"/>
          <w:color w:val="auto"/>
          <w:highlight w:val="none"/>
        </w:rPr>
      </w:pPr>
    </w:p>
    <w:p>
      <w:pPr>
        <w:spacing w:line="5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pacing w:val="4"/>
          <w:sz w:val="24"/>
          <w:szCs w:val="24"/>
          <w:highlight w:val="none"/>
          <w:lang w:eastAsia="zh-CN"/>
        </w:rPr>
        <w:t>响应人</w:t>
      </w:r>
      <w:r>
        <w:rPr>
          <w:rFonts w:hint="eastAsia" w:ascii="仿宋_GB2312" w:hAnsi="仿宋_GB2312" w:eastAsia="仿宋_GB2312" w:cs="仿宋_GB2312"/>
          <w:color w:val="auto"/>
          <w:spacing w:val="4"/>
          <w:sz w:val="24"/>
          <w:szCs w:val="24"/>
          <w:highlight w:val="none"/>
        </w:rPr>
        <w:t>名称（盖公章）：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u w:val="none"/>
        </w:rPr>
        <w:t>响应人法定代表人（或港澳企业决策被授权人）或法定代表人授权委托人（或港澳企业投标被授权人）签字或盖章</w:t>
      </w:r>
      <w:r>
        <w:rPr>
          <w:rFonts w:hint="eastAsia" w:ascii="仿宋_GB2312" w:hAnsi="仿宋_GB2312" w:eastAsia="仿宋_GB2312" w:cs="仿宋_GB2312"/>
          <w:color w:val="auto"/>
          <w:spacing w:val="4"/>
          <w:sz w:val="24"/>
          <w:szCs w:val="24"/>
          <w:highlight w:val="none"/>
          <w:u w:val="single"/>
        </w:rPr>
        <w:t xml:space="preserve">：                        </w:t>
      </w:r>
    </w:p>
    <w:p>
      <w:pPr>
        <w:spacing w:line="520" w:lineRule="exact"/>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     期：</w:t>
      </w:r>
      <w:r>
        <w:rPr>
          <w:rFonts w:hint="eastAsia" w:ascii="仿宋_GB2312" w:hAnsi="仿宋_GB2312" w:eastAsia="仿宋_GB2312" w:cs="仿宋_GB2312"/>
          <w:color w:val="auto"/>
          <w:spacing w:val="4"/>
          <w:sz w:val="24"/>
          <w:szCs w:val="24"/>
          <w:highlight w:val="none"/>
          <w:u w:val="single"/>
        </w:rPr>
        <w:t xml:space="preserve">                                                        </w:t>
      </w:r>
    </w:p>
    <w:p>
      <w:pPr>
        <w:tabs>
          <w:tab w:val="left" w:pos="676"/>
          <w:tab w:val="left" w:pos="2330"/>
          <w:tab w:val="left" w:pos="9230"/>
        </w:tabs>
        <w:autoSpaceDE w:val="0"/>
        <w:autoSpaceDN w:val="0"/>
        <w:adjustRightInd w:val="0"/>
        <w:spacing w:line="480" w:lineRule="exact"/>
        <w:jc w:val="both"/>
        <w:rPr>
          <w:rFonts w:hint="eastAsia" w:ascii="仿宋_GB2312" w:hAnsi="仿宋_GB2312" w:eastAsia="仿宋_GB2312" w:cs="仿宋_GB2312"/>
          <w:color w:val="auto"/>
          <w:sz w:val="24"/>
          <w:szCs w:val="24"/>
          <w:highlight w:val="none"/>
        </w:rPr>
      </w:pPr>
    </w:p>
    <w:p>
      <w:pPr>
        <w:pStyle w:val="2"/>
        <w:numPr>
          <w:ilvl w:val="0"/>
          <w:numId w:val="0"/>
        </w:numPr>
        <w:rPr>
          <w:rFonts w:hint="eastAsia" w:ascii="仿宋_GB2312" w:hAnsi="仿宋_GB2312" w:eastAsia="仿宋_GB2312" w:cs="仿宋_GB2312"/>
          <w:color w:val="auto"/>
          <w:highlight w:val="none"/>
        </w:rPr>
      </w:pPr>
    </w:p>
    <w:p>
      <w:pPr>
        <w:tabs>
          <w:tab w:val="left" w:pos="720"/>
        </w:tabs>
        <w:adjustRightInd w:val="0"/>
        <w:snapToGrid w:val="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b/>
          <w:bCs/>
          <w:color w:val="auto"/>
          <w:spacing w:val="0"/>
          <w:sz w:val="32"/>
          <w:szCs w:val="32"/>
          <w:highlight w:val="none"/>
        </w:rPr>
        <w:t>七、通知函格式</w:t>
      </w:r>
    </w:p>
    <w:p>
      <w:pPr>
        <w:keepLines/>
        <w:widowControl/>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p>
    <w:p>
      <w:pPr>
        <w:keepLines/>
        <w:widowControl/>
        <w:adjustRightInd w:val="0"/>
        <w:snapToGrid w:val="0"/>
        <w:spacing w:line="360" w:lineRule="auto"/>
        <w:jc w:val="center"/>
        <w:rPr>
          <w:rFonts w:hint="eastAsia" w:ascii="仿宋_GB2312" w:hAnsi="仿宋_GB2312" w:eastAsia="仿宋_GB2312" w:cs="仿宋_GB2312"/>
          <w:bCs/>
          <w:color w:val="auto"/>
          <w:spacing w:val="0"/>
          <w:sz w:val="44"/>
          <w:szCs w:val="44"/>
          <w:highlight w:val="none"/>
        </w:rPr>
      </w:pPr>
      <w:r>
        <w:rPr>
          <w:rFonts w:hint="eastAsia" w:ascii="仿宋_GB2312" w:hAnsi="仿宋_GB2312" w:eastAsia="仿宋_GB2312" w:cs="仿宋_GB2312"/>
          <w:bCs/>
          <w:color w:val="auto"/>
          <w:spacing w:val="0"/>
          <w:sz w:val="44"/>
          <w:szCs w:val="44"/>
          <w:highlight w:val="none"/>
        </w:rPr>
        <w:t>通知函</w:t>
      </w:r>
    </w:p>
    <w:p>
      <w:pPr>
        <w:adjustRightInd w:val="0"/>
        <w:snapToGrid w:val="0"/>
        <w:spacing w:line="360" w:lineRule="auto"/>
        <w:rPr>
          <w:rFonts w:hint="eastAsia" w:ascii="仿宋_GB2312" w:hAnsi="仿宋_GB2312" w:eastAsia="仿宋_GB2312" w:cs="仿宋_GB2312"/>
          <w:bCs/>
          <w:color w:val="auto"/>
          <w:sz w:val="21"/>
          <w:szCs w:val="21"/>
          <w:highlight w:val="none"/>
          <w:u w:val="single"/>
        </w:rPr>
      </w:pPr>
      <w:r>
        <w:rPr>
          <w:rFonts w:hint="eastAsia" w:ascii="仿宋_GB2312" w:hAnsi="仿宋_GB2312" w:eastAsia="仿宋_GB2312" w:cs="仿宋_GB2312"/>
          <w:bCs/>
          <w:color w:val="auto"/>
          <w:sz w:val="21"/>
          <w:szCs w:val="21"/>
          <w:highlight w:val="none"/>
          <w:u w:val="single"/>
        </w:rPr>
        <w:t xml:space="preserve">                ：</w:t>
      </w:r>
    </w:p>
    <w:p>
      <w:pPr>
        <w:adjustRightInd w:val="0"/>
        <w:snapToGrid w:val="0"/>
        <w:spacing w:line="360" w:lineRule="auto"/>
        <w:ind w:firstLine="57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我单位已完全理解</w:t>
      </w:r>
      <w:r>
        <w:rPr>
          <w:rFonts w:hint="eastAsia" w:ascii="仿宋_GB2312" w:hAnsi="仿宋_GB2312" w:eastAsia="仿宋_GB2312" w:cs="仿宋_GB2312"/>
          <w:bCs/>
          <w:color w:val="auto"/>
          <w:spacing w:val="0"/>
          <w:kern w:val="0"/>
          <w:sz w:val="21"/>
          <w:szCs w:val="21"/>
          <w:highlight w:val="none"/>
          <w:u w:val="single"/>
        </w:rPr>
        <w:t>（项目名称、编号  ）</w:t>
      </w:r>
      <w:r>
        <w:rPr>
          <w:rFonts w:hint="eastAsia" w:ascii="仿宋_GB2312" w:hAnsi="仿宋_GB2312" w:eastAsia="仿宋_GB2312" w:cs="仿宋_GB2312"/>
          <w:bCs/>
          <w:color w:val="auto"/>
          <w:spacing w:val="0"/>
          <w:kern w:val="0"/>
          <w:sz w:val="21"/>
          <w:szCs w:val="21"/>
          <w:highlight w:val="none"/>
          <w:lang w:eastAsia="zh-CN"/>
        </w:rPr>
        <w:t>磋商文件</w:t>
      </w:r>
      <w:r>
        <w:rPr>
          <w:rFonts w:hint="eastAsia" w:ascii="仿宋_GB2312" w:hAnsi="仿宋_GB2312" w:eastAsia="仿宋_GB2312" w:cs="仿宋_GB2312"/>
          <w:bCs/>
          <w:color w:val="auto"/>
          <w:spacing w:val="0"/>
          <w:kern w:val="0"/>
          <w:sz w:val="21"/>
          <w:szCs w:val="21"/>
          <w:highlight w:val="none"/>
        </w:rPr>
        <w:t>的各项规定，经充分考虑决定：</w:t>
      </w:r>
    </w:p>
    <w:p>
      <w:pPr>
        <w:adjustRightInd w:val="0"/>
        <w:snapToGrid w:val="0"/>
        <w:spacing w:line="360" w:lineRule="auto"/>
        <w:ind w:firstLine="570"/>
        <w:rPr>
          <w:rFonts w:hint="eastAsia" w:ascii="仿宋_GB2312" w:hAnsi="仿宋_GB2312" w:eastAsia="仿宋_GB2312" w:cs="仿宋_GB2312"/>
          <w:bCs/>
          <w:color w:val="auto"/>
          <w:spacing w:val="0"/>
          <w:kern w:val="0"/>
          <w:sz w:val="21"/>
          <w:szCs w:val="21"/>
          <w:highlight w:val="none"/>
        </w:rPr>
      </w:pPr>
    </w:p>
    <w:p>
      <w:pPr>
        <w:numPr>
          <w:ilvl w:val="0"/>
          <w:numId w:val="8"/>
        </w:numPr>
        <w:tabs>
          <w:tab w:val="left" w:pos="360"/>
        </w:tabs>
        <w:adjustRightInd w:val="0"/>
        <w:snapToGrid w:val="0"/>
        <w:spacing w:line="360" w:lineRule="auto"/>
        <w:ind w:left="0" w:firstLine="420" w:firstLineChars="20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按</w:t>
      </w:r>
      <w:r>
        <w:rPr>
          <w:rFonts w:hint="eastAsia" w:ascii="仿宋_GB2312" w:hAnsi="仿宋_GB2312" w:eastAsia="仿宋_GB2312" w:cs="仿宋_GB2312"/>
          <w:bCs/>
          <w:color w:val="auto"/>
          <w:spacing w:val="0"/>
          <w:kern w:val="0"/>
          <w:sz w:val="21"/>
          <w:szCs w:val="21"/>
          <w:highlight w:val="none"/>
          <w:lang w:eastAsia="zh-CN"/>
        </w:rPr>
        <w:t>磋商文件</w:t>
      </w:r>
      <w:r>
        <w:rPr>
          <w:rFonts w:hint="eastAsia" w:ascii="仿宋_GB2312" w:hAnsi="仿宋_GB2312" w:eastAsia="仿宋_GB2312" w:cs="仿宋_GB2312"/>
          <w:bCs/>
          <w:color w:val="auto"/>
          <w:spacing w:val="0"/>
          <w:kern w:val="0"/>
          <w:sz w:val="21"/>
          <w:szCs w:val="21"/>
          <w:highlight w:val="none"/>
        </w:rPr>
        <w:t xml:space="preserve">的各项规定参加本次投标活动。  </w:t>
      </w:r>
      <w:r>
        <w:rPr>
          <w:rFonts w:hint="eastAsia" w:ascii="仿宋_GB2312" w:hAnsi="仿宋_GB2312" w:eastAsia="仿宋_GB2312" w:cs="仿宋_GB2312"/>
          <w:bCs/>
          <w:color w:val="auto"/>
          <w:spacing w:val="0"/>
          <w:kern w:val="0"/>
          <w:sz w:val="21"/>
          <w:szCs w:val="21"/>
          <w:highlight w:val="none"/>
          <w:u w:val="single"/>
        </w:rPr>
        <w:t xml:space="preserve">            。</w:t>
      </w:r>
    </w:p>
    <w:p>
      <w:pPr>
        <w:adjustRightInd w:val="0"/>
        <w:snapToGrid w:val="0"/>
        <w:spacing w:line="360" w:lineRule="auto"/>
        <w:ind w:firstLine="420" w:firstLineChars="200"/>
        <w:rPr>
          <w:rFonts w:hint="eastAsia" w:ascii="仿宋_GB2312" w:hAnsi="仿宋_GB2312" w:eastAsia="仿宋_GB2312" w:cs="仿宋_GB2312"/>
          <w:bCs/>
          <w:color w:val="auto"/>
          <w:spacing w:val="0"/>
          <w:kern w:val="0"/>
          <w:sz w:val="21"/>
          <w:szCs w:val="21"/>
          <w:highlight w:val="none"/>
        </w:rPr>
      </w:pPr>
    </w:p>
    <w:p>
      <w:pPr>
        <w:numPr>
          <w:ilvl w:val="0"/>
          <w:numId w:val="8"/>
        </w:numPr>
        <w:tabs>
          <w:tab w:val="left" w:pos="360"/>
        </w:tabs>
        <w:adjustRightInd w:val="0"/>
        <w:snapToGrid w:val="0"/>
        <w:spacing w:line="360" w:lineRule="auto"/>
        <w:ind w:left="0" w:firstLine="420" w:firstLineChars="200"/>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 xml:space="preserve">放弃本次投标活动。 </w:t>
      </w:r>
      <w:r>
        <w:rPr>
          <w:rFonts w:hint="eastAsia" w:ascii="仿宋_GB2312" w:hAnsi="仿宋_GB2312" w:eastAsia="仿宋_GB2312" w:cs="仿宋_GB2312"/>
          <w:bCs/>
          <w:color w:val="auto"/>
          <w:spacing w:val="0"/>
          <w:kern w:val="0"/>
          <w:sz w:val="21"/>
          <w:szCs w:val="21"/>
          <w:highlight w:val="none"/>
          <w:u w:val="single"/>
        </w:rPr>
        <w:t xml:space="preserve">            。</w:t>
      </w:r>
    </w:p>
    <w:p>
      <w:pPr>
        <w:tabs>
          <w:tab w:val="left" w:pos="360"/>
        </w:tabs>
        <w:adjustRightInd w:val="0"/>
        <w:snapToGrid w:val="0"/>
        <w:spacing w:line="360" w:lineRule="auto"/>
        <w:ind w:left="235" w:leftChars="112"/>
        <w:rPr>
          <w:rFonts w:hint="eastAsia" w:ascii="仿宋_GB2312" w:hAnsi="仿宋_GB2312" w:eastAsia="仿宋_GB2312" w:cs="仿宋_GB2312"/>
          <w:bCs/>
          <w:color w:val="auto"/>
          <w:spacing w:val="0"/>
          <w:kern w:val="0"/>
          <w:sz w:val="21"/>
          <w:szCs w:val="21"/>
          <w:highlight w:val="none"/>
        </w:rPr>
      </w:pPr>
    </w:p>
    <w:p>
      <w:pPr>
        <w:tabs>
          <w:tab w:val="left" w:pos="360"/>
        </w:tabs>
        <w:adjustRightInd w:val="0"/>
        <w:snapToGrid w:val="0"/>
        <w:spacing w:line="360" w:lineRule="auto"/>
        <w:ind w:left="235" w:leftChars="112"/>
        <w:rPr>
          <w:rFonts w:hint="eastAsia" w:ascii="仿宋_GB2312" w:hAnsi="仿宋_GB2312" w:eastAsia="仿宋_GB2312" w:cs="仿宋_GB2312"/>
          <w:bCs/>
          <w:color w:val="auto"/>
          <w:spacing w:val="0"/>
          <w:kern w:val="0"/>
          <w:sz w:val="21"/>
          <w:szCs w:val="21"/>
          <w:highlight w:val="none"/>
        </w:rPr>
      </w:pPr>
    </w:p>
    <w:p>
      <w:pPr>
        <w:tabs>
          <w:tab w:val="left" w:pos="360"/>
        </w:tabs>
        <w:adjustRightInd w:val="0"/>
        <w:snapToGrid w:val="0"/>
        <w:spacing w:line="360" w:lineRule="auto"/>
        <w:ind w:left="235" w:leftChars="112"/>
        <w:rPr>
          <w:rFonts w:hint="eastAsia" w:ascii="仿宋_GB2312" w:hAnsi="仿宋_GB2312" w:eastAsia="仿宋_GB2312" w:cs="仿宋_GB2312"/>
          <w:bCs/>
          <w:color w:val="auto"/>
          <w:spacing w:val="0"/>
          <w:kern w:val="0"/>
          <w:sz w:val="21"/>
          <w:szCs w:val="21"/>
          <w:highlight w:val="none"/>
        </w:rPr>
      </w:pPr>
      <w:r>
        <w:rPr>
          <w:rFonts w:hint="eastAsia" w:ascii="仿宋_GB2312" w:hAnsi="仿宋_GB2312" w:eastAsia="仿宋_GB2312" w:cs="仿宋_GB2312"/>
          <w:bCs/>
          <w:color w:val="auto"/>
          <w:spacing w:val="0"/>
          <w:kern w:val="0"/>
          <w:sz w:val="21"/>
          <w:szCs w:val="21"/>
          <w:highlight w:val="none"/>
        </w:rPr>
        <w:t>请各</w:t>
      </w:r>
      <w:r>
        <w:rPr>
          <w:rFonts w:hint="eastAsia" w:ascii="仿宋_GB2312" w:hAnsi="仿宋_GB2312" w:eastAsia="仿宋_GB2312" w:cs="仿宋_GB2312"/>
          <w:bCs/>
          <w:color w:val="auto"/>
          <w:spacing w:val="0"/>
          <w:kern w:val="0"/>
          <w:sz w:val="21"/>
          <w:szCs w:val="21"/>
          <w:highlight w:val="none"/>
          <w:lang w:eastAsia="zh-CN"/>
        </w:rPr>
        <w:t>响应人</w:t>
      </w:r>
      <w:r>
        <w:rPr>
          <w:rFonts w:hint="eastAsia" w:ascii="仿宋_GB2312" w:hAnsi="仿宋_GB2312" w:eastAsia="仿宋_GB2312" w:cs="仿宋_GB2312"/>
          <w:bCs/>
          <w:color w:val="auto"/>
          <w:spacing w:val="0"/>
          <w:kern w:val="0"/>
          <w:sz w:val="21"/>
          <w:szCs w:val="21"/>
          <w:highlight w:val="none"/>
        </w:rPr>
        <w:t>在上述1或2选择“√”并签章完毕后于开标前2日扫描发电子邮件至</w:t>
      </w:r>
      <w:r>
        <w:rPr>
          <w:rFonts w:hint="eastAsia" w:ascii="仿宋_GB2312" w:hAnsi="仿宋_GB2312" w:eastAsia="仿宋_GB2312" w:cs="仿宋_GB2312"/>
          <w:bCs/>
          <w:color w:val="auto"/>
          <w:spacing w:val="0"/>
          <w:kern w:val="0"/>
          <w:sz w:val="21"/>
          <w:szCs w:val="21"/>
          <w:highlight w:val="none"/>
          <w:lang w:val="en-US" w:eastAsia="zh-CN"/>
        </w:rPr>
        <w:t>bap@hxdgcgw.com</w:t>
      </w:r>
      <w:r>
        <w:rPr>
          <w:rFonts w:hint="eastAsia" w:ascii="仿宋_GB2312" w:hAnsi="仿宋_GB2312" w:eastAsia="仿宋_GB2312" w:cs="仿宋_GB2312"/>
          <w:bCs/>
          <w:color w:val="auto"/>
          <w:spacing w:val="0"/>
          <w:kern w:val="0"/>
          <w:sz w:val="21"/>
          <w:szCs w:val="21"/>
          <w:highlight w:val="none"/>
        </w:rPr>
        <w:t>。</w:t>
      </w: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60" w:lineRule="auto"/>
        <w:ind w:firstLine="420" w:firstLineChars="200"/>
        <w:rPr>
          <w:rFonts w:hint="eastAsia" w:ascii="仿宋_GB2312" w:hAnsi="仿宋_GB2312" w:eastAsia="仿宋_GB2312" w:cs="仿宋_GB2312"/>
          <w:color w:val="auto"/>
          <w:spacing w:val="0"/>
          <w:sz w:val="21"/>
          <w:szCs w:val="21"/>
          <w:highlight w:val="none"/>
        </w:rPr>
      </w:pPr>
    </w:p>
    <w:p>
      <w:pPr>
        <w:adjustRightInd w:val="0"/>
        <w:snapToGrid w:val="0"/>
        <w:spacing w:line="300" w:lineRule="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响应人法定代表人（或港澳企业决策被授权人）或法定代表人授权委托人（或港澳企业投标被授权人）签字或盖章：</w:t>
      </w:r>
    </w:p>
    <w:p>
      <w:pPr>
        <w:adjustRightInd w:val="0"/>
        <w:snapToGrid w:val="0"/>
        <w:spacing w:line="300" w:lineRule="auto"/>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color w:val="auto"/>
          <w:sz w:val="21"/>
          <w:szCs w:val="21"/>
          <w:highlight w:val="none"/>
          <w:lang w:eastAsia="zh-CN"/>
        </w:rPr>
        <w:t>响应人</w:t>
      </w:r>
      <w:r>
        <w:rPr>
          <w:rFonts w:hint="eastAsia" w:ascii="仿宋_GB2312" w:hAnsi="仿宋_GB2312" w:eastAsia="仿宋_GB2312" w:cs="仿宋_GB2312"/>
          <w:color w:val="auto"/>
          <w:sz w:val="21"/>
          <w:szCs w:val="21"/>
          <w:highlight w:val="none"/>
        </w:rPr>
        <w:t>名称（公章）：</w:t>
      </w:r>
      <w:r>
        <w:rPr>
          <w:rFonts w:hint="eastAsia" w:ascii="仿宋_GB2312" w:hAnsi="仿宋_GB2312" w:eastAsia="仿宋_GB2312" w:cs="仿宋_GB2312"/>
          <w:color w:val="auto"/>
          <w:sz w:val="21"/>
          <w:szCs w:val="21"/>
          <w:highlight w:val="none"/>
          <w:u w:val="single"/>
        </w:rPr>
        <w:t xml:space="preserve">                        </w:t>
      </w:r>
    </w:p>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日期：</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 xml:space="preserve"> 日</w:t>
      </w:r>
    </w:p>
    <w:p>
      <w:pPr>
        <w:adjustRightInd w:val="0"/>
        <w:snapToGrid w:val="0"/>
        <w:spacing w:line="360" w:lineRule="auto"/>
        <w:rPr>
          <w:rFonts w:hint="eastAsia" w:ascii="仿宋_GB2312" w:hAnsi="仿宋_GB2312" w:eastAsia="仿宋_GB2312" w:cs="仿宋_GB2312"/>
          <w:color w:val="auto"/>
          <w:spacing w:val="0"/>
          <w:sz w:val="21"/>
          <w:szCs w:val="21"/>
          <w:highlight w:val="none"/>
        </w:rPr>
      </w:pPr>
    </w:p>
    <w:p>
      <w:pPr>
        <w:adjustRightInd w:val="0"/>
        <w:snapToGrid w:val="0"/>
        <w:spacing w:line="360" w:lineRule="auto"/>
        <w:rPr>
          <w:rFonts w:hint="eastAsia" w:ascii="仿宋_GB2312" w:hAnsi="仿宋_GB2312" w:eastAsia="仿宋_GB2312" w:cs="仿宋_GB2312"/>
          <w:b/>
          <w:color w:val="auto"/>
          <w:sz w:val="30"/>
          <w:szCs w:val="30"/>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tabs>
          <w:tab w:val="left" w:pos="720"/>
        </w:tabs>
        <w:adjustRightInd w:val="0"/>
        <w:snapToGrid w:val="0"/>
        <w:jc w:val="left"/>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color w:val="auto"/>
          <w:szCs w:val="28"/>
          <w:highlight w:val="none"/>
        </w:rPr>
        <w:br w:type="page"/>
      </w:r>
      <w:r>
        <w:rPr>
          <w:rFonts w:hint="eastAsia" w:ascii="仿宋_GB2312" w:hAnsi="仿宋_GB2312" w:eastAsia="仿宋_GB2312" w:cs="仿宋_GB2312"/>
          <w:b/>
          <w:bCs/>
          <w:color w:val="auto"/>
          <w:spacing w:val="0"/>
          <w:sz w:val="32"/>
          <w:szCs w:val="32"/>
          <w:highlight w:val="none"/>
        </w:rPr>
        <w:t>八、</w:t>
      </w:r>
      <w:r>
        <w:rPr>
          <w:rFonts w:hint="eastAsia" w:ascii="仿宋_GB2312" w:hAnsi="仿宋_GB2312" w:eastAsia="仿宋_GB2312" w:cs="仿宋_GB2312"/>
          <w:b/>
          <w:bCs/>
          <w:color w:val="auto"/>
          <w:spacing w:val="0"/>
          <w:sz w:val="32"/>
          <w:szCs w:val="32"/>
          <w:highlight w:val="none"/>
          <w:lang w:eastAsia="zh-CN"/>
        </w:rPr>
        <w:t>响应</w:t>
      </w:r>
      <w:r>
        <w:rPr>
          <w:rFonts w:hint="eastAsia" w:ascii="仿宋_GB2312" w:hAnsi="仿宋_GB2312" w:eastAsia="仿宋_GB2312" w:cs="仿宋_GB2312"/>
          <w:b/>
          <w:bCs/>
          <w:color w:val="auto"/>
          <w:spacing w:val="0"/>
          <w:sz w:val="32"/>
          <w:szCs w:val="32"/>
          <w:highlight w:val="none"/>
        </w:rPr>
        <w:t>文件封装格式</w:t>
      </w:r>
    </w:p>
    <w:p>
      <w:pPr>
        <w:tabs>
          <w:tab w:val="left" w:pos="720"/>
        </w:tabs>
        <w:adjustRightInd w:val="0"/>
        <w:snapToGrid w:val="0"/>
        <w:rPr>
          <w:rFonts w:hint="eastAsia" w:ascii="仿宋_GB2312" w:hAnsi="仿宋_GB2312" w:eastAsia="仿宋_GB2312" w:cs="仿宋_GB2312"/>
          <w:bCs/>
          <w:color w:val="auto"/>
          <w:szCs w:val="28"/>
          <w:highlight w:val="none"/>
        </w:rPr>
      </w:pPr>
    </w:p>
    <w:p>
      <w:pPr>
        <w:tabs>
          <w:tab w:val="left" w:pos="720"/>
        </w:tabs>
        <w:adjustRightInd w:val="0"/>
        <w:snapToGrid w:val="0"/>
        <w:rPr>
          <w:rFonts w:hint="eastAsia" w:ascii="仿宋_GB2312" w:hAnsi="仿宋_GB2312" w:eastAsia="仿宋_GB2312" w:cs="仿宋_GB2312"/>
          <w:bCs/>
          <w:color w:val="auto"/>
          <w:szCs w:val="28"/>
          <w:highlight w:val="none"/>
        </w:rPr>
      </w:pPr>
    </w:p>
    <w:p>
      <w:pPr>
        <w:adjustRightInd w:val="0"/>
        <w:snapToGrid w:val="0"/>
        <w:jc w:val="center"/>
        <w:rPr>
          <w:rStyle w:val="30"/>
          <w:rFonts w:hint="eastAsia" w:ascii="仿宋_GB2312" w:hAnsi="仿宋_GB2312" w:eastAsia="仿宋_GB2312" w:cs="仿宋_GB2312"/>
          <w:b w:val="0"/>
          <w:color w:val="auto"/>
          <w:sz w:val="44"/>
          <w:szCs w:val="44"/>
          <w:highlight w:val="none"/>
        </w:rPr>
      </w:pPr>
      <w:r>
        <w:rPr>
          <w:rStyle w:val="30"/>
          <w:rFonts w:hint="eastAsia" w:ascii="仿宋_GB2312" w:hAnsi="仿宋_GB2312" w:eastAsia="仿宋_GB2312" w:cs="仿宋_GB2312"/>
          <w:b w:val="0"/>
          <w:color w:val="auto"/>
          <w:sz w:val="44"/>
          <w:szCs w:val="44"/>
          <w:highlight w:val="none"/>
          <w:lang w:eastAsia="zh-CN"/>
        </w:rPr>
        <w:t>响应</w:t>
      </w:r>
      <w:r>
        <w:rPr>
          <w:rStyle w:val="30"/>
          <w:rFonts w:hint="eastAsia" w:ascii="仿宋_GB2312" w:hAnsi="仿宋_GB2312" w:eastAsia="仿宋_GB2312" w:cs="仿宋_GB2312"/>
          <w:b w:val="0"/>
          <w:color w:val="auto"/>
          <w:sz w:val="44"/>
          <w:szCs w:val="44"/>
          <w:highlight w:val="none"/>
        </w:rPr>
        <w:t>文件包装封面</w:t>
      </w:r>
    </w:p>
    <w:p>
      <w:pPr>
        <w:pStyle w:val="3"/>
        <w:spacing w:after="0"/>
        <w:rPr>
          <w:rFonts w:hint="eastAsia" w:ascii="仿宋_GB2312" w:hAnsi="仿宋_GB2312" w:eastAsia="仿宋_GB2312" w:cs="仿宋_GB2312"/>
          <w:color w:val="auto"/>
          <w:szCs w:val="28"/>
          <w:highlight w:val="none"/>
        </w:rPr>
      </w:pPr>
    </w:p>
    <w:p>
      <w:pPr>
        <w:pStyle w:val="3"/>
        <w:spacing w:after="0"/>
        <w:rPr>
          <w:rFonts w:hint="eastAsia" w:ascii="仿宋_GB2312" w:hAnsi="仿宋_GB2312" w:eastAsia="仿宋_GB2312" w:cs="仿宋_GB2312"/>
          <w:color w:val="auto"/>
          <w:szCs w:val="28"/>
          <w:highlight w:val="none"/>
        </w:rPr>
      </w:pPr>
    </w:p>
    <w:p>
      <w:pPr>
        <w:pStyle w:val="3"/>
        <w:spacing w:after="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年</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月</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日</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时</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rPr>
        <w:t>分之前不得开启。</w:t>
      </w:r>
    </w:p>
    <w:p>
      <w:pPr>
        <w:pStyle w:val="3"/>
        <w:spacing w:after="0"/>
        <w:rPr>
          <w:rFonts w:hint="eastAsia" w:ascii="仿宋_GB2312" w:hAnsi="仿宋_GB2312" w:eastAsia="仿宋_GB2312" w:cs="仿宋_GB2312"/>
          <w:color w:val="auto"/>
          <w:szCs w:val="28"/>
          <w:highlight w:val="none"/>
        </w:rPr>
      </w:pPr>
    </w:p>
    <w:p>
      <w:pPr>
        <w:pStyle w:val="3"/>
        <w:spacing w:after="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包装内容：□</w:t>
      </w:r>
      <w:r>
        <w:rPr>
          <w:rFonts w:hint="eastAsia" w:ascii="仿宋_GB2312" w:hAnsi="仿宋_GB2312" w:eastAsia="仿宋_GB2312" w:cs="仿宋_GB2312"/>
          <w:color w:val="auto"/>
          <w:szCs w:val="28"/>
          <w:highlight w:val="none"/>
          <w:lang w:eastAsia="zh-CN"/>
        </w:rPr>
        <w:t>响应</w:t>
      </w:r>
      <w:r>
        <w:rPr>
          <w:rFonts w:hint="eastAsia" w:ascii="仿宋_GB2312" w:hAnsi="仿宋_GB2312" w:eastAsia="仿宋_GB2312" w:cs="仿宋_GB2312"/>
          <w:color w:val="auto"/>
          <w:szCs w:val="28"/>
          <w:highlight w:val="none"/>
        </w:rPr>
        <w:t>文件  □</w:t>
      </w:r>
      <w:r>
        <w:rPr>
          <w:rFonts w:hint="eastAsia" w:hAnsi="仿宋_GB2312" w:cs="仿宋_GB2312"/>
          <w:color w:val="auto"/>
          <w:szCs w:val="28"/>
          <w:highlight w:val="none"/>
          <w:lang w:val="en-US" w:eastAsia="zh-CN"/>
        </w:rPr>
        <w:t>首次报价</w:t>
      </w:r>
      <w:r>
        <w:rPr>
          <w:rFonts w:hint="eastAsia" w:ascii="仿宋_GB2312" w:hAnsi="仿宋_GB2312" w:eastAsia="仿宋_GB2312" w:cs="仿宋_GB2312"/>
          <w:color w:val="auto"/>
          <w:szCs w:val="28"/>
          <w:highlight w:val="none"/>
        </w:rPr>
        <w:t xml:space="preserve">  □电子文件</w:t>
      </w:r>
    </w:p>
    <w:p>
      <w:pPr>
        <w:pStyle w:val="3"/>
        <w:spacing w:after="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 xml:space="preserve">         </w:t>
      </w:r>
    </w:p>
    <w:p>
      <w:pPr>
        <w:pStyle w:val="3"/>
        <w:spacing w:after="0"/>
        <w:rPr>
          <w:rFonts w:hint="eastAsia" w:ascii="仿宋_GB2312" w:hAnsi="仿宋_GB2312" w:eastAsia="仿宋_GB2312" w:cs="仿宋_GB2312"/>
          <w:color w:val="auto"/>
          <w:szCs w:val="28"/>
          <w:highlight w:val="none"/>
        </w:rPr>
      </w:pPr>
    </w:p>
    <w:p>
      <w:pPr>
        <w:pStyle w:val="3"/>
        <w:spacing w:after="0" w:line="800" w:lineRule="exact"/>
        <w:rPr>
          <w:rFonts w:hint="eastAsia" w:ascii="仿宋_GB2312" w:hAnsi="仿宋_GB2312" w:eastAsia="仿宋_GB2312" w:cs="仿宋_GB2312"/>
          <w:color w:val="auto"/>
          <w:szCs w:val="28"/>
          <w:highlight w:val="none"/>
          <w:u w:val="single"/>
        </w:rPr>
      </w:pPr>
      <w:r>
        <w:rPr>
          <w:rFonts w:hint="eastAsia" w:ascii="仿宋_GB2312" w:hAnsi="仿宋_GB2312" w:eastAsia="仿宋_GB2312" w:cs="仿宋_GB2312"/>
          <w:color w:val="auto"/>
          <w:szCs w:val="28"/>
          <w:highlight w:val="none"/>
        </w:rPr>
        <w:t>项目名称：</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项目编号：</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rPr>
      </w:pPr>
      <w:r>
        <w:rPr>
          <w:rStyle w:val="30"/>
          <w:rFonts w:hint="eastAsia" w:hAnsi="仿宋_GB2312" w:cs="仿宋_GB2312"/>
          <w:b w:val="0"/>
          <w:color w:val="auto"/>
          <w:szCs w:val="28"/>
          <w:highlight w:val="none"/>
          <w:lang w:eastAsia="zh-CN"/>
        </w:rPr>
        <w:t>响应人</w:t>
      </w:r>
      <w:r>
        <w:rPr>
          <w:rStyle w:val="30"/>
          <w:rFonts w:hint="eastAsia" w:ascii="仿宋_GB2312" w:hAnsi="仿宋_GB2312" w:eastAsia="仿宋_GB2312" w:cs="仿宋_GB2312"/>
          <w:b w:val="0"/>
          <w:color w:val="auto"/>
          <w:szCs w:val="28"/>
          <w:highlight w:val="none"/>
        </w:rPr>
        <w:t>（法人公章或港澳企业公章）：</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u w:val="single"/>
        </w:rPr>
      </w:pPr>
      <w:r>
        <w:rPr>
          <w:rStyle w:val="30"/>
          <w:rFonts w:hint="eastAsia" w:ascii="仿宋_GB2312" w:hAnsi="仿宋_GB2312" w:eastAsia="仿宋_GB2312" w:cs="仿宋_GB2312"/>
          <w:b w:val="0"/>
          <w:color w:val="auto"/>
          <w:szCs w:val="28"/>
          <w:highlight w:val="none"/>
        </w:rPr>
        <w:t>响应人法定代表人（或港澳企业决策被授权人）或法定代表人授权委托人（或港澳企业投标被授权人）签字或盖章：</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rPr>
      </w:pPr>
      <w:r>
        <w:rPr>
          <w:rStyle w:val="30"/>
          <w:rFonts w:hint="eastAsia" w:ascii="仿宋_GB2312" w:hAnsi="仿宋_GB2312" w:eastAsia="仿宋_GB2312" w:cs="仿宋_GB2312"/>
          <w:b w:val="0"/>
          <w:color w:val="auto"/>
          <w:szCs w:val="28"/>
          <w:highlight w:val="none"/>
        </w:rPr>
        <w:t>住所/地址：</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rPr>
      </w:pPr>
      <w:r>
        <w:rPr>
          <w:rStyle w:val="30"/>
          <w:rFonts w:hint="eastAsia" w:ascii="仿宋_GB2312" w:hAnsi="仿宋_GB2312" w:eastAsia="仿宋_GB2312" w:cs="仿宋_GB2312"/>
          <w:b w:val="0"/>
          <w:color w:val="auto"/>
          <w:szCs w:val="28"/>
          <w:highlight w:val="none"/>
        </w:rPr>
        <w:t>联系人：</w:t>
      </w:r>
      <w:r>
        <w:rPr>
          <w:rStyle w:val="30"/>
          <w:rFonts w:hint="eastAsia" w:ascii="仿宋_GB2312" w:hAnsi="仿宋_GB2312" w:eastAsia="仿宋_GB2312" w:cs="仿宋_GB2312"/>
          <w:b w:val="0"/>
          <w:color w:val="auto"/>
          <w:szCs w:val="28"/>
          <w:highlight w:val="none"/>
          <w:u w:val="single"/>
        </w:rPr>
        <w:t xml:space="preserve">         </w:t>
      </w:r>
      <w:r>
        <w:rPr>
          <w:rStyle w:val="30"/>
          <w:rFonts w:hint="eastAsia" w:ascii="仿宋_GB2312" w:hAnsi="仿宋_GB2312" w:eastAsia="仿宋_GB2312" w:cs="仿宋_GB2312"/>
          <w:b w:val="0"/>
          <w:bCs w:val="0"/>
          <w:color w:val="auto"/>
          <w:szCs w:val="28"/>
          <w:highlight w:val="none"/>
        </w:rPr>
        <w:t>办公</w:t>
      </w:r>
      <w:r>
        <w:rPr>
          <w:rStyle w:val="30"/>
          <w:rFonts w:hint="eastAsia" w:ascii="仿宋_GB2312" w:hAnsi="仿宋_GB2312" w:eastAsia="仿宋_GB2312" w:cs="仿宋_GB2312"/>
          <w:b w:val="0"/>
          <w:color w:val="auto"/>
          <w:szCs w:val="28"/>
          <w:highlight w:val="none"/>
        </w:rPr>
        <w:t>电话：</w:t>
      </w:r>
      <w:r>
        <w:rPr>
          <w:rStyle w:val="30"/>
          <w:rFonts w:hint="eastAsia" w:ascii="仿宋_GB2312" w:hAnsi="仿宋_GB2312" w:eastAsia="仿宋_GB2312" w:cs="仿宋_GB2312"/>
          <w:b w:val="0"/>
          <w:color w:val="auto"/>
          <w:szCs w:val="28"/>
          <w:highlight w:val="none"/>
          <w:u w:val="single"/>
        </w:rPr>
        <w:t xml:space="preserve">          </w:t>
      </w:r>
      <w:r>
        <w:rPr>
          <w:rStyle w:val="30"/>
          <w:rFonts w:hint="eastAsia" w:ascii="仿宋_GB2312" w:hAnsi="仿宋_GB2312" w:eastAsia="仿宋_GB2312" w:cs="仿宋_GB2312"/>
          <w:b w:val="0"/>
          <w:bCs w:val="0"/>
          <w:color w:val="auto"/>
          <w:szCs w:val="28"/>
          <w:highlight w:val="none"/>
        </w:rPr>
        <w:t>移动电话</w:t>
      </w:r>
      <w:r>
        <w:rPr>
          <w:rStyle w:val="30"/>
          <w:rFonts w:hint="eastAsia" w:ascii="仿宋_GB2312" w:hAnsi="仿宋_GB2312" w:eastAsia="仿宋_GB2312" w:cs="仿宋_GB2312"/>
          <w:b w:val="0"/>
          <w:color w:val="auto"/>
          <w:szCs w:val="28"/>
          <w:highlight w:val="none"/>
        </w:rPr>
        <w:t>：</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600" w:lineRule="exact"/>
        <w:rPr>
          <w:rFonts w:hint="eastAsia" w:ascii="仿宋_GB2312" w:hAnsi="仿宋_GB2312" w:eastAsia="仿宋_GB2312" w:cs="仿宋_GB2312"/>
          <w:color w:val="auto"/>
          <w:szCs w:val="28"/>
          <w:highlight w:val="none"/>
          <w:u w:val="thick"/>
        </w:rPr>
      </w:pPr>
    </w:p>
    <w:p>
      <w:pPr>
        <w:pStyle w:val="3"/>
        <w:spacing w:after="0"/>
        <w:rPr>
          <w:rFonts w:hint="eastAsia" w:ascii="仿宋_GB2312" w:hAnsi="仿宋_GB2312" w:eastAsia="仿宋_GB2312" w:cs="仿宋_GB2312"/>
          <w:color w:val="auto"/>
          <w:szCs w:val="28"/>
          <w:highlight w:val="none"/>
          <w:u w:val="thick"/>
        </w:rPr>
      </w:pPr>
    </w:p>
    <w:p>
      <w:pPr>
        <w:pStyle w:val="3"/>
        <w:spacing w:after="0"/>
        <w:rPr>
          <w:rFonts w:hint="eastAsia" w:ascii="仿宋_GB2312" w:hAnsi="仿宋_GB2312" w:eastAsia="仿宋_GB2312" w:cs="仿宋_GB2312"/>
          <w:color w:val="auto"/>
          <w:szCs w:val="28"/>
          <w:highlight w:val="none"/>
          <w:u w:val="thick"/>
        </w:rPr>
      </w:pPr>
    </w:p>
    <w:p>
      <w:pPr>
        <w:tabs>
          <w:tab w:val="left" w:pos="720"/>
        </w:tabs>
        <w:adjustRightInd w:val="0"/>
        <w:snapToGrid w:val="0"/>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说明：</w:t>
      </w:r>
      <w:r>
        <w:rPr>
          <w:rFonts w:hint="eastAsia" w:ascii="仿宋_GB2312" w:hAnsi="仿宋_GB2312" w:eastAsia="仿宋_GB2312" w:cs="仿宋_GB2312"/>
          <w:color w:val="auto"/>
          <w:kern w:val="0"/>
          <w:sz w:val="21"/>
          <w:szCs w:val="21"/>
          <w:highlight w:val="none"/>
        </w:rPr>
        <w:t>标书名称应当与所包装的标书相同。</w:t>
      </w:r>
    </w:p>
    <w:p>
      <w:pPr>
        <w:pStyle w:val="3"/>
        <w:spacing w:after="0"/>
        <w:jc w:val="center"/>
        <w:rPr>
          <w:rFonts w:hint="eastAsia" w:ascii="仿宋_GB2312" w:hAnsi="仿宋_GB2312" w:eastAsia="仿宋_GB2312" w:cs="仿宋_GB2312"/>
          <w:color w:val="auto"/>
          <w:szCs w:val="28"/>
          <w:highlight w:val="none"/>
        </w:rPr>
      </w:pPr>
      <w:r>
        <w:rPr>
          <w:rFonts w:hint="eastAsia" w:ascii="仿宋_GB2312" w:hAnsi="仿宋_GB2312" w:cs="仿宋_GB2312"/>
          <w:color w:val="auto"/>
          <w:highlight w:val="none"/>
        </w:rPr>
        <w:br w:type="page"/>
      </w:r>
      <w:r>
        <w:rPr>
          <w:rStyle w:val="30"/>
          <w:rFonts w:hint="eastAsia" w:ascii="仿宋_GB2312" w:hAnsi="仿宋_GB2312" w:eastAsia="仿宋_GB2312" w:cs="仿宋_GB2312"/>
          <w:b w:val="0"/>
          <w:color w:val="auto"/>
          <w:spacing w:val="0"/>
          <w:kern w:val="0"/>
          <w:sz w:val="44"/>
          <w:szCs w:val="44"/>
          <w:highlight w:val="none"/>
          <w:lang w:val="en-US" w:eastAsia="zh-CN" w:bidi="ar-SA"/>
        </w:rPr>
        <w:t>标书封面</w:t>
      </w:r>
    </w:p>
    <w:p>
      <w:pPr>
        <w:pStyle w:val="3"/>
        <w:spacing w:after="0"/>
        <w:jc w:val="right"/>
        <w:rPr>
          <w:rFonts w:hint="eastAsia" w:ascii="仿宋_GB2312" w:hAnsi="仿宋_GB2312" w:eastAsia="仿宋_GB2312" w:cs="仿宋_GB2312"/>
          <w:color w:val="auto"/>
          <w:spacing w:val="120"/>
          <w:sz w:val="52"/>
          <w:szCs w:val="52"/>
          <w:highlight w:val="none"/>
        </w:rPr>
      </w:pPr>
    </w:p>
    <w:p>
      <w:pPr>
        <w:pStyle w:val="3"/>
        <w:jc w:val="center"/>
        <w:rPr>
          <w:rFonts w:hint="eastAsia" w:ascii="仿宋_GB2312" w:hAnsi="仿宋_GB2312" w:eastAsia="仿宋_GB2312" w:cs="仿宋_GB2312"/>
          <w:color w:val="auto"/>
          <w:spacing w:val="120"/>
          <w:sz w:val="52"/>
          <w:szCs w:val="52"/>
          <w:highlight w:val="none"/>
        </w:rPr>
      </w:pPr>
      <w:r>
        <w:rPr>
          <w:rFonts w:hint="eastAsia" w:ascii="仿宋_GB2312" w:hAnsi="仿宋_GB2312" w:eastAsia="仿宋_GB2312" w:cs="仿宋_GB2312"/>
          <w:color w:val="auto"/>
          <w:spacing w:val="120"/>
          <w:sz w:val="52"/>
          <w:szCs w:val="52"/>
          <w:highlight w:val="none"/>
          <w:lang w:eastAsia="zh-CN"/>
        </w:rPr>
        <w:t>响应</w:t>
      </w:r>
      <w:r>
        <w:rPr>
          <w:rFonts w:hint="eastAsia" w:ascii="仿宋_GB2312" w:hAnsi="仿宋_GB2312" w:eastAsia="仿宋_GB2312" w:cs="仿宋_GB2312"/>
          <w:color w:val="auto"/>
          <w:spacing w:val="120"/>
          <w:sz w:val="52"/>
          <w:szCs w:val="52"/>
          <w:highlight w:val="none"/>
        </w:rPr>
        <w:t>文件</w:t>
      </w:r>
    </w:p>
    <w:p>
      <w:pPr>
        <w:pStyle w:val="3"/>
        <w:jc w:val="center"/>
        <w:rPr>
          <w:rFonts w:hint="eastAsia" w:ascii="仿宋_GB2312" w:hAnsi="仿宋_GB2312" w:eastAsia="仿宋_GB2312" w:cs="仿宋_GB2312"/>
          <w:color w:val="auto"/>
          <w:spacing w:val="30"/>
          <w:sz w:val="21"/>
          <w:szCs w:val="21"/>
          <w:highlight w:val="none"/>
        </w:rPr>
      </w:pPr>
    </w:p>
    <w:p>
      <w:pPr>
        <w:pStyle w:val="3"/>
        <w:jc w:val="center"/>
        <w:rPr>
          <w:rFonts w:hint="eastAsia" w:ascii="仿宋_GB2312" w:hAnsi="仿宋_GB2312" w:eastAsia="仿宋_GB2312" w:cs="仿宋_GB2312"/>
          <w:color w:val="auto"/>
          <w:spacing w:val="30"/>
          <w:sz w:val="32"/>
          <w:szCs w:val="32"/>
          <w:highlight w:val="none"/>
        </w:rPr>
      </w:pPr>
      <w:r>
        <w:rPr>
          <w:rFonts w:hint="eastAsia" w:ascii="仿宋_GB2312" w:hAnsi="仿宋_GB2312" w:eastAsia="仿宋_GB2312" w:cs="仿宋_GB2312"/>
          <w:color w:val="auto"/>
          <w:spacing w:val="30"/>
          <w:sz w:val="32"/>
          <w:szCs w:val="32"/>
          <w:highlight w:val="none"/>
        </w:rPr>
        <w:t>（□正本  □副本）</w:t>
      </w:r>
    </w:p>
    <w:p>
      <w:pPr>
        <w:pStyle w:val="3"/>
        <w:rPr>
          <w:rFonts w:hint="eastAsia" w:ascii="仿宋_GB2312" w:hAnsi="仿宋_GB2312" w:eastAsia="仿宋_GB2312" w:cs="仿宋_GB2312"/>
          <w:color w:val="auto"/>
          <w:sz w:val="32"/>
          <w:highlight w:val="none"/>
        </w:rPr>
      </w:pPr>
    </w:p>
    <w:p>
      <w:pPr>
        <w:pStyle w:val="3"/>
        <w:spacing w:after="0" w:line="800" w:lineRule="exact"/>
        <w:rPr>
          <w:rFonts w:hint="eastAsia" w:ascii="仿宋_GB2312" w:hAnsi="仿宋_GB2312" w:eastAsia="仿宋_GB2312" w:cs="仿宋_GB2312"/>
          <w:color w:val="auto"/>
          <w:szCs w:val="28"/>
          <w:highlight w:val="none"/>
          <w:u w:val="single"/>
        </w:rPr>
      </w:pPr>
      <w:r>
        <w:rPr>
          <w:rFonts w:hint="eastAsia" w:ascii="仿宋_GB2312" w:hAnsi="仿宋_GB2312" w:eastAsia="仿宋_GB2312" w:cs="仿宋_GB2312"/>
          <w:color w:val="auto"/>
          <w:szCs w:val="28"/>
          <w:highlight w:val="none"/>
        </w:rPr>
        <w:t>项目名称：</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项目编号：</w:t>
      </w:r>
      <w:r>
        <w:rPr>
          <w:rFonts w:hint="eastAsia" w:ascii="仿宋_GB2312" w:hAnsi="仿宋_GB2312" w:eastAsia="仿宋_GB2312" w:cs="仿宋_GB2312"/>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rPr>
      </w:pPr>
      <w:r>
        <w:rPr>
          <w:rStyle w:val="30"/>
          <w:rFonts w:hint="eastAsia" w:hAnsi="仿宋_GB2312" w:cs="仿宋_GB2312"/>
          <w:b w:val="0"/>
          <w:color w:val="auto"/>
          <w:szCs w:val="28"/>
          <w:highlight w:val="none"/>
          <w:lang w:eastAsia="zh-CN"/>
        </w:rPr>
        <w:t>响应人</w:t>
      </w:r>
      <w:r>
        <w:rPr>
          <w:rStyle w:val="30"/>
          <w:rFonts w:hint="eastAsia" w:ascii="仿宋_GB2312" w:hAnsi="仿宋_GB2312" w:eastAsia="仿宋_GB2312" w:cs="仿宋_GB2312"/>
          <w:b w:val="0"/>
          <w:color w:val="auto"/>
          <w:szCs w:val="28"/>
          <w:highlight w:val="none"/>
        </w:rPr>
        <w:t>（法人公章或港澳企业公章）：</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u w:val="single"/>
        </w:rPr>
      </w:pPr>
      <w:r>
        <w:rPr>
          <w:rStyle w:val="30"/>
          <w:rFonts w:hint="eastAsia" w:ascii="仿宋_GB2312" w:hAnsi="仿宋_GB2312" w:eastAsia="仿宋_GB2312" w:cs="仿宋_GB2312"/>
          <w:b w:val="0"/>
          <w:color w:val="auto"/>
          <w:szCs w:val="28"/>
          <w:highlight w:val="none"/>
        </w:rPr>
        <w:t>响应人法定代表人（或港澳企业决策被授权人）或法定代表人授权委托人（或港澳企业投标被授权人）签字或盖章：</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szCs w:val="28"/>
          <w:highlight w:val="none"/>
          <w:u w:val="single"/>
        </w:rPr>
      </w:pPr>
      <w:r>
        <w:rPr>
          <w:rStyle w:val="30"/>
          <w:rFonts w:hint="eastAsia" w:ascii="仿宋_GB2312" w:hAnsi="仿宋_GB2312" w:eastAsia="仿宋_GB2312" w:cs="仿宋_GB2312"/>
          <w:b w:val="0"/>
          <w:color w:val="auto"/>
          <w:szCs w:val="28"/>
          <w:highlight w:val="none"/>
        </w:rPr>
        <w:t>住所/地址：</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highlight w:val="none"/>
        </w:rPr>
      </w:pPr>
      <w:r>
        <w:rPr>
          <w:rStyle w:val="30"/>
          <w:rFonts w:hint="eastAsia" w:ascii="仿宋_GB2312" w:hAnsi="仿宋_GB2312" w:eastAsia="仿宋_GB2312" w:cs="仿宋_GB2312"/>
          <w:b w:val="0"/>
          <w:color w:val="auto"/>
          <w:szCs w:val="28"/>
          <w:highlight w:val="none"/>
        </w:rPr>
        <w:t>联系人：</w:t>
      </w:r>
      <w:r>
        <w:rPr>
          <w:rStyle w:val="30"/>
          <w:rFonts w:hint="eastAsia" w:ascii="仿宋_GB2312" w:hAnsi="仿宋_GB2312" w:eastAsia="仿宋_GB2312" w:cs="仿宋_GB2312"/>
          <w:b w:val="0"/>
          <w:color w:val="auto"/>
          <w:szCs w:val="28"/>
          <w:highlight w:val="none"/>
          <w:u w:val="single"/>
        </w:rPr>
        <w:t xml:space="preserve">         </w:t>
      </w:r>
      <w:r>
        <w:rPr>
          <w:rStyle w:val="30"/>
          <w:rFonts w:hint="eastAsia" w:ascii="仿宋_GB2312" w:hAnsi="仿宋_GB2312" w:eastAsia="仿宋_GB2312" w:cs="仿宋_GB2312"/>
          <w:b w:val="0"/>
          <w:bCs w:val="0"/>
          <w:color w:val="auto"/>
          <w:szCs w:val="28"/>
          <w:highlight w:val="none"/>
        </w:rPr>
        <w:t>办公</w:t>
      </w:r>
      <w:r>
        <w:rPr>
          <w:rStyle w:val="30"/>
          <w:rFonts w:hint="eastAsia" w:ascii="仿宋_GB2312" w:hAnsi="仿宋_GB2312" w:eastAsia="仿宋_GB2312" w:cs="仿宋_GB2312"/>
          <w:b w:val="0"/>
          <w:color w:val="auto"/>
          <w:szCs w:val="28"/>
          <w:highlight w:val="none"/>
        </w:rPr>
        <w:t>电话：</w:t>
      </w:r>
      <w:r>
        <w:rPr>
          <w:rStyle w:val="30"/>
          <w:rFonts w:hint="eastAsia" w:ascii="仿宋_GB2312" w:hAnsi="仿宋_GB2312" w:eastAsia="仿宋_GB2312" w:cs="仿宋_GB2312"/>
          <w:b w:val="0"/>
          <w:color w:val="auto"/>
          <w:szCs w:val="28"/>
          <w:highlight w:val="none"/>
          <w:u w:val="single"/>
        </w:rPr>
        <w:t xml:space="preserve">          </w:t>
      </w:r>
      <w:r>
        <w:rPr>
          <w:rStyle w:val="30"/>
          <w:rFonts w:hint="eastAsia" w:ascii="仿宋_GB2312" w:hAnsi="仿宋_GB2312" w:eastAsia="仿宋_GB2312" w:cs="仿宋_GB2312"/>
          <w:b w:val="0"/>
          <w:bCs w:val="0"/>
          <w:color w:val="auto"/>
          <w:szCs w:val="28"/>
          <w:highlight w:val="none"/>
        </w:rPr>
        <w:t>移动电话</w:t>
      </w:r>
      <w:r>
        <w:rPr>
          <w:rStyle w:val="30"/>
          <w:rFonts w:hint="eastAsia" w:ascii="仿宋_GB2312" w:hAnsi="仿宋_GB2312" w:eastAsia="仿宋_GB2312" w:cs="仿宋_GB2312"/>
          <w:b w:val="0"/>
          <w:color w:val="auto"/>
          <w:szCs w:val="28"/>
          <w:highlight w:val="none"/>
        </w:rPr>
        <w:t>：</w:t>
      </w:r>
      <w:r>
        <w:rPr>
          <w:rStyle w:val="30"/>
          <w:rFonts w:hint="eastAsia" w:ascii="仿宋_GB2312" w:hAnsi="仿宋_GB2312" w:eastAsia="仿宋_GB2312" w:cs="仿宋_GB2312"/>
          <w:b w:val="0"/>
          <w:color w:val="auto"/>
          <w:szCs w:val="28"/>
          <w:highlight w:val="none"/>
          <w:u w:val="single"/>
        </w:rPr>
        <w:t xml:space="preserve">       </w:t>
      </w:r>
    </w:p>
    <w:p>
      <w:pPr>
        <w:pStyle w:val="3"/>
        <w:spacing w:after="0" w:line="800" w:lineRule="exact"/>
        <w:rPr>
          <w:rStyle w:val="30"/>
          <w:rFonts w:hint="eastAsia" w:ascii="仿宋_GB2312" w:hAnsi="仿宋_GB2312" w:eastAsia="仿宋_GB2312" w:cs="仿宋_GB2312"/>
          <w:b w:val="0"/>
          <w:color w:val="auto"/>
          <w:highlight w:val="none"/>
        </w:rPr>
      </w:pPr>
    </w:p>
    <w:p>
      <w:pPr>
        <w:pStyle w:val="3"/>
        <w:spacing w:after="0" w:line="800" w:lineRule="exact"/>
        <w:rPr>
          <w:rStyle w:val="30"/>
          <w:rFonts w:hint="eastAsia" w:ascii="仿宋_GB2312" w:hAnsi="仿宋_GB2312" w:eastAsia="仿宋_GB2312" w:cs="仿宋_GB2312"/>
          <w:b w:val="0"/>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3"/>
        <w:spacing w:after="0" w:line="800" w:lineRule="exact"/>
        <w:rPr>
          <w:rFonts w:hint="eastAsia" w:ascii="仿宋_GB2312" w:hAnsi="仿宋_GB2312" w:eastAsia="仿宋_GB2312" w:cs="仿宋_GB2312"/>
          <w:bCs/>
          <w:color w:val="auto"/>
          <w:szCs w:val="28"/>
          <w:highlight w:val="none"/>
        </w:rPr>
      </w:pPr>
    </w:p>
    <w:sectPr>
      <w:pgSz w:w="11906" w:h="16838"/>
      <w:pgMar w:top="1276" w:right="1489"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pPr>
                          <w:r>
                            <w:fldChar w:fldCharType="begin"/>
                          </w:r>
                          <w:r>
                            <w:instrText xml:space="preserve"> PAGE   \* MERGEFORMAT </w:instrText>
                          </w:r>
                          <w:r>
                            <w:fldChar w:fldCharType="separate"/>
                          </w:r>
                          <w:r>
                            <w:rPr>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rPr>
                        <w:lang w:val="zh-CN"/>
                      </w:rPr>
                      <w:t>28</w:t>
                    </w:r>
                    <w:r>
                      <w:rPr>
                        <w:lang w:val="zh-CN"/>
                      </w:rPr>
                      <w:fldChar w:fldCharType="end"/>
                    </w:r>
                  </w:p>
                </w:txbxContent>
              </v:textbox>
            </v:shape>
          </w:pict>
        </mc:Fallback>
      </mc:AlternateConten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71</w:t>
                    </w:r>
                    <w: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F0547"/>
    <w:multiLevelType w:val="singleLevel"/>
    <w:tmpl w:val="91AF0547"/>
    <w:lvl w:ilvl="0" w:tentative="0">
      <w:start w:val="1"/>
      <w:numFmt w:val="decimal"/>
      <w:suff w:val="nothing"/>
      <w:lvlText w:val="%1"/>
      <w:lvlJc w:val="left"/>
      <w:pPr>
        <w:ind w:left="425" w:leftChars="0" w:hanging="425" w:firstLineChars="0"/>
      </w:pPr>
      <w:rPr>
        <w:rFonts w:hint="default"/>
      </w:rPr>
    </w:lvl>
  </w:abstractNum>
  <w:abstractNum w:abstractNumId="1">
    <w:nsid w:val="C679056C"/>
    <w:multiLevelType w:val="singleLevel"/>
    <w:tmpl w:val="C679056C"/>
    <w:lvl w:ilvl="0" w:tentative="0">
      <w:start w:val="1"/>
      <w:numFmt w:val="decimal"/>
      <w:suff w:val="nothing"/>
      <w:lvlText w:val="%1"/>
      <w:lvlJc w:val="left"/>
      <w:pPr>
        <w:ind w:left="425" w:leftChars="0" w:hanging="425" w:firstLineChars="0"/>
      </w:pPr>
      <w:rPr>
        <w:rFonts w:hint="default"/>
      </w:rPr>
    </w:lvl>
  </w:abstractNum>
  <w:abstractNum w:abstractNumId="2">
    <w:nsid w:val="00000014"/>
    <w:multiLevelType w:val="multilevel"/>
    <w:tmpl w:val="0000001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A24442D"/>
    <w:multiLevelType w:val="multilevel"/>
    <w:tmpl w:val="3A24442D"/>
    <w:lvl w:ilvl="0" w:tentative="0">
      <w:start w:val="2"/>
      <w:numFmt w:val="decimal"/>
      <w:pStyle w:val="6"/>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4">
    <w:nsid w:val="48800F0F"/>
    <w:multiLevelType w:val="multilevel"/>
    <w:tmpl w:val="48800F0F"/>
    <w:lvl w:ilvl="0" w:tentative="0">
      <w:start w:val="1"/>
      <w:numFmt w:val="decimal"/>
      <w:pStyle w:val="63"/>
      <w:lvlText w:val="%1."/>
      <w:lvlJc w:val="left"/>
      <w:pPr>
        <w:tabs>
          <w:tab w:val="left" w:pos="425"/>
        </w:tabs>
        <w:ind w:left="425" w:hanging="425"/>
      </w:pPr>
      <w:rPr>
        <w:rFonts w:hint="eastAsia" w:cs="Times New Roman"/>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pStyle w:val="62"/>
      <w:lvlText w:val="%1.%2.%3.%4"/>
      <w:lvlJc w:val="left"/>
      <w:pPr>
        <w:tabs>
          <w:tab w:val="left" w:pos="2328"/>
        </w:tabs>
        <w:ind w:left="2328"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4D8940A5"/>
    <w:multiLevelType w:val="multilevel"/>
    <w:tmpl w:val="4D8940A5"/>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6">
    <w:nsid w:val="51242382"/>
    <w:multiLevelType w:val="multilevel"/>
    <w:tmpl w:val="51242382"/>
    <w:lvl w:ilvl="0" w:tentative="0">
      <w:start w:val="1"/>
      <w:numFmt w:val="decimal"/>
      <w:lvlText w:val="%1"/>
      <w:lvlJc w:val="left"/>
      <w:pPr>
        <w:tabs>
          <w:tab w:val="left" w:pos="360"/>
        </w:tabs>
        <w:ind w:left="360" w:hanging="360"/>
      </w:pPr>
      <w:rPr>
        <w:rFonts w:hint="eastAsia" w:ascii="宋体" w:hAnsi="宋体" w:eastAsia="宋体" w:cs="Times New Roman"/>
        <w:b/>
        <w:color w:val="auto"/>
      </w:rPr>
    </w:lvl>
    <w:lvl w:ilvl="1" w:tentative="0">
      <w:start w:val="1"/>
      <w:numFmt w:val="decimal"/>
      <w:lvlText w:val="%1.%2"/>
      <w:lvlJc w:val="left"/>
      <w:pPr>
        <w:tabs>
          <w:tab w:val="left" w:pos="360"/>
        </w:tabs>
        <w:ind w:left="360" w:hanging="360"/>
      </w:pPr>
      <w:rPr>
        <w:rFonts w:hint="default" w:ascii="宋体" w:hAnsi="宋体" w:eastAsia="宋体" w:cs="Times New Roman"/>
        <w:b w:val="0"/>
        <w:strike w:val="0"/>
        <w:color w:val="auto"/>
        <w:sz w:val="21"/>
        <w:szCs w:val="21"/>
      </w:rPr>
    </w:lvl>
    <w:lvl w:ilvl="2" w:tentative="0">
      <w:start w:val="1"/>
      <w:numFmt w:val="decimal"/>
      <w:lvlText w:val="%1.%2.%3"/>
      <w:lvlJc w:val="left"/>
      <w:pPr>
        <w:tabs>
          <w:tab w:val="left" w:pos="720"/>
        </w:tabs>
        <w:ind w:left="720" w:hanging="720"/>
      </w:pPr>
      <w:rPr>
        <w:rFonts w:hint="default" w:ascii="宋体" w:hAnsi="宋体" w:eastAsia="宋体" w:cs="Times New Roman"/>
        <w:b w:val="0"/>
        <w:bCs w:val="0"/>
        <w:sz w:val="21"/>
        <w:szCs w:val="21"/>
      </w:rPr>
    </w:lvl>
    <w:lvl w:ilvl="3" w:tentative="0">
      <w:start w:val="1"/>
      <w:numFmt w:val="decimal"/>
      <w:lvlText w:val="%1.%2.%3.%4"/>
      <w:lvlJc w:val="left"/>
      <w:pPr>
        <w:tabs>
          <w:tab w:val="left" w:pos="720"/>
        </w:tabs>
        <w:ind w:left="720" w:hanging="720"/>
      </w:pPr>
      <w:rPr>
        <w:rFonts w:hint="default" w:cs="Times New Roman"/>
        <w:sz w:val="21"/>
        <w:szCs w:val="21"/>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080"/>
        </w:tabs>
        <w:ind w:left="1080" w:hanging="108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440"/>
        </w:tabs>
        <w:ind w:left="1440" w:hanging="1440"/>
      </w:pPr>
      <w:rPr>
        <w:rFonts w:hint="default" w:cs="Times New Roman"/>
      </w:rPr>
    </w:lvl>
  </w:abstractNum>
  <w:abstractNum w:abstractNumId="7">
    <w:nsid w:val="5AB238F2"/>
    <w:multiLevelType w:val="multilevel"/>
    <w:tmpl w:val="5AB238F2"/>
    <w:lvl w:ilvl="0" w:tentative="0">
      <w:start w:val="2"/>
      <w:numFmt w:val="decimal"/>
      <w:lvlText w:val="格式%1"/>
      <w:lvlJc w:val="left"/>
      <w:pPr>
        <w:tabs>
          <w:tab w:val="left" w:pos="780"/>
        </w:tabs>
        <w:ind w:left="780" w:hanging="420"/>
      </w:pPr>
      <w:rPr>
        <w:rFonts w:hint="eastAsia" w:ascii="黑体" w:eastAsia="黑体" w:cs="Times New Roman"/>
        <w:color w:val="auto"/>
        <w:sz w:val="28"/>
        <w:szCs w:val="28"/>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4"/>
  </w:num>
  <w:num w:numId="3">
    <w:abstractNumId w:val="6"/>
  </w:num>
  <w:num w:numId="4">
    <w:abstractNumId w:val="0"/>
  </w:num>
  <w:num w:numId="5">
    <w:abstractNumId w:val="7"/>
  </w:num>
  <w:num w:numId="6">
    <w:abstractNumId w:val="1"/>
  </w:num>
  <w:num w:numId="7">
    <w:abstractNumId w:val="5"/>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WIzYzZiOWU5YmMyMDI1ZmEyNTk5NTFkODhhODkifQ=="/>
  </w:docVars>
  <w:rsids>
    <w:rsidRoot w:val="003F4176"/>
    <w:rsid w:val="00000B10"/>
    <w:rsid w:val="0000701B"/>
    <w:rsid w:val="00010B66"/>
    <w:rsid w:val="00012228"/>
    <w:rsid w:val="00012CF8"/>
    <w:rsid w:val="00015429"/>
    <w:rsid w:val="0001694A"/>
    <w:rsid w:val="00020D29"/>
    <w:rsid w:val="00027107"/>
    <w:rsid w:val="00027441"/>
    <w:rsid w:val="00035CB3"/>
    <w:rsid w:val="0004101D"/>
    <w:rsid w:val="00042B7F"/>
    <w:rsid w:val="00043C44"/>
    <w:rsid w:val="00044EED"/>
    <w:rsid w:val="00045944"/>
    <w:rsid w:val="0004778B"/>
    <w:rsid w:val="00056B0D"/>
    <w:rsid w:val="00057876"/>
    <w:rsid w:val="00057B61"/>
    <w:rsid w:val="00061F32"/>
    <w:rsid w:val="00063378"/>
    <w:rsid w:val="000679B9"/>
    <w:rsid w:val="00074E0B"/>
    <w:rsid w:val="00074F94"/>
    <w:rsid w:val="00075BE8"/>
    <w:rsid w:val="0007700A"/>
    <w:rsid w:val="000779DE"/>
    <w:rsid w:val="00080284"/>
    <w:rsid w:val="000810CF"/>
    <w:rsid w:val="000823D5"/>
    <w:rsid w:val="000845AA"/>
    <w:rsid w:val="0008495D"/>
    <w:rsid w:val="000855CB"/>
    <w:rsid w:val="000859D1"/>
    <w:rsid w:val="00092A68"/>
    <w:rsid w:val="00092E7D"/>
    <w:rsid w:val="00093D3F"/>
    <w:rsid w:val="000942DC"/>
    <w:rsid w:val="000948B8"/>
    <w:rsid w:val="000969F0"/>
    <w:rsid w:val="00097922"/>
    <w:rsid w:val="000A1FC8"/>
    <w:rsid w:val="000A2DD6"/>
    <w:rsid w:val="000A2DDB"/>
    <w:rsid w:val="000A63EC"/>
    <w:rsid w:val="000B0817"/>
    <w:rsid w:val="000B3F1C"/>
    <w:rsid w:val="000B661B"/>
    <w:rsid w:val="000C034F"/>
    <w:rsid w:val="000C3088"/>
    <w:rsid w:val="000C4286"/>
    <w:rsid w:val="000C4497"/>
    <w:rsid w:val="000C515B"/>
    <w:rsid w:val="000C5912"/>
    <w:rsid w:val="000C74BE"/>
    <w:rsid w:val="000D009C"/>
    <w:rsid w:val="000D0A96"/>
    <w:rsid w:val="000D1131"/>
    <w:rsid w:val="000D142D"/>
    <w:rsid w:val="000D2724"/>
    <w:rsid w:val="000D4A7F"/>
    <w:rsid w:val="000D5894"/>
    <w:rsid w:val="000D5B94"/>
    <w:rsid w:val="000D5C62"/>
    <w:rsid w:val="000D7ECD"/>
    <w:rsid w:val="000E1D7B"/>
    <w:rsid w:val="000E24AC"/>
    <w:rsid w:val="000E311D"/>
    <w:rsid w:val="000E32AE"/>
    <w:rsid w:val="000E3C66"/>
    <w:rsid w:val="000E4909"/>
    <w:rsid w:val="000E6F2A"/>
    <w:rsid w:val="000F54B8"/>
    <w:rsid w:val="000F6175"/>
    <w:rsid w:val="000F6DFD"/>
    <w:rsid w:val="000F6F96"/>
    <w:rsid w:val="00100289"/>
    <w:rsid w:val="00101DE3"/>
    <w:rsid w:val="00102C5B"/>
    <w:rsid w:val="001105A8"/>
    <w:rsid w:val="00117C6C"/>
    <w:rsid w:val="00117DFD"/>
    <w:rsid w:val="00122C63"/>
    <w:rsid w:val="00123620"/>
    <w:rsid w:val="00123A55"/>
    <w:rsid w:val="001334A9"/>
    <w:rsid w:val="0013402A"/>
    <w:rsid w:val="001350E8"/>
    <w:rsid w:val="00135925"/>
    <w:rsid w:val="001436B7"/>
    <w:rsid w:val="00146C61"/>
    <w:rsid w:val="00151121"/>
    <w:rsid w:val="00155DC2"/>
    <w:rsid w:val="0015650D"/>
    <w:rsid w:val="00156511"/>
    <w:rsid w:val="00164DEB"/>
    <w:rsid w:val="00171955"/>
    <w:rsid w:val="00171AEB"/>
    <w:rsid w:val="001721BE"/>
    <w:rsid w:val="00176C39"/>
    <w:rsid w:val="00181767"/>
    <w:rsid w:val="00182988"/>
    <w:rsid w:val="00187D2F"/>
    <w:rsid w:val="00191299"/>
    <w:rsid w:val="00194E99"/>
    <w:rsid w:val="001969F8"/>
    <w:rsid w:val="001A081E"/>
    <w:rsid w:val="001A1142"/>
    <w:rsid w:val="001A4DDF"/>
    <w:rsid w:val="001A7198"/>
    <w:rsid w:val="001B0047"/>
    <w:rsid w:val="001B0210"/>
    <w:rsid w:val="001B2B07"/>
    <w:rsid w:val="001B2EBE"/>
    <w:rsid w:val="001B3AD4"/>
    <w:rsid w:val="001B4924"/>
    <w:rsid w:val="001B5157"/>
    <w:rsid w:val="001B5379"/>
    <w:rsid w:val="001B5617"/>
    <w:rsid w:val="001B67F0"/>
    <w:rsid w:val="001B76EB"/>
    <w:rsid w:val="001C2793"/>
    <w:rsid w:val="001C372B"/>
    <w:rsid w:val="001C585B"/>
    <w:rsid w:val="001C6418"/>
    <w:rsid w:val="001C6501"/>
    <w:rsid w:val="001C7924"/>
    <w:rsid w:val="001C7E66"/>
    <w:rsid w:val="001D22F8"/>
    <w:rsid w:val="001D3657"/>
    <w:rsid w:val="001D39C2"/>
    <w:rsid w:val="001D3DC2"/>
    <w:rsid w:val="001D48C6"/>
    <w:rsid w:val="001D4DA8"/>
    <w:rsid w:val="001E143C"/>
    <w:rsid w:val="001E22E3"/>
    <w:rsid w:val="001E5EA1"/>
    <w:rsid w:val="001E7285"/>
    <w:rsid w:val="001F1094"/>
    <w:rsid w:val="001F1936"/>
    <w:rsid w:val="001F6645"/>
    <w:rsid w:val="0020367D"/>
    <w:rsid w:val="00205861"/>
    <w:rsid w:val="0021275E"/>
    <w:rsid w:val="0021470D"/>
    <w:rsid w:val="00214E5C"/>
    <w:rsid w:val="00215092"/>
    <w:rsid w:val="00215490"/>
    <w:rsid w:val="0021573E"/>
    <w:rsid w:val="0021599F"/>
    <w:rsid w:val="00217554"/>
    <w:rsid w:val="00222006"/>
    <w:rsid w:val="002265F2"/>
    <w:rsid w:val="00234946"/>
    <w:rsid w:val="00234AF7"/>
    <w:rsid w:val="002356E9"/>
    <w:rsid w:val="00235E67"/>
    <w:rsid w:val="002368D2"/>
    <w:rsid w:val="00241794"/>
    <w:rsid w:val="00241B12"/>
    <w:rsid w:val="00243BCE"/>
    <w:rsid w:val="00245E86"/>
    <w:rsid w:val="00245EE5"/>
    <w:rsid w:val="002472D4"/>
    <w:rsid w:val="0025098F"/>
    <w:rsid w:val="002538C1"/>
    <w:rsid w:val="00257D36"/>
    <w:rsid w:val="002651C0"/>
    <w:rsid w:val="00265566"/>
    <w:rsid w:val="0026640D"/>
    <w:rsid w:val="00271BEB"/>
    <w:rsid w:val="00275308"/>
    <w:rsid w:val="002778AD"/>
    <w:rsid w:val="00277FA6"/>
    <w:rsid w:val="002819F2"/>
    <w:rsid w:val="00282E34"/>
    <w:rsid w:val="00283D47"/>
    <w:rsid w:val="00284C06"/>
    <w:rsid w:val="00293925"/>
    <w:rsid w:val="00296920"/>
    <w:rsid w:val="002A0071"/>
    <w:rsid w:val="002A33A3"/>
    <w:rsid w:val="002A3BEC"/>
    <w:rsid w:val="002A4235"/>
    <w:rsid w:val="002A5595"/>
    <w:rsid w:val="002A5B89"/>
    <w:rsid w:val="002B223E"/>
    <w:rsid w:val="002B5866"/>
    <w:rsid w:val="002C2A87"/>
    <w:rsid w:val="002C556B"/>
    <w:rsid w:val="002C673A"/>
    <w:rsid w:val="002D0FC0"/>
    <w:rsid w:val="002D2807"/>
    <w:rsid w:val="002D32FA"/>
    <w:rsid w:val="002D4D6E"/>
    <w:rsid w:val="002D545D"/>
    <w:rsid w:val="002D7060"/>
    <w:rsid w:val="002E0475"/>
    <w:rsid w:val="002E2114"/>
    <w:rsid w:val="002E22D5"/>
    <w:rsid w:val="002E2524"/>
    <w:rsid w:val="002E4251"/>
    <w:rsid w:val="002F1C47"/>
    <w:rsid w:val="002F5847"/>
    <w:rsid w:val="00303BFD"/>
    <w:rsid w:val="00305D18"/>
    <w:rsid w:val="0031209C"/>
    <w:rsid w:val="0031662F"/>
    <w:rsid w:val="003172F2"/>
    <w:rsid w:val="00317677"/>
    <w:rsid w:val="003223AD"/>
    <w:rsid w:val="00322D93"/>
    <w:rsid w:val="003239C9"/>
    <w:rsid w:val="003313A5"/>
    <w:rsid w:val="00334C98"/>
    <w:rsid w:val="003416E4"/>
    <w:rsid w:val="00343B7C"/>
    <w:rsid w:val="003445B0"/>
    <w:rsid w:val="00354574"/>
    <w:rsid w:val="00355528"/>
    <w:rsid w:val="00356AB5"/>
    <w:rsid w:val="00357650"/>
    <w:rsid w:val="003576E2"/>
    <w:rsid w:val="00362599"/>
    <w:rsid w:val="00362FD0"/>
    <w:rsid w:val="00363CF6"/>
    <w:rsid w:val="00365946"/>
    <w:rsid w:val="00365AB2"/>
    <w:rsid w:val="0036608F"/>
    <w:rsid w:val="003671A7"/>
    <w:rsid w:val="00370800"/>
    <w:rsid w:val="003764EF"/>
    <w:rsid w:val="00383DE3"/>
    <w:rsid w:val="00384FB3"/>
    <w:rsid w:val="00390F89"/>
    <w:rsid w:val="00392698"/>
    <w:rsid w:val="00394139"/>
    <w:rsid w:val="003948C8"/>
    <w:rsid w:val="003A1521"/>
    <w:rsid w:val="003A3148"/>
    <w:rsid w:val="003A4F90"/>
    <w:rsid w:val="003A6784"/>
    <w:rsid w:val="003B4DA0"/>
    <w:rsid w:val="003B53D7"/>
    <w:rsid w:val="003C0547"/>
    <w:rsid w:val="003C3015"/>
    <w:rsid w:val="003C3D6A"/>
    <w:rsid w:val="003C48C2"/>
    <w:rsid w:val="003C4C33"/>
    <w:rsid w:val="003C6807"/>
    <w:rsid w:val="003D24D8"/>
    <w:rsid w:val="003D4567"/>
    <w:rsid w:val="003D46A2"/>
    <w:rsid w:val="003D5A55"/>
    <w:rsid w:val="003D7888"/>
    <w:rsid w:val="003D792A"/>
    <w:rsid w:val="003E1A30"/>
    <w:rsid w:val="003E24EE"/>
    <w:rsid w:val="003E3A5E"/>
    <w:rsid w:val="003F0443"/>
    <w:rsid w:val="003F182F"/>
    <w:rsid w:val="003F2278"/>
    <w:rsid w:val="003F3C17"/>
    <w:rsid w:val="003F4031"/>
    <w:rsid w:val="003F4176"/>
    <w:rsid w:val="003F56A5"/>
    <w:rsid w:val="00403BEE"/>
    <w:rsid w:val="00406D95"/>
    <w:rsid w:val="00407CEB"/>
    <w:rsid w:val="00407FBC"/>
    <w:rsid w:val="0041356B"/>
    <w:rsid w:val="004154C1"/>
    <w:rsid w:val="00420140"/>
    <w:rsid w:val="00421362"/>
    <w:rsid w:val="00423D80"/>
    <w:rsid w:val="00424DA0"/>
    <w:rsid w:val="00426E4C"/>
    <w:rsid w:val="00432977"/>
    <w:rsid w:val="0043394C"/>
    <w:rsid w:val="00433FCA"/>
    <w:rsid w:val="00435315"/>
    <w:rsid w:val="00437A9E"/>
    <w:rsid w:val="00441219"/>
    <w:rsid w:val="004417A7"/>
    <w:rsid w:val="004427A6"/>
    <w:rsid w:val="00444B4E"/>
    <w:rsid w:val="00447FC5"/>
    <w:rsid w:val="00452AED"/>
    <w:rsid w:val="004627E2"/>
    <w:rsid w:val="004726D8"/>
    <w:rsid w:val="00474B22"/>
    <w:rsid w:val="004765D4"/>
    <w:rsid w:val="004837D4"/>
    <w:rsid w:val="00483A2A"/>
    <w:rsid w:val="00485D13"/>
    <w:rsid w:val="00491D64"/>
    <w:rsid w:val="00496A0C"/>
    <w:rsid w:val="00497C7C"/>
    <w:rsid w:val="004A3713"/>
    <w:rsid w:val="004A5949"/>
    <w:rsid w:val="004A727F"/>
    <w:rsid w:val="004B071E"/>
    <w:rsid w:val="004B0843"/>
    <w:rsid w:val="004B0DEC"/>
    <w:rsid w:val="004B2378"/>
    <w:rsid w:val="004B3A41"/>
    <w:rsid w:val="004C0E0E"/>
    <w:rsid w:val="004C3155"/>
    <w:rsid w:val="004C3B58"/>
    <w:rsid w:val="004C6681"/>
    <w:rsid w:val="004C6AEA"/>
    <w:rsid w:val="004C7C6D"/>
    <w:rsid w:val="004D0ADE"/>
    <w:rsid w:val="004D1E70"/>
    <w:rsid w:val="004D27A7"/>
    <w:rsid w:val="004D2DF2"/>
    <w:rsid w:val="004D45DF"/>
    <w:rsid w:val="004E193A"/>
    <w:rsid w:val="004E360D"/>
    <w:rsid w:val="004E3B86"/>
    <w:rsid w:val="004E4F42"/>
    <w:rsid w:val="004E4F4B"/>
    <w:rsid w:val="004F1FD4"/>
    <w:rsid w:val="004F3A4C"/>
    <w:rsid w:val="005012E2"/>
    <w:rsid w:val="00501530"/>
    <w:rsid w:val="005072E9"/>
    <w:rsid w:val="00507A08"/>
    <w:rsid w:val="00510713"/>
    <w:rsid w:val="00512033"/>
    <w:rsid w:val="005123A2"/>
    <w:rsid w:val="00517748"/>
    <w:rsid w:val="00517A7E"/>
    <w:rsid w:val="00522099"/>
    <w:rsid w:val="0052651F"/>
    <w:rsid w:val="00527062"/>
    <w:rsid w:val="005275FF"/>
    <w:rsid w:val="00531126"/>
    <w:rsid w:val="00533ADF"/>
    <w:rsid w:val="00534253"/>
    <w:rsid w:val="00540886"/>
    <w:rsid w:val="00540F51"/>
    <w:rsid w:val="00546E52"/>
    <w:rsid w:val="00547BD3"/>
    <w:rsid w:val="00547EA3"/>
    <w:rsid w:val="00550756"/>
    <w:rsid w:val="00550B5C"/>
    <w:rsid w:val="0055172B"/>
    <w:rsid w:val="0055214A"/>
    <w:rsid w:val="00557E2E"/>
    <w:rsid w:val="00562044"/>
    <w:rsid w:val="005629FF"/>
    <w:rsid w:val="00564E50"/>
    <w:rsid w:val="00566025"/>
    <w:rsid w:val="00567154"/>
    <w:rsid w:val="00572010"/>
    <w:rsid w:val="00573000"/>
    <w:rsid w:val="0057552E"/>
    <w:rsid w:val="00576649"/>
    <w:rsid w:val="005803B8"/>
    <w:rsid w:val="00583AB9"/>
    <w:rsid w:val="00583FF1"/>
    <w:rsid w:val="005865DD"/>
    <w:rsid w:val="00586E77"/>
    <w:rsid w:val="005905BB"/>
    <w:rsid w:val="00591EF7"/>
    <w:rsid w:val="0059712A"/>
    <w:rsid w:val="005978F6"/>
    <w:rsid w:val="005A5D4B"/>
    <w:rsid w:val="005B2BFD"/>
    <w:rsid w:val="005B3D91"/>
    <w:rsid w:val="005B5857"/>
    <w:rsid w:val="005B61C8"/>
    <w:rsid w:val="005C0779"/>
    <w:rsid w:val="005C308B"/>
    <w:rsid w:val="005C34E8"/>
    <w:rsid w:val="005C40DE"/>
    <w:rsid w:val="005D270A"/>
    <w:rsid w:val="005E0F51"/>
    <w:rsid w:val="005E1A0E"/>
    <w:rsid w:val="005E266D"/>
    <w:rsid w:val="005E4D04"/>
    <w:rsid w:val="005E52D3"/>
    <w:rsid w:val="005E6578"/>
    <w:rsid w:val="005F2BB0"/>
    <w:rsid w:val="005F5990"/>
    <w:rsid w:val="005F6243"/>
    <w:rsid w:val="00601ADF"/>
    <w:rsid w:val="00602564"/>
    <w:rsid w:val="00602865"/>
    <w:rsid w:val="0060512C"/>
    <w:rsid w:val="00605D89"/>
    <w:rsid w:val="006110ED"/>
    <w:rsid w:val="00613274"/>
    <w:rsid w:val="00613B80"/>
    <w:rsid w:val="00617867"/>
    <w:rsid w:val="0062348B"/>
    <w:rsid w:val="00624DE4"/>
    <w:rsid w:val="00625EA4"/>
    <w:rsid w:val="00626CF5"/>
    <w:rsid w:val="00627456"/>
    <w:rsid w:val="0063035F"/>
    <w:rsid w:val="00632376"/>
    <w:rsid w:val="00634802"/>
    <w:rsid w:val="0063545C"/>
    <w:rsid w:val="0063694A"/>
    <w:rsid w:val="006429EB"/>
    <w:rsid w:val="006433AD"/>
    <w:rsid w:val="00643A6A"/>
    <w:rsid w:val="006443E2"/>
    <w:rsid w:val="0064443D"/>
    <w:rsid w:val="00644697"/>
    <w:rsid w:val="0065139C"/>
    <w:rsid w:val="006516DA"/>
    <w:rsid w:val="0065182F"/>
    <w:rsid w:val="006563B6"/>
    <w:rsid w:val="00657F6D"/>
    <w:rsid w:val="00661C74"/>
    <w:rsid w:val="00664C8F"/>
    <w:rsid w:val="006668E6"/>
    <w:rsid w:val="0066720F"/>
    <w:rsid w:val="0067299B"/>
    <w:rsid w:val="00677C75"/>
    <w:rsid w:val="0068115D"/>
    <w:rsid w:val="0068145E"/>
    <w:rsid w:val="0068296C"/>
    <w:rsid w:val="006837A5"/>
    <w:rsid w:val="00685142"/>
    <w:rsid w:val="00687DDA"/>
    <w:rsid w:val="00694C10"/>
    <w:rsid w:val="00695513"/>
    <w:rsid w:val="006A02B4"/>
    <w:rsid w:val="006A0B1C"/>
    <w:rsid w:val="006A441E"/>
    <w:rsid w:val="006A5864"/>
    <w:rsid w:val="006A6DDD"/>
    <w:rsid w:val="006B04CD"/>
    <w:rsid w:val="006B1B94"/>
    <w:rsid w:val="006B22C0"/>
    <w:rsid w:val="006B22C7"/>
    <w:rsid w:val="006B2691"/>
    <w:rsid w:val="006B6BE7"/>
    <w:rsid w:val="006B7EEE"/>
    <w:rsid w:val="006C18B4"/>
    <w:rsid w:val="006C4535"/>
    <w:rsid w:val="006D564B"/>
    <w:rsid w:val="006E0007"/>
    <w:rsid w:val="006E103F"/>
    <w:rsid w:val="006E2B09"/>
    <w:rsid w:val="006E33A7"/>
    <w:rsid w:val="006E4A3F"/>
    <w:rsid w:val="006E4AE0"/>
    <w:rsid w:val="006E64EF"/>
    <w:rsid w:val="006F694B"/>
    <w:rsid w:val="00702F7C"/>
    <w:rsid w:val="00703EBB"/>
    <w:rsid w:val="00705745"/>
    <w:rsid w:val="007145AF"/>
    <w:rsid w:val="0071612D"/>
    <w:rsid w:val="0072208C"/>
    <w:rsid w:val="00722934"/>
    <w:rsid w:val="00723F69"/>
    <w:rsid w:val="007250FB"/>
    <w:rsid w:val="00725D95"/>
    <w:rsid w:val="00727636"/>
    <w:rsid w:val="007276FB"/>
    <w:rsid w:val="007311F3"/>
    <w:rsid w:val="00731559"/>
    <w:rsid w:val="007330C8"/>
    <w:rsid w:val="00740199"/>
    <w:rsid w:val="007462E5"/>
    <w:rsid w:val="0074749E"/>
    <w:rsid w:val="007521E8"/>
    <w:rsid w:val="00754C95"/>
    <w:rsid w:val="00760031"/>
    <w:rsid w:val="00761E5C"/>
    <w:rsid w:val="00763916"/>
    <w:rsid w:val="007664B7"/>
    <w:rsid w:val="00767916"/>
    <w:rsid w:val="00767E61"/>
    <w:rsid w:val="0077106F"/>
    <w:rsid w:val="00771114"/>
    <w:rsid w:val="00774D98"/>
    <w:rsid w:val="00776E14"/>
    <w:rsid w:val="007826C2"/>
    <w:rsid w:val="007835A8"/>
    <w:rsid w:val="007838CF"/>
    <w:rsid w:val="00785A31"/>
    <w:rsid w:val="007903A0"/>
    <w:rsid w:val="007908DA"/>
    <w:rsid w:val="00795472"/>
    <w:rsid w:val="007A71A0"/>
    <w:rsid w:val="007A7EE9"/>
    <w:rsid w:val="007B2C70"/>
    <w:rsid w:val="007C2B41"/>
    <w:rsid w:val="007D4317"/>
    <w:rsid w:val="007D4637"/>
    <w:rsid w:val="007E0B18"/>
    <w:rsid w:val="007E180B"/>
    <w:rsid w:val="007E1FBE"/>
    <w:rsid w:val="007E6D8E"/>
    <w:rsid w:val="007F07CD"/>
    <w:rsid w:val="007F23CB"/>
    <w:rsid w:val="007F3F91"/>
    <w:rsid w:val="007F6553"/>
    <w:rsid w:val="007F74E9"/>
    <w:rsid w:val="007F7BE6"/>
    <w:rsid w:val="00800A44"/>
    <w:rsid w:val="00802D18"/>
    <w:rsid w:val="00802F63"/>
    <w:rsid w:val="00810838"/>
    <w:rsid w:val="00811635"/>
    <w:rsid w:val="008128B1"/>
    <w:rsid w:val="00814C56"/>
    <w:rsid w:val="00816E70"/>
    <w:rsid w:val="00817E00"/>
    <w:rsid w:val="00824599"/>
    <w:rsid w:val="008266EE"/>
    <w:rsid w:val="00827805"/>
    <w:rsid w:val="00832A31"/>
    <w:rsid w:val="00835064"/>
    <w:rsid w:val="00841055"/>
    <w:rsid w:val="008472C5"/>
    <w:rsid w:val="008524CA"/>
    <w:rsid w:val="008529D8"/>
    <w:rsid w:val="008558FB"/>
    <w:rsid w:val="008569FC"/>
    <w:rsid w:val="00857132"/>
    <w:rsid w:val="008622E4"/>
    <w:rsid w:val="00863C18"/>
    <w:rsid w:val="00864A72"/>
    <w:rsid w:val="00875956"/>
    <w:rsid w:val="00883DB6"/>
    <w:rsid w:val="00885CA7"/>
    <w:rsid w:val="00890D5F"/>
    <w:rsid w:val="008970DD"/>
    <w:rsid w:val="008A3031"/>
    <w:rsid w:val="008A6D05"/>
    <w:rsid w:val="008A7D90"/>
    <w:rsid w:val="008B0D21"/>
    <w:rsid w:val="008B1957"/>
    <w:rsid w:val="008B21FF"/>
    <w:rsid w:val="008B6593"/>
    <w:rsid w:val="008C304D"/>
    <w:rsid w:val="008C3D9E"/>
    <w:rsid w:val="008C67C9"/>
    <w:rsid w:val="008D00FD"/>
    <w:rsid w:val="008D5CD4"/>
    <w:rsid w:val="008D5FEB"/>
    <w:rsid w:val="008D77BC"/>
    <w:rsid w:val="008E5655"/>
    <w:rsid w:val="008E69BA"/>
    <w:rsid w:val="008F071F"/>
    <w:rsid w:val="008F13F8"/>
    <w:rsid w:val="008F2480"/>
    <w:rsid w:val="008F3401"/>
    <w:rsid w:val="008F45C9"/>
    <w:rsid w:val="009005DC"/>
    <w:rsid w:val="00900E33"/>
    <w:rsid w:val="0090557C"/>
    <w:rsid w:val="00907C93"/>
    <w:rsid w:val="00912EB7"/>
    <w:rsid w:val="00913425"/>
    <w:rsid w:val="00914D22"/>
    <w:rsid w:val="00915745"/>
    <w:rsid w:val="0092543A"/>
    <w:rsid w:val="00932203"/>
    <w:rsid w:val="00936E4D"/>
    <w:rsid w:val="009371AE"/>
    <w:rsid w:val="0093724F"/>
    <w:rsid w:val="00937A03"/>
    <w:rsid w:val="00937F8D"/>
    <w:rsid w:val="0094148A"/>
    <w:rsid w:val="0094244A"/>
    <w:rsid w:val="00943FA3"/>
    <w:rsid w:val="00944C4B"/>
    <w:rsid w:val="00945B38"/>
    <w:rsid w:val="009469C4"/>
    <w:rsid w:val="00950DE4"/>
    <w:rsid w:val="00951412"/>
    <w:rsid w:val="00953E18"/>
    <w:rsid w:val="009564F0"/>
    <w:rsid w:val="00961A6D"/>
    <w:rsid w:val="00963997"/>
    <w:rsid w:val="00964EFA"/>
    <w:rsid w:val="00970126"/>
    <w:rsid w:val="00970F00"/>
    <w:rsid w:val="009756FE"/>
    <w:rsid w:val="00975B7D"/>
    <w:rsid w:val="00987D03"/>
    <w:rsid w:val="009956EF"/>
    <w:rsid w:val="009956FA"/>
    <w:rsid w:val="009A2B7B"/>
    <w:rsid w:val="009A6D02"/>
    <w:rsid w:val="009B512F"/>
    <w:rsid w:val="009B5A98"/>
    <w:rsid w:val="009B7273"/>
    <w:rsid w:val="009C0F92"/>
    <w:rsid w:val="009C16F0"/>
    <w:rsid w:val="009C180C"/>
    <w:rsid w:val="009C2F32"/>
    <w:rsid w:val="009C34BE"/>
    <w:rsid w:val="009C435A"/>
    <w:rsid w:val="009C4980"/>
    <w:rsid w:val="009C65AD"/>
    <w:rsid w:val="009D0A2B"/>
    <w:rsid w:val="009D133D"/>
    <w:rsid w:val="009D15A5"/>
    <w:rsid w:val="009D293D"/>
    <w:rsid w:val="009D3746"/>
    <w:rsid w:val="009D6EB2"/>
    <w:rsid w:val="009E44D5"/>
    <w:rsid w:val="009E62CF"/>
    <w:rsid w:val="009F0E2B"/>
    <w:rsid w:val="009F33FC"/>
    <w:rsid w:val="009F3614"/>
    <w:rsid w:val="009F3C5E"/>
    <w:rsid w:val="009F6131"/>
    <w:rsid w:val="009F7D0F"/>
    <w:rsid w:val="009F7E15"/>
    <w:rsid w:val="00A005A6"/>
    <w:rsid w:val="00A043AE"/>
    <w:rsid w:val="00A0508A"/>
    <w:rsid w:val="00A050D5"/>
    <w:rsid w:val="00A059AA"/>
    <w:rsid w:val="00A10553"/>
    <w:rsid w:val="00A12089"/>
    <w:rsid w:val="00A146C4"/>
    <w:rsid w:val="00A151C6"/>
    <w:rsid w:val="00A16359"/>
    <w:rsid w:val="00A17D51"/>
    <w:rsid w:val="00A21D2F"/>
    <w:rsid w:val="00A26A56"/>
    <w:rsid w:val="00A30454"/>
    <w:rsid w:val="00A310CE"/>
    <w:rsid w:val="00A33BF1"/>
    <w:rsid w:val="00A37D78"/>
    <w:rsid w:val="00A46362"/>
    <w:rsid w:val="00A52BA5"/>
    <w:rsid w:val="00A5406A"/>
    <w:rsid w:val="00A54D67"/>
    <w:rsid w:val="00A5590F"/>
    <w:rsid w:val="00A5734A"/>
    <w:rsid w:val="00A613BC"/>
    <w:rsid w:val="00A63A78"/>
    <w:rsid w:val="00A63EE4"/>
    <w:rsid w:val="00A6589B"/>
    <w:rsid w:val="00A72374"/>
    <w:rsid w:val="00A74023"/>
    <w:rsid w:val="00A75768"/>
    <w:rsid w:val="00A76925"/>
    <w:rsid w:val="00A8567E"/>
    <w:rsid w:val="00A87AB4"/>
    <w:rsid w:val="00A91ED5"/>
    <w:rsid w:val="00A93808"/>
    <w:rsid w:val="00A95660"/>
    <w:rsid w:val="00A97335"/>
    <w:rsid w:val="00A97800"/>
    <w:rsid w:val="00AA1C51"/>
    <w:rsid w:val="00AA1F31"/>
    <w:rsid w:val="00AA605A"/>
    <w:rsid w:val="00AA609D"/>
    <w:rsid w:val="00AA7878"/>
    <w:rsid w:val="00AB66AD"/>
    <w:rsid w:val="00AB7262"/>
    <w:rsid w:val="00AB7849"/>
    <w:rsid w:val="00AC0450"/>
    <w:rsid w:val="00AC153E"/>
    <w:rsid w:val="00AC23A2"/>
    <w:rsid w:val="00AD1A03"/>
    <w:rsid w:val="00AD23CD"/>
    <w:rsid w:val="00AD2EE5"/>
    <w:rsid w:val="00AD47DD"/>
    <w:rsid w:val="00AE11BD"/>
    <w:rsid w:val="00AE2BE0"/>
    <w:rsid w:val="00AE4891"/>
    <w:rsid w:val="00AF21D6"/>
    <w:rsid w:val="00AF34C3"/>
    <w:rsid w:val="00AF3B77"/>
    <w:rsid w:val="00AF51AF"/>
    <w:rsid w:val="00AF5BDF"/>
    <w:rsid w:val="00AF6CC3"/>
    <w:rsid w:val="00B040DB"/>
    <w:rsid w:val="00B04169"/>
    <w:rsid w:val="00B04196"/>
    <w:rsid w:val="00B07F86"/>
    <w:rsid w:val="00B10BBB"/>
    <w:rsid w:val="00B147BE"/>
    <w:rsid w:val="00B169CA"/>
    <w:rsid w:val="00B2072E"/>
    <w:rsid w:val="00B22C9A"/>
    <w:rsid w:val="00B238AB"/>
    <w:rsid w:val="00B24104"/>
    <w:rsid w:val="00B2567D"/>
    <w:rsid w:val="00B26560"/>
    <w:rsid w:val="00B30C39"/>
    <w:rsid w:val="00B32D57"/>
    <w:rsid w:val="00B33FA1"/>
    <w:rsid w:val="00B36DB1"/>
    <w:rsid w:val="00B40183"/>
    <w:rsid w:val="00B418D5"/>
    <w:rsid w:val="00B419E5"/>
    <w:rsid w:val="00B455F5"/>
    <w:rsid w:val="00B53DC2"/>
    <w:rsid w:val="00B55BB1"/>
    <w:rsid w:val="00B61F61"/>
    <w:rsid w:val="00B64CD6"/>
    <w:rsid w:val="00B64F7B"/>
    <w:rsid w:val="00B67BE2"/>
    <w:rsid w:val="00B749D9"/>
    <w:rsid w:val="00B75075"/>
    <w:rsid w:val="00B83822"/>
    <w:rsid w:val="00B84D83"/>
    <w:rsid w:val="00B90DD6"/>
    <w:rsid w:val="00B915A9"/>
    <w:rsid w:val="00B91CA3"/>
    <w:rsid w:val="00B93940"/>
    <w:rsid w:val="00B939C8"/>
    <w:rsid w:val="00B95E20"/>
    <w:rsid w:val="00B96384"/>
    <w:rsid w:val="00B97FBF"/>
    <w:rsid w:val="00BA1A1B"/>
    <w:rsid w:val="00BA679E"/>
    <w:rsid w:val="00BA6CD4"/>
    <w:rsid w:val="00BA71EA"/>
    <w:rsid w:val="00BA77C1"/>
    <w:rsid w:val="00BA7957"/>
    <w:rsid w:val="00BB0505"/>
    <w:rsid w:val="00BB09C4"/>
    <w:rsid w:val="00BB2CBF"/>
    <w:rsid w:val="00BB2E4B"/>
    <w:rsid w:val="00BB462F"/>
    <w:rsid w:val="00BC0B03"/>
    <w:rsid w:val="00BC0D0A"/>
    <w:rsid w:val="00BC1C28"/>
    <w:rsid w:val="00BC3323"/>
    <w:rsid w:val="00BC4B81"/>
    <w:rsid w:val="00BC5E92"/>
    <w:rsid w:val="00BC6C71"/>
    <w:rsid w:val="00BD0365"/>
    <w:rsid w:val="00BD23C1"/>
    <w:rsid w:val="00BD4C66"/>
    <w:rsid w:val="00BD5BF6"/>
    <w:rsid w:val="00BD5E30"/>
    <w:rsid w:val="00BE2792"/>
    <w:rsid w:val="00BE3002"/>
    <w:rsid w:val="00BE5447"/>
    <w:rsid w:val="00BF2AC6"/>
    <w:rsid w:val="00BF30E4"/>
    <w:rsid w:val="00BF4223"/>
    <w:rsid w:val="00C01E83"/>
    <w:rsid w:val="00C02F0B"/>
    <w:rsid w:val="00C05766"/>
    <w:rsid w:val="00C05A09"/>
    <w:rsid w:val="00C15570"/>
    <w:rsid w:val="00C249C9"/>
    <w:rsid w:val="00C26CC3"/>
    <w:rsid w:val="00C27149"/>
    <w:rsid w:val="00C3053D"/>
    <w:rsid w:val="00C308DF"/>
    <w:rsid w:val="00C31007"/>
    <w:rsid w:val="00C345B0"/>
    <w:rsid w:val="00C375B3"/>
    <w:rsid w:val="00C40C86"/>
    <w:rsid w:val="00C446A3"/>
    <w:rsid w:val="00C44E15"/>
    <w:rsid w:val="00C47020"/>
    <w:rsid w:val="00C5025F"/>
    <w:rsid w:val="00C56645"/>
    <w:rsid w:val="00C60B47"/>
    <w:rsid w:val="00C61EB4"/>
    <w:rsid w:val="00C63536"/>
    <w:rsid w:val="00C71D77"/>
    <w:rsid w:val="00C74A1F"/>
    <w:rsid w:val="00C75F40"/>
    <w:rsid w:val="00C77A1E"/>
    <w:rsid w:val="00C80C1B"/>
    <w:rsid w:val="00C8185E"/>
    <w:rsid w:val="00C83BCA"/>
    <w:rsid w:val="00C86693"/>
    <w:rsid w:val="00C8710A"/>
    <w:rsid w:val="00C90398"/>
    <w:rsid w:val="00C914B4"/>
    <w:rsid w:val="00C92825"/>
    <w:rsid w:val="00C95BB0"/>
    <w:rsid w:val="00CA6F0D"/>
    <w:rsid w:val="00CA7B7C"/>
    <w:rsid w:val="00CB0CDB"/>
    <w:rsid w:val="00CB23CD"/>
    <w:rsid w:val="00CB3926"/>
    <w:rsid w:val="00CB4CD1"/>
    <w:rsid w:val="00CB5361"/>
    <w:rsid w:val="00CC112D"/>
    <w:rsid w:val="00CC1EEC"/>
    <w:rsid w:val="00CC350B"/>
    <w:rsid w:val="00CC3BAB"/>
    <w:rsid w:val="00CD16CD"/>
    <w:rsid w:val="00CD53E9"/>
    <w:rsid w:val="00CD5F38"/>
    <w:rsid w:val="00CD6E36"/>
    <w:rsid w:val="00CD7274"/>
    <w:rsid w:val="00CD7732"/>
    <w:rsid w:val="00CE2AE6"/>
    <w:rsid w:val="00CE4EDD"/>
    <w:rsid w:val="00CE71B7"/>
    <w:rsid w:val="00CF047B"/>
    <w:rsid w:val="00CF09CA"/>
    <w:rsid w:val="00CF45C9"/>
    <w:rsid w:val="00D003C1"/>
    <w:rsid w:val="00D035CC"/>
    <w:rsid w:val="00D06A57"/>
    <w:rsid w:val="00D107B6"/>
    <w:rsid w:val="00D10E51"/>
    <w:rsid w:val="00D11D0C"/>
    <w:rsid w:val="00D151B2"/>
    <w:rsid w:val="00D21F1D"/>
    <w:rsid w:val="00D229BB"/>
    <w:rsid w:val="00D22F9E"/>
    <w:rsid w:val="00D268E5"/>
    <w:rsid w:val="00D26F12"/>
    <w:rsid w:val="00D33B25"/>
    <w:rsid w:val="00D3563C"/>
    <w:rsid w:val="00D369FB"/>
    <w:rsid w:val="00D376CE"/>
    <w:rsid w:val="00D413A4"/>
    <w:rsid w:val="00D46939"/>
    <w:rsid w:val="00D4699E"/>
    <w:rsid w:val="00D472BF"/>
    <w:rsid w:val="00D47AE0"/>
    <w:rsid w:val="00D54518"/>
    <w:rsid w:val="00D62E79"/>
    <w:rsid w:val="00D65D51"/>
    <w:rsid w:val="00D70B22"/>
    <w:rsid w:val="00D70F06"/>
    <w:rsid w:val="00D70F57"/>
    <w:rsid w:val="00D72665"/>
    <w:rsid w:val="00D73841"/>
    <w:rsid w:val="00D7461F"/>
    <w:rsid w:val="00D75504"/>
    <w:rsid w:val="00D76195"/>
    <w:rsid w:val="00D81309"/>
    <w:rsid w:val="00D84FEF"/>
    <w:rsid w:val="00D86227"/>
    <w:rsid w:val="00D90749"/>
    <w:rsid w:val="00D92766"/>
    <w:rsid w:val="00DA01DE"/>
    <w:rsid w:val="00DA146D"/>
    <w:rsid w:val="00DA31EE"/>
    <w:rsid w:val="00DA34E9"/>
    <w:rsid w:val="00DA48D2"/>
    <w:rsid w:val="00DA49BA"/>
    <w:rsid w:val="00DA4BBE"/>
    <w:rsid w:val="00DA5501"/>
    <w:rsid w:val="00DB610F"/>
    <w:rsid w:val="00DC410E"/>
    <w:rsid w:val="00DC411E"/>
    <w:rsid w:val="00DC4A7D"/>
    <w:rsid w:val="00DC69E3"/>
    <w:rsid w:val="00DD00A0"/>
    <w:rsid w:val="00DD0895"/>
    <w:rsid w:val="00DD0A3C"/>
    <w:rsid w:val="00DD3B3A"/>
    <w:rsid w:val="00DD4D67"/>
    <w:rsid w:val="00DD758E"/>
    <w:rsid w:val="00DE1977"/>
    <w:rsid w:val="00DE19FD"/>
    <w:rsid w:val="00DE1EF0"/>
    <w:rsid w:val="00DE2831"/>
    <w:rsid w:val="00DE50E2"/>
    <w:rsid w:val="00DF2095"/>
    <w:rsid w:val="00DF2704"/>
    <w:rsid w:val="00DF4133"/>
    <w:rsid w:val="00DF4E2C"/>
    <w:rsid w:val="00DF5332"/>
    <w:rsid w:val="00DF7008"/>
    <w:rsid w:val="00E034BE"/>
    <w:rsid w:val="00E06A0B"/>
    <w:rsid w:val="00E17073"/>
    <w:rsid w:val="00E17504"/>
    <w:rsid w:val="00E309F0"/>
    <w:rsid w:val="00E350B8"/>
    <w:rsid w:val="00E35A0E"/>
    <w:rsid w:val="00E4065A"/>
    <w:rsid w:val="00E4100B"/>
    <w:rsid w:val="00E43A74"/>
    <w:rsid w:val="00E45B34"/>
    <w:rsid w:val="00E468D3"/>
    <w:rsid w:val="00E5182E"/>
    <w:rsid w:val="00E53F3E"/>
    <w:rsid w:val="00E54F2A"/>
    <w:rsid w:val="00E57B10"/>
    <w:rsid w:val="00E57C0C"/>
    <w:rsid w:val="00E57EE1"/>
    <w:rsid w:val="00E62EDD"/>
    <w:rsid w:val="00E63422"/>
    <w:rsid w:val="00E63731"/>
    <w:rsid w:val="00E650B8"/>
    <w:rsid w:val="00E70E50"/>
    <w:rsid w:val="00E7119C"/>
    <w:rsid w:val="00E7189E"/>
    <w:rsid w:val="00E75284"/>
    <w:rsid w:val="00E814D3"/>
    <w:rsid w:val="00E8419F"/>
    <w:rsid w:val="00E8685A"/>
    <w:rsid w:val="00E87D5F"/>
    <w:rsid w:val="00E9430E"/>
    <w:rsid w:val="00E948BE"/>
    <w:rsid w:val="00E96B1A"/>
    <w:rsid w:val="00EB070D"/>
    <w:rsid w:val="00EB2600"/>
    <w:rsid w:val="00EB3A5E"/>
    <w:rsid w:val="00EB3E20"/>
    <w:rsid w:val="00EB7326"/>
    <w:rsid w:val="00EB7936"/>
    <w:rsid w:val="00EC5E9B"/>
    <w:rsid w:val="00EC65F3"/>
    <w:rsid w:val="00EC76A9"/>
    <w:rsid w:val="00ED24DE"/>
    <w:rsid w:val="00ED37ED"/>
    <w:rsid w:val="00ED4327"/>
    <w:rsid w:val="00EE27B0"/>
    <w:rsid w:val="00EE2B83"/>
    <w:rsid w:val="00EE39F0"/>
    <w:rsid w:val="00EE3E73"/>
    <w:rsid w:val="00EE415B"/>
    <w:rsid w:val="00EE5928"/>
    <w:rsid w:val="00EE6B91"/>
    <w:rsid w:val="00EF086E"/>
    <w:rsid w:val="00EF0CC8"/>
    <w:rsid w:val="00EF197A"/>
    <w:rsid w:val="00EF2260"/>
    <w:rsid w:val="00EF3A69"/>
    <w:rsid w:val="00EF5A5C"/>
    <w:rsid w:val="00F01803"/>
    <w:rsid w:val="00F023B2"/>
    <w:rsid w:val="00F051B7"/>
    <w:rsid w:val="00F0579F"/>
    <w:rsid w:val="00F06BF7"/>
    <w:rsid w:val="00F06FDE"/>
    <w:rsid w:val="00F115C5"/>
    <w:rsid w:val="00F142CE"/>
    <w:rsid w:val="00F16B94"/>
    <w:rsid w:val="00F17631"/>
    <w:rsid w:val="00F209D9"/>
    <w:rsid w:val="00F26F7A"/>
    <w:rsid w:val="00F37CF7"/>
    <w:rsid w:val="00F432F9"/>
    <w:rsid w:val="00F44534"/>
    <w:rsid w:val="00F50BA6"/>
    <w:rsid w:val="00F55EF3"/>
    <w:rsid w:val="00F57E6F"/>
    <w:rsid w:val="00F64F10"/>
    <w:rsid w:val="00F71777"/>
    <w:rsid w:val="00F74394"/>
    <w:rsid w:val="00F77048"/>
    <w:rsid w:val="00F778B2"/>
    <w:rsid w:val="00F807D2"/>
    <w:rsid w:val="00F84793"/>
    <w:rsid w:val="00F85CC2"/>
    <w:rsid w:val="00F86569"/>
    <w:rsid w:val="00F87CA7"/>
    <w:rsid w:val="00F93A95"/>
    <w:rsid w:val="00F96340"/>
    <w:rsid w:val="00F96584"/>
    <w:rsid w:val="00F97206"/>
    <w:rsid w:val="00F97504"/>
    <w:rsid w:val="00F97B88"/>
    <w:rsid w:val="00FA18FE"/>
    <w:rsid w:val="00FA1C6B"/>
    <w:rsid w:val="00FA3EDF"/>
    <w:rsid w:val="00FA4670"/>
    <w:rsid w:val="00FA55C2"/>
    <w:rsid w:val="00FA5656"/>
    <w:rsid w:val="00FA63A6"/>
    <w:rsid w:val="00FC4E33"/>
    <w:rsid w:val="00FD26AF"/>
    <w:rsid w:val="00FD49C0"/>
    <w:rsid w:val="00FD4C63"/>
    <w:rsid w:val="00FD56FF"/>
    <w:rsid w:val="00FD6078"/>
    <w:rsid w:val="00FD74EC"/>
    <w:rsid w:val="00FE122E"/>
    <w:rsid w:val="00FE1622"/>
    <w:rsid w:val="00FE3AD3"/>
    <w:rsid w:val="00FE3F6C"/>
    <w:rsid w:val="00FE6C98"/>
    <w:rsid w:val="00FE77CE"/>
    <w:rsid w:val="00FF16FE"/>
    <w:rsid w:val="00FF47FC"/>
    <w:rsid w:val="00FF5141"/>
    <w:rsid w:val="00FF52FE"/>
    <w:rsid w:val="00FF6CE4"/>
    <w:rsid w:val="010D3B79"/>
    <w:rsid w:val="0124473B"/>
    <w:rsid w:val="014D5971"/>
    <w:rsid w:val="015836FF"/>
    <w:rsid w:val="0167625E"/>
    <w:rsid w:val="016B0972"/>
    <w:rsid w:val="01D00364"/>
    <w:rsid w:val="01E075FC"/>
    <w:rsid w:val="02507483"/>
    <w:rsid w:val="02571A26"/>
    <w:rsid w:val="02767838"/>
    <w:rsid w:val="02B80ED8"/>
    <w:rsid w:val="03024922"/>
    <w:rsid w:val="03722AB2"/>
    <w:rsid w:val="03AA79DF"/>
    <w:rsid w:val="03BE1644"/>
    <w:rsid w:val="03CC41AB"/>
    <w:rsid w:val="0409178A"/>
    <w:rsid w:val="04AF5D5D"/>
    <w:rsid w:val="055760F5"/>
    <w:rsid w:val="05704ADD"/>
    <w:rsid w:val="058760FF"/>
    <w:rsid w:val="05A5456E"/>
    <w:rsid w:val="05B35079"/>
    <w:rsid w:val="05DC443C"/>
    <w:rsid w:val="062C42CC"/>
    <w:rsid w:val="06350A7A"/>
    <w:rsid w:val="068D7EB4"/>
    <w:rsid w:val="06AF6249"/>
    <w:rsid w:val="06E22751"/>
    <w:rsid w:val="070D0724"/>
    <w:rsid w:val="073B2296"/>
    <w:rsid w:val="08193505"/>
    <w:rsid w:val="089B03BE"/>
    <w:rsid w:val="08A00959"/>
    <w:rsid w:val="08F6548B"/>
    <w:rsid w:val="092701D5"/>
    <w:rsid w:val="09470F87"/>
    <w:rsid w:val="0A27473D"/>
    <w:rsid w:val="0A393C22"/>
    <w:rsid w:val="0A3B4DB2"/>
    <w:rsid w:val="0A4B0665"/>
    <w:rsid w:val="0A5F2BC8"/>
    <w:rsid w:val="0A6819D6"/>
    <w:rsid w:val="0AC07C12"/>
    <w:rsid w:val="0B3C79C7"/>
    <w:rsid w:val="0B616C59"/>
    <w:rsid w:val="0B8846AD"/>
    <w:rsid w:val="0B8A3CD0"/>
    <w:rsid w:val="0C4752C3"/>
    <w:rsid w:val="0C522C8F"/>
    <w:rsid w:val="0C5E4170"/>
    <w:rsid w:val="0CAA57AE"/>
    <w:rsid w:val="0D521FF1"/>
    <w:rsid w:val="0D5A34C8"/>
    <w:rsid w:val="0D5E3E85"/>
    <w:rsid w:val="0DA27E33"/>
    <w:rsid w:val="0E8E4C71"/>
    <w:rsid w:val="0F0724E5"/>
    <w:rsid w:val="0F140884"/>
    <w:rsid w:val="0F317A6A"/>
    <w:rsid w:val="0F3D5FD3"/>
    <w:rsid w:val="0FA737FC"/>
    <w:rsid w:val="0FF82EA4"/>
    <w:rsid w:val="105023D6"/>
    <w:rsid w:val="1072307A"/>
    <w:rsid w:val="10806174"/>
    <w:rsid w:val="10812257"/>
    <w:rsid w:val="10D35F62"/>
    <w:rsid w:val="110C517B"/>
    <w:rsid w:val="111B7158"/>
    <w:rsid w:val="111C630B"/>
    <w:rsid w:val="11645B08"/>
    <w:rsid w:val="124063B8"/>
    <w:rsid w:val="1308366C"/>
    <w:rsid w:val="140C6FDF"/>
    <w:rsid w:val="141F3308"/>
    <w:rsid w:val="145E0C1D"/>
    <w:rsid w:val="147B5DFE"/>
    <w:rsid w:val="14A81319"/>
    <w:rsid w:val="14AA46DE"/>
    <w:rsid w:val="14AA6C59"/>
    <w:rsid w:val="14AD792A"/>
    <w:rsid w:val="151B0060"/>
    <w:rsid w:val="15375E2D"/>
    <w:rsid w:val="1563351B"/>
    <w:rsid w:val="156C1F46"/>
    <w:rsid w:val="15B559F6"/>
    <w:rsid w:val="15C9489A"/>
    <w:rsid w:val="161366C9"/>
    <w:rsid w:val="162E0F70"/>
    <w:rsid w:val="1632203F"/>
    <w:rsid w:val="165C56A8"/>
    <w:rsid w:val="16712494"/>
    <w:rsid w:val="17340D64"/>
    <w:rsid w:val="176F21A2"/>
    <w:rsid w:val="179F20E9"/>
    <w:rsid w:val="17B96ACE"/>
    <w:rsid w:val="17BD0E06"/>
    <w:rsid w:val="18806089"/>
    <w:rsid w:val="18D6206B"/>
    <w:rsid w:val="18DE1350"/>
    <w:rsid w:val="194B6DF5"/>
    <w:rsid w:val="1992559E"/>
    <w:rsid w:val="19997E0D"/>
    <w:rsid w:val="19AB0C8F"/>
    <w:rsid w:val="19BA4355"/>
    <w:rsid w:val="19CE191F"/>
    <w:rsid w:val="1A0307B9"/>
    <w:rsid w:val="1A1307A5"/>
    <w:rsid w:val="1A3E1D30"/>
    <w:rsid w:val="1A51219A"/>
    <w:rsid w:val="1A593C79"/>
    <w:rsid w:val="1A9058A9"/>
    <w:rsid w:val="1AAB6055"/>
    <w:rsid w:val="1AC47D05"/>
    <w:rsid w:val="1B292BB9"/>
    <w:rsid w:val="1B3C2EC9"/>
    <w:rsid w:val="1B4D4655"/>
    <w:rsid w:val="1B67215F"/>
    <w:rsid w:val="1BAA7AED"/>
    <w:rsid w:val="1BC6748B"/>
    <w:rsid w:val="1C044C3B"/>
    <w:rsid w:val="1D8E3172"/>
    <w:rsid w:val="1DDC6DE9"/>
    <w:rsid w:val="1DE70D0E"/>
    <w:rsid w:val="1E083AAB"/>
    <w:rsid w:val="1E734872"/>
    <w:rsid w:val="1E8E0351"/>
    <w:rsid w:val="1EA646F4"/>
    <w:rsid w:val="1EF85C90"/>
    <w:rsid w:val="1F025496"/>
    <w:rsid w:val="1F65796E"/>
    <w:rsid w:val="1F697301"/>
    <w:rsid w:val="1F875293"/>
    <w:rsid w:val="1F973235"/>
    <w:rsid w:val="1FBF7EBB"/>
    <w:rsid w:val="1FCA34E0"/>
    <w:rsid w:val="1FE52799"/>
    <w:rsid w:val="20282A2E"/>
    <w:rsid w:val="205462DB"/>
    <w:rsid w:val="20D66CE6"/>
    <w:rsid w:val="20DD5BC5"/>
    <w:rsid w:val="20E34441"/>
    <w:rsid w:val="214C4E1A"/>
    <w:rsid w:val="21504720"/>
    <w:rsid w:val="21B82C2A"/>
    <w:rsid w:val="21D43C69"/>
    <w:rsid w:val="21F347CA"/>
    <w:rsid w:val="22097CEF"/>
    <w:rsid w:val="22D4312F"/>
    <w:rsid w:val="23002A4E"/>
    <w:rsid w:val="233F1FD4"/>
    <w:rsid w:val="236D789C"/>
    <w:rsid w:val="24101808"/>
    <w:rsid w:val="242654FE"/>
    <w:rsid w:val="24397EA3"/>
    <w:rsid w:val="24417D7B"/>
    <w:rsid w:val="24545B99"/>
    <w:rsid w:val="248637E6"/>
    <w:rsid w:val="2566124B"/>
    <w:rsid w:val="257F3B7A"/>
    <w:rsid w:val="258440AE"/>
    <w:rsid w:val="259B52B3"/>
    <w:rsid w:val="25ED05B0"/>
    <w:rsid w:val="266D40CA"/>
    <w:rsid w:val="26711222"/>
    <w:rsid w:val="26977CB1"/>
    <w:rsid w:val="269D5D12"/>
    <w:rsid w:val="26B3042C"/>
    <w:rsid w:val="26C467A1"/>
    <w:rsid w:val="2710526A"/>
    <w:rsid w:val="2744428A"/>
    <w:rsid w:val="277A26A9"/>
    <w:rsid w:val="281363EB"/>
    <w:rsid w:val="28483884"/>
    <w:rsid w:val="284B07C9"/>
    <w:rsid w:val="288F7569"/>
    <w:rsid w:val="28BB6673"/>
    <w:rsid w:val="2A405146"/>
    <w:rsid w:val="2A754FFC"/>
    <w:rsid w:val="2AA21970"/>
    <w:rsid w:val="2AF21CB8"/>
    <w:rsid w:val="2B3E551E"/>
    <w:rsid w:val="2B5239AA"/>
    <w:rsid w:val="2BA20EDC"/>
    <w:rsid w:val="2C105368"/>
    <w:rsid w:val="2C7A13C1"/>
    <w:rsid w:val="2C8F4FB4"/>
    <w:rsid w:val="2D1C70D3"/>
    <w:rsid w:val="2D2814C9"/>
    <w:rsid w:val="2D4E7BE9"/>
    <w:rsid w:val="2D730DB3"/>
    <w:rsid w:val="2DAC5F56"/>
    <w:rsid w:val="2DE27D71"/>
    <w:rsid w:val="2DFF4AE6"/>
    <w:rsid w:val="2E692675"/>
    <w:rsid w:val="2EE51CAB"/>
    <w:rsid w:val="2F234F08"/>
    <w:rsid w:val="2F385C9B"/>
    <w:rsid w:val="2F512825"/>
    <w:rsid w:val="2F732804"/>
    <w:rsid w:val="304275D6"/>
    <w:rsid w:val="3048606B"/>
    <w:rsid w:val="30D24FA2"/>
    <w:rsid w:val="30E12562"/>
    <w:rsid w:val="30F065D0"/>
    <w:rsid w:val="313B7605"/>
    <w:rsid w:val="31A5101B"/>
    <w:rsid w:val="320C7286"/>
    <w:rsid w:val="329C57E4"/>
    <w:rsid w:val="32AE2918"/>
    <w:rsid w:val="32F017AB"/>
    <w:rsid w:val="331956FF"/>
    <w:rsid w:val="33236824"/>
    <w:rsid w:val="33BA4772"/>
    <w:rsid w:val="341D5FA7"/>
    <w:rsid w:val="34787029"/>
    <w:rsid w:val="34826C54"/>
    <w:rsid w:val="34B41374"/>
    <w:rsid w:val="3540235F"/>
    <w:rsid w:val="35A16764"/>
    <w:rsid w:val="35EC7749"/>
    <w:rsid w:val="364F79D0"/>
    <w:rsid w:val="36593858"/>
    <w:rsid w:val="36EA5ECB"/>
    <w:rsid w:val="376C7B4D"/>
    <w:rsid w:val="37F625A4"/>
    <w:rsid w:val="38874B74"/>
    <w:rsid w:val="39127737"/>
    <w:rsid w:val="39752FE4"/>
    <w:rsid w:val="39BA6F5A"/>
    <w:rsid w:val="39E341FB"/>
    <w:rsid w:val="3A6E56D8"/>
    <w:rsid w:val="3AA97A94"/>
    <w:rsid w:val="3B2F2397"/>
    <w:rsid w:val="3B751C94"/>
    <w:rsid w:val="3BA90120"/>
    <w:rsid w:val="3BBE4831"/>
    <w:rsid w:val="3C053F67"/>
    <w:rsid w:val="3C175DEC"/>
    <w:rsid w:val="3C177780"/>
    <w:rsid w:val="3C221C81"/>
    <w:rsid w:val="3C6424D1"/>
    <w:rsid w:val="3C653766"/>
    <w:rsid w:val="3C912D74"/>
    <w:rsid w:val="3CC36A7C"/>
    <w:rsid w:val="3D617977"/>
    <w:rsid w:val="3DDC0F7B"/>
    <w:rsid w:val="3E0642BD"/>
    <w:rsid w:val="3FA43483"/>
    <w:rsid w:val="3FF40D8D"/>
    <w:rsid w:val="405318A0"/>
    <w:rsid w:val="40815A53"/>
    <w:rsid w:val="40837FE2"/>
    <w:rsid w:val="40CF7046"/>
    <w:rsid w:val="412277B4"/>
    <w:rsid w:val="41307A9B"/>
    <w:rsid w:val="41413698"/>
    <w:rsid w:val="425F00D8"/>
    <w:rsid w:val="42BE4B22"/>
    <w:rsid w:val="436206E7"/>
    <w:rsid w:val="4367449A"/>
    <w:rsid w:val="43BA5A33"/>
    <w:rsid w:val="43DB36EF"/>
    <w:rsid w:val="43DC5EB4"/>
    <w:rsid w:val="43DD6D3D"/>
    <w:rsid w:val="44136161"/>
    <w:rsid w:val="441D4551"/>
    <w:rsid w:val="44456AF0"/>
    <w:rsid w:val="445C4121"/>
    <w:rsid w:val="44D277A4"/>
    <w:rsid w:val="45392119"/>
    <w:rsid w:val="454E3C7C"/>
    <w:rsid w:val="45545993"/>
    <w:rsid w:val="45633A36"/>
    <w:rsid w:val="45EF69A2"/>
    <w:rsid w:val="462E4370"/>
    <w:rsid w:val="463504B2"/>
    <w:rsid w:val="465010E0"/>
    <w:rsid w:val="469061E4"/>
    <w:rsid w:val="46C87F52"/>
    <w:rsid w:val="47227205"/>
    <w:rsid w:val="472D3587"/>
    <w:rsid w:val="4737167E"/>
    <w:rsid w:val="474F30CA"/>
    <w:rsid w:val="475345CE"/>
    <w:rsid w:val="47D26A6C"/>
    <w:rsid w:val="47EC0897"/>
    <w:rsid w:val="48733B86"/>
    <w:rsid w:val="48B21239"/>
    <w:rsid w:val="49104335"/>
    <w:rsid w:val="49555F94"/>
    <w:rsid w:val="4A072140"/>
    <w:rsid w:val="4A0F6FBF"/>
    <w:rsid w:val="4A192B6E"/>
    <w:rsid w:val="4A7C4B24"/>
    <w:rsid w:val="4AC1220E"/>
    <w:rsid w:val="4AD25BC2"/>
    <w:rsid w:val="4B84704A"/>
    <w:rsid w:val="4BF25808"/>
    <w:rsid w:val="4C164F5B"/>
    <w:rsid w:val="4C197C35"/>
    <w:rsid w:val="4C7C21DE"/>
    <w:rsid w:val="4C99554F"/>
    <w:rsid w:val="4CB64348"/>
    <w:rsid w:val="4D1525EB"/>
    <w:rsid w:val="4D172DAC"/>
    <w:rsid w:val="4D211651"/>
    <w:rsid w:val="4D7D362D"/>
    <w:rsid w:val="4DB7352B"/>
    <w:rsid w:val="4DB83CBE"/>
    <w:rsid w:val="4E2F4574"/>
    <w:rsid w:val="4E6D403B"/>
    <w:rsid w:val="4ECB75A1"/>
    <w:rsid w:val="4F27748C"/>
    <w:rsid w:val="4F586041"/>
    <w:rsid w:val="50125E3D"/>
    <w:rsid w:val="50920B1E"/>
    <w:rsid w:val="509F6F14"/>
    <w:rsid w:val="50AF7E25"/>
    <w:rsid w:val="50B246FA"/>
    <w:rsid w:val="50B85310"/>
    <w:rsid w:val="50D52EBC"/>
    <w:rsid w:val="51833D87"/>
    <w:rsid w:val="5213496D"/>
    <w:rsid w:val="522A3E84"/>
    <w:rsid w:val="527302DD"/>
    <w:rsid w:val="535C5986"/>
    <w:rsid w:val="538D4027"/>
    <w:rsid w:val="538E2252"/>
    <w:rsid w:val="53B367FE"/>
    <w:rsid w:val="53D9194A"/>
    <w:rsid w:val="540A64AC"/>
    <w:rsid w:val="54D32557"/>
    <w:rsid w:val="561028CF"/>
    <w:rsid w:val="56CE5F80"/>
    <w:rsid w:val="5743612D"/>
    <w:rsid w:val="576F3538"/>
    <w:rsid w:val="57EE7B99"/>
    <w:rsid w:val="58616E98"/>
    <w:rsid w:val="58854FB9"/>
    <w:rsid w:val="593D6601"/>
    <w:rsid w:val="59442663"/>
    <w:rsid w:val="59D4329B"/>
    <w:rsid w:val="59DD441F"/>
    <w:rsid w:val="59E4289F"/>
    <w:rsid w:val="59ED0937"/>
    <w:rsid w:val="5A356821"/>
    <w:rsid w:val="5A6455BB"/>
    <w:rsid w:val="5AB45008"/>
    <w:rsid w:val="5AC95EC0"/>
    <w:rsid w:val="5AE00348"/>
    <w:rsid w:val="5C08623C"/>
    <w:rsid w:val="5C1D5C37"/>
    <w:rsid w:val="5C53580B"/>
    <w:rsid w:val="5C7919BD"/>
    <w:rsid w:val="5C8A76D5"/>
    <w:rsid w:val="5CDF37E9"/>
    <w:rsid w:val="5D8125BE"/>
    <w:rsid w:val="5D89351A"/>
    <w:rsid w:val="5DD40416"/>
    <w:rsid w:val="5DE33F74"/>
    <w:rsid w:val="5E2558D5"/>
    <w:rsid w:val="5E9A1E1F"/>
    <w:rsid w:val="5EBF3633"/>
    <w:rsid w:val="5ED67BF4"/>
    <w:rsid w:val="5EED0BDF"/>
    <w:rsid w:val="5F1D6788"/>
    <w:rsid w:val="5F1E2090"/>
    <w:rsid w:val="5FEC48FC"/>
    <w:rsid w:val="5FFA560E"/>
    <w:rsid w:val="60820899"/>
    <w:rsid w:val="608B0DDD"/>
    <w:rsid w:val="60D314FC"/>
    <w:rsid w:val="60ED48D5"/>
    <w:rsid w:val="616365BA"/>
    <w:rsid w:val="61786B33"/>
    <w:rsid w:val="617C51CF"/>
    <w:rsid w:val="619948D9"/>
    <w:rsid w:val="61A65CB1"/>
    <w:rsid w:val="61B71664"/>
    <w:rsid w:val="61CB4705"/>
    <w:rsid w:val="62966FF7"/>
    <w:rsid w:val="629A7DE2"/>
    <w:rsid w:val="63086A82"/>
    <w:rsid w:val="630E2816"/>
    <w:rsid w:val="63232EEA"/>
    <w:rsid w:val="63723B35"/>
    <w:rsid w:val="637C7D45"/>
    <w:rsid w:val="637D1D0F"/>
    <w:rsid w:val="63A71F6A"/>
    <w:rsid w:val="63AA2A89"/>
    <w:rsid w:val="63CD43F3"/>
    <w:rsid w:val="63D67EED"/>
    <w:rsid w:val="640C134D"/>
    <w:rsid w:val="64296289"/>
    <w:rsid w:val="647226C1"/>
    <w:rsid w:val="64BC1407"/>
    <w:rsid w:val="64C93403"/>
    <w:rsid w:val="6505217B"/>
    <w:rsid w:val="6514737F"/>
    <w:rsid w:val="6555469B"/>
    <w:rsid w:val="658E0D2D"/>
    <w:rsid w:val="658F555E"/>
    <w:rsid w:val="66041D86"/>
    <w:rsid w:val="660F6846"/>
    <w:rsid w:val="66997604"/>
    <w:rsid w:val="66B351C6"/>
    <w:rsid w:val="66D3207C"/>
    <w:rsid w:val="66FD6E65"/>
    <w:rsid w:val="673A7802"/>
    <w:rsid w:val="673F07F8"/>
    <w:rsid w:val="67502CE7"/>
    <w:rsid w:val="677A19CD"/>
    <w:rsid w:val="67CF3AA7"/>
    <w:rsid w:val="67F856BB"/>
    <w:rsid w:val="68236314"/>
    <w:rsid w:val="689800D0"/>
    <w:rsid w:val="68D550C8"/>
    <w:rsid w:val="68F36508"/>
    <w:rsid w:val="69310B8E"/>
    <w:rsid w:val="694B45F5"/>
    <w:rsid w:val="69510D61"/>
    <w:rsid w:val="69E37F08"/>
    <w:rsid w:val="69EE74C3"/>
    <w:rsid w:val="69F55964"/>
    <w:rsid w:val="6A0A1B63"/>
    <w:rsid w:val="6A3B4611"/>
    <w:rsid w:val="6A8D75AA"/>
    <w:rsid w:val="6ADF13DF"/>
    <w:rsid w:val="6AF90BF0"/>
    <w:rsid w:val="6B7C458F"/>
    <w:rsid w:val="6BF074F2"/>
    <w:rsid w:val="6BF6440D"/>
    <w:rsid w:val="6C167F90"/>
    <w:rsid w:val="6CCA4A6A"/>
    <w:rsid w:val="6CF272CA"/>
    <w:rsid w:val="6D284FF7"/>
    <w:rsid w:val="6D3F77BA"/>
    <w:rsid w:val="6D70203D"/>
    <w:rsid w:val="6D8F4B19"/>
    <w:rsid w:val="6DA65021"/>
    <w:rsid w:val="6DBA114B"/>
    <w:rsid w:val="6E720DD1"/>
    <w:rsid w:val="6EC15BC3"/>
    <w:rsid w:val="6F0676E3"/>
    <w:rsid w:val="6F9E086B"/>
    <w:rsid w:val="6FBA7143"/>
    <w:rsid w:val="6FD64C2C"/>
    <w:rsid w:val="701B65DE"/>
    <w:rsid w:val="70257A4C"/>
    <w:rsid w:val="70384F0E"/>
    <w:rsid w:val="703B5B52"/>
    <w:rsid w:val="70415F0B"/>
    <w:rsid w:val="70594F28"/>
    <w:rsid w:val="705B4FE5"/>
    <w:rsid w:val="70600698"/>
    <w:rsid w:val="70961768"/>
    <w:rsid w:val="70B61F0D"/>
    <w:rsid w:val="7139070B"/>
    <w:rsid w:val="716C4CBC"/>
    <w:rsid w:val="716E2A37"/>
    <w:rsid w:val="71953FA1"/>
    <w:rsid w:val="71B6295D"/>
    <w:rsid w:val="71EB5320"/>
    <w:rsid w:val="72051293"/>
    <w:rsid w:val="720C37C4"/>
    <w:rsid w:val="726A1921"/>
    <w:rsid w:val="726A1EE3"/>
    <w:rsid w:val="727956AA"/>
    <w:rsid w:val="72E56F8C"/>
    <w:rsid w:val="732B19DC"/>
    <w:rsid w:val="73D96AEE"/>
    <w:rsid w:val="73E14DFB"/>
    <w:rsid w:val="74476CEF"/>
    <w:rsid w:val="745B6E2B"/>
    <w:rsid w:val="74637E17"/>
    <w:rsid w:val="746C683C"/>
    <w:rsid w:val="747A16A7"/>
    <w:rsid w:val="747C3E81"/>
    <w:rsid w:val="74944914"/>
    <w:rsid w:val="74D8656F"/>
    <w:rsid w:val="750F6C63"/>
    <w:rsid w:val="75133FB1"/>
    <w:rsid w:val="756F696D"/>
    <w:rsid w:val="75BC2223"/>
    <w:rsid w:val="75F425EB"/>
    <w:rsid w:val="768F42A4"/>
    <w:rsid w:val="76E42F58"/>
    <w:rsid w:val="76E86704"/>
    <w:rsid w:val="77130C4E"/>
    <w:rsid w:val="77260CAD"/>
    <w:rsid w:val="77381B59"/>
    <w:rsid w:val="77B9740F"/>
    <w:rsid w:val="77BA1C9A"/>
    <w:rsid w:val="77C2468B"/>
    <w:rsid w:val="77DE6BBF"/>
    <w:rsid w:val="77E51F05"/>
    <w:rsid w:val="785D236F"/>
    <w:rsid w:val="78636F18"/>
    <w:rsid w:val="78E43651"/>
    <w:rsid w:val="79105AB3"/>
    <w:rsid w:val="79176FF2"/>
    <w:rsid w:val="79976CFA"/>
    <w:rsid w:val="79FB15DB"/>
    <w:rsid w:val="7A262B9D"/>
    <w:rsid w:val="7A3A5A1D"/>
    <w:rsid w:val="7B13382D"/>
    <w:rsid w:val="7C6F561D"/>
    <w:rsid w:val="7CAF06D6"/>
    <w:rsid w:val="7D2F4842"/>
    <w:rsid w:val="7D417326"/>
    <w:rsid w:val="7D5E6F5C"/>
    <w:rsid w:val="7D7A72E3"/>
    <w:rsid w:val="7DAA0767"/>
    <w:rsid w:val="7DE72D25"/>
    <w:rsid w:val="7E70148A"/>
    <w:rsid w:val="7EC82F6A"/>
    <w:rsid w:val="7F041CC2"/>
    <w:rsid w:val="7F0A6740"/>
    <w:rsid w:val="7F66731B"/>
    <w:rsid w:val="7F6E0891"/>
    <w:rsid w:val="7F6E64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0"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5">
    <w:name w:val="heading 1"/>
    <w:basedOn w:val="1"/>
    <w:next w:val="1"/>
    <w:link w:val="35"/>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36"/>
    <w:qFormat/>
    <w:uiPriority w:val="99"/>
    <w:pPr>
      <w:keepLines/>
      <w:widowControl w:val="0"/>
      <w:numPr>
        <w:ilvl w:val="0"/>
        <w:numId w:val="1"/>
      </w:numPr>
      <w:tabs>
        <w:tab w:val="left" w:pos="239"/>
      </w:tabs>
      <w:spacing w:beforeLines="150" w:afterLines="50"/>
      <w:jc w:val="both"/>
      <w:outlineLvl w:val="1"/>
    </w:pPr>
    <w:rPr>
      <w:rFonts w:ascii="宋体" w:hAnsi="Arial"/>
      <w:b/>
      <w:bCs/>
      <w:sz w:val="24"/>
      <w:szCs w:val="32"/>
    </w:rPr>
  </w:style>
  <w:style w:type="paragraph" w:styleId="7">
    <w:name w:val="heading 3"/>
    <w:basedOn w:val="1"/>
    <w:next w:val="1"/>
    <w:link w:val="37"/>
    <w:qFormat/>
    <w:uiPriority w:val="0"/>
    <w:pPr>
      <w:widowControl w:val="0"/>
      <w:spacing w:line="360" w:lineRule="auto"/>
      <w:jc w:val="both"/>
      <w:outlineLvl w:val="2"/>
    </w:pPr>
    <w:rPr>
      <w:rFonts w:ascii="宋体"/>
      <w:sz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locked/>
    <w:uiPriority w:val="0"/>
    <w:pPr>
      <w:ind w:firstLine="420" w:firstLineChars="100"/>
    </w:pPr>
    <w:rPr>
      <w:rFonts w:ascii="宋体" w:eastAsia="宋体"/>
      <w:color w:val="000000"/>
      <w:spacing w:val="0"/>
      <w:sz w:val="21"/>
      <w:szCs w:val="20"/>
    </w:rPr>
  </w:style>
  <w:style w:type="paragraph" w:styleId="3">
    <w:name w:val="Body Text"/>
    <w:basedOn w:val="1"/>
    <w:next w:val="4"/>
    <w:link w:val="41"/>
    <w:qFormat/>
    <w:uiPriority w:val="99"/>
    <w:pPr>
      <w:widowControl w:val="0"/>
      <w:spacing w:after="120"/>
      <w:jc w:val="both"/>
    </w:pPr>
    <w:rPr>
      <w:rFonts w:ascii="仿宋_GB2312" w:eastAsia="仿宋_GB2312"/>
      <w:spacing w:val="20"/>
      <w:kern w:val="2"/>
      <w:sz w:val="28"/>
      <w:szCs w:val="24"/>
    </w:rPr>
  </w:style>
  <w:style w:type="paragraph" w:customStyle="1" w:styleId="4">
    <w:name w:val="_Style 2"/>
    <w:basedOn w:val="1"/>
    <w:next w:val="1"/>
    <w:qFormat/>
    <w:uiPriority w:val="0"/>
    <w:pPr>
      <w:ind w:firstLine="420"/>
    </w:pPr>
    <w:rPr>
      <w:rFonts w:ascii="Times New Roman" w:hAnsi="Times New Roman" w:eastAsia="宋体" w:cs="Times New Roman"/>
      <w:szCs w:val="21"/>
    </w:rPr>
  </w:style>
  <w:style w:type="paragraph" w:styleId="8">
    <w:name w:val="Normal Indent"/>
    <w:basedOn w:val="1"/>
    <w:link w:val="61"/>
    <w:qFormat/>
    <w:uiPriority w:val="99"/>
    <w:pPr>
      <w:widowControl w:val="0"/>
      <w:autoSpaceDE w:val="0"/>
      <w:autoSpaceDN w:val="0"/>
      <w:adjustRightInd w:val="0"/>
      <w:ind w:firstLine="420"/>
    </w:pPr>
    <w:rPr>
      <w:rFonts w:ascii="宋体"/>
      <w:sz w:val="34"/>
    </w:rPr>
  </w:style>
  <w:style w:type="paragraph" w:styleId="9">
    <w:name w:val="caption"/>
    <w:basedOn w:val="1"/>
    <w:next w:val="1"/>
    <w:qFormat/>
    <w:uiPriority w:val="99"/>
    <w:rPr>
      <w:rFonts w:ascii="Cambria" w:hAnsi="Cambria" w:eastAsia="黑体"/>
      <w:sz w:val="20"/>
    </w:rPr>
  </w:style>
  <w:style w:type="paragraph" w:styleId="10">
    <w:name w:val="index 5"/>
    <w:basedOn w:val="1"/>
    <w:next w:val="1"/>
    <w:qFormat/>
    <w:locked/>
    <w:uiPriority w:val="0"/>
    <w:pPr>
      <w:ind w:left="1680"/>
    </w:pPr>
  </w:style>
  <w:style w:type="paragraph" w:styleId="11">
    <w:name w:val="annotation text"/>
    <w:basedOn w:val="1"/>
    <w:link w:val="38"/>
    <w:qFormat/>
    <w:uiPriority w:val="99"/>
  </w:style>
  <w:style w:type="paragraph" w:styleId="12">
    <w:name w:val="Body Text 3"/>
    <w:basedOn w:val="1"/>
    <w:link w:val="40"/>
    <w:qFormat/>
    <w:uiPriority w:val="99"/>
    <w:pPr>
      <w:spacing w:after="120"/>
    </w:pPr>
    <w:rPr>
      <w:sz w:val="16"/>
      <w:szCs w:val="16"/>
    </w:rPr>
  </w:style>
  <w:style w:type="paragraph" w:styleId="13">
    <w:name w:val="Body Text Indent"/>
    <w:basedOn w:val="1"/>
    <w:link w:val="42"/>
    <w:qFormat/>
    <w:uiPriority w:val="0"/>
    <w:pPr>
      <w:spacing w:after="120"/>
      <w:ind w:left="420" w:leftChars="200"/>
    </w:pPr>
    <w:rPr>
      <w:sz w:val="20"/>
    </w:rPr>
  </w:style>
  <w:style w:type="paragraph" w:styleId="14">
    <w:name w:val="List 2"/>
    <w:basedOn w:val="1"/>
    <w:qFormat/>
    <w:uiPriority w:val="99"/>
    <w:pPr>
      <w:widowControl w:val="0"/>
      <w:autoSpaceDE w:val="0"/>
      <w:autoSpaceDN w:val="0"/>
      <w:adjustRightInd w:val="0"/>
      <w:ind w:left="100" w:leftChars="200" w:hanging="200" w:hangingChars="200"/>
    </w:pPr>
    <w:rPr>
      <w:szCs w:val="21"/>
    </w:rPr>
  </w:style>
  <w:style w:type="paragraph" w:styleId="15">
    <w:name w:val="Plain Text"/>
    <w:basedOn w:val="1"/>
    <w:link w:val="43"/>
    <w:qFormat/>
    <w:uiPriority w:val="0"/>
    <w:pPr>
      <w:widowControl w:val="0"/>
      <w:jc w:val="both"/>
    </w:pPr>
    <w:rPr>
      <w:rFonts w:ascii="宋体" w:hAnsi="Courier New"/>
      <w:kern w:val="2"/>
    </w:rPr>
  </w:style>
  <w:style w:type="paragraph" w:styleId="16">
    <w:name w:val="Date"/>
    <w:basedOn w:val="1"/>
    <w:next w:val="1"/>
    <w:link w:val="44"/>
    <w:qFormat/>
    <w:uiPriority w:val="99"/>
    <w:pPr>
      <w:widowControl w:val="0"/>
      <w:jc w:val="both"/>
    </w:pPr>
    <w:rPr>
      <w:sz w:val="20"/>
    </w:rPr>
  </w:style>
  <w:style w:type="paragraph" w:styleId="17">
    <w:name w:val="Body Text Indent 2"/>
    <w:basedOn w:val="1"/>
    <w:link w:val="45"/>
    <w:qFormat/>
    <w:uiPriority w:val="99"/>
    <w:pPr>
      <w:spacing w:after="120" w:line="480" w:lineRule="auto"/>
      <w:ind w:left="420" w:leftChars="200"/>
    </w:pPr>
  </w:style>
  <w:style w:type="paragraph" w:styleId="18">
    <w:name w:val="Balloon Text"/>
    <w:basedOn w:val="1"/>
    <w:link w:val="46"/>
    <w:qFormat/>
    <w:uiPriority w:val="99"/>
    <w:rPr>
      <w:sz w:val="18"/>
      <w:szCs w:val="18"/>
    </w:rPr>
  </w:style>
  <w:style w:type="paragraph" w:styleId="19">
    <w:name w:val="footer"/>
    <w:basedOn w:val="1"/>
    <w:link w:val="47"/>
    <w:qFormat/>
    <w:uiPriority w:val="99"/>
    <w:pPr>
      <w:tabs>
        <w:tab w:val="center" w:pos="4153"/>
        <w:tab w:val="right" w:pos="8306"/>
      </w:tabs>
      <w:snapToGrid w:val="0"/>
    </w:pPr>
    <w:rPr>
      <w:sz w:val="18"/>
      <w:szCs w:val="18"/>
    </w:rPr>
  </w:style>
  <w:style w:type="paragraph" w:styleId="20">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1">
    <w:name w:val="footnote text"/>
    <w:basedOn w:val="1"/>
    <w:qFormat/>
    <w:locked/>
    <w:uiPriority w:val="0"/>
    <w:pPr>
      <w:snapToGrid w:val="0"/>
      <w:jc w:val="left"/>
    </w:pPr>
    <w:rPr>
      <w:sz w:val="18"/>
      <w:szCs w:val="20"/>
    </w:rPr>
  </w:style>
  <w:style w:type="paragraph" w:styleId="22">
    <w:name w:val="Body Text 2"/>
    <w:basedOn w:val="1"/>
    <w:qFormat/>
    <w:locked/>
    <w:uiPriority w:val="99"/>
    <w:rPr>
      <w:kern w:val="0"/>
    </w:rPr>
  </w:style>
  <w:style w:type="paragraph" w:styleId="23">
    <w:name w:val="Normal (Web)"/>
    <w:basedOn w:val="1"/>
    <w:qFormat/>
    <w:uiPriority w:val="0"/>
    <w:pPr>
      <w:spacing w:before="100" w:beforeAutospacing="1" w:after="100" w:afterAutospacing="1"/>
    </w:pPr>
    <w:rPr>
      <w:rFonts w:ascii="宋体" w:hAnsi="宋体" w:cs="宋体"/>
      <w:sz w:val="24"/>
      <w:szCs w:val="24"/>
    </w:rPr>
  </w:style>
  <w:style w:type="paragraph" w:styleId="24">
    <w:name w:val="Title"/>
    <w:basedOn w:val="1"/>
    <w:next w:val="1"/>
    <w:link w:val="49"/>
    <w:qFormat/>
    <w:uiPriority w:val="99"/>
    <w:pPr>
      <w:widowControl w:val="0"/>
      <w:autoSpaceDE w:val="0"/>
      <w:autoSpaceDN w:val="0"/>
      <w:adjustRightInd w:val="0"/>
      <w:spacing w:before="240" w:after="60"/>
      <w:jc w:val="center"/>
      <w:outlineLvl w:val="0"/>
    </w:pPr>
    <w:rPr>
      <w:rFonts w:ascii="Cambria" w:hAnsi="Cambria"/>
      <w:b/>
      <w:bCs/>
      <w:sz w:val="32"/>
      <w:szCs w:val="32"/>
    </w:rPr>
  </w:style>
  <w:style w:type="paragraph" w:styleId="25">
    <w:name w:val="annotation subject"/>
    <w:basedOn w:val="11"/>
    <w:next w:val="11"/>
    <w:link w:val="39"/>
    <w:qFormat/>
    <w:uiPriority w:val="99"/>
    <w:rPr>
      <w:b/>
      <w:bCs/>
    </w:rPr>
  </w:style>
  <w:style w:type="paragraph" w:styleId="26">
    <w:name w:val="Body Text First Indent 2"/>
    <w:basedOn w:val="13"/>
    <w:qFormat/>
    <w:locked/>
    <w:uiPriority w:val="0"/>
    <w:pPr>
      <w:keepLines w:val="0"/>
      <w:widowControl w:val="0"/>
      <w:tabs>
        <w:tab w:val="left" w:pos="-720"/>
      </w:tabs>
      <w:adjustRightInd/>
      <w:snapToGrid/>
      <w:spacing w:after="120" w:line="240" w:lineRule="auto"/>
      <w:ind w:left="420" w:leftChars="200" w:firstLine="420" w:firstLineChars="200"/>
    </w:pPr>
    <w:rPr>
      <w:rFonts w:ascii="Times New Roman" w:hAnsi="Calibri"/>
      <w:spacing w:val="0"/>
    </w:rPr>
  </w:style>
  <w:style w:type="table" w:styleId="28">
    <w:name w:val="Table Grid"/>
    <w:basedOn w:val="2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rFonts w:cs="Times New Roman"/>
      <w:b/>
    </w:rPr>
  </w:style>
  <w:style w:type="character" w:styleId="31">
    <w:name w:val="page number"/>
    <w:basedOn w:val="29"/>
    <w:qFormat/>
    <w:locked/>
    <w:uiPriority w:val="0"/>
  </w:style>
  <w:style w:type="character" w:styleId="32">
    <w:name w:val="Hyperlink"/>
    <w:basedOn w:val="29"/>
    <w:qFormat/>
    <w:uiPriority w:val="99"/>
    <w:rPr>
      <w:rFonts w:cs="Times New Roman"/>
      <w:color w:val="0000FF"/>
      <w:u w:val="single"/>
    </w:rPr>
  </w:style>
  <w:style w:type="character" w:styleId="33">
    <w:name w:val="annotation reference"/>
    <w:basedOn w:val="29"/>
    <w:qFormat/>
    <w:uiPriority w:val="99"/>
    <w:rPr>
      <w:rFonts w:cs="Times New Roman"/>
      <w:sz w:val="21"/>
    </w:rPr>
  </w:style>
  <w:style w:type="paragraph" w:customStyle="1" w:styleId="34">
    <w:name w:val="正文1"/>
    <w:qFormat/>
    <w:uiPriority w:val="99"/>
    <w:pPr>
      <w:jc w:val="both"/>
    </w:pPr>
    <w:rPr>
      <w:rFonts w:ascii="Calibri" w:hAnsi="Calibri" w:eastAsia="宋体" w:cs="宋体"/>
      <w:kern w:val="2"/>
      <w:sz w:val="21"/>
      <w:szCs w:val="21"/>
      <w:lang w:val="en-US" w:eastAsia="zh-CN" w:bidi="ar-SA"/>
    </w:rPr>
  </w:style>
  <w:style w:type="character" w:customStyle="1" w:styleId="35">
    <w:name w:val="标题 1 Char"/>
    <w:basedOn w:val="29"/>
    <w:link w:val="5"/>
    <w:qFormat/>
    <w:locked/>
    <w:uiPriority w:val="99"/>
    <w:rPr>
      <w:rFonts w:ascii="Times New Roman" w:hAnsi="Times New Roman" w:eastAsia="宋体" w:cs="Times New Roman"/>
      <w:b/>
      <w:kern w:val="44"/>
      <w:sz w:val="44"/>
    </w:rPr>
  </w:style>
  <w:style w:type="character" w:customStyle="1" w:styleId="36">
    <w:name w:val="标题 2 Char"/>
    <w:basedOn w:val="29"/>
    <w:link w:val="6"/>
    <w:qFormat/>
    <w:locked/>
    <w:uiPriority w:val="99"/>
    <w:rPr>
      <w:rFonts w:ascii="宋体" w:hAnsi="Arial" w:cs="Times New Roman"/>
      <w:b/>
      <w:sz w:val="32"/>
    </w:rPr>
  </w:style>
  <w:style w:type="character" w:customStyle="1" w:styleId="37">
    <w:name w:val="标题 3 Char"/>
    <w:basedOn w:val="29"/>
    <w:link w:val="7"/>
    <w:qFormat/>
    <w:locked/>
    <w:uiPriority w:val="0"/>
    <w:rPr>
      <w:rFonts w:ascii="宋体" w:hAnsi="Times New Roman" w:eastAsia="宋体" w:cs="Times New Roman"/>
      <w:kern w:val="0"/>
      <w:sz w:val="20"/>
    </w:rPr>
  </w:style>
  <w:style w:type="character" w:customStyle="1" w:styleId="38">
    <w:name w:val="批注文字 Char"/>
    <w:basedOn w:val="29"/>
    <w:link w:val="11"/>
    <w:semiHidden/>
    <w:qFormat/>
    <w:locked/>
    <w:uiPriority w:val="99"/>
    <w:rPr>
      <w:rFonts w:ascii="Times New Roman" w:hAnsi="Times New Roman" w:cs="Times New Roman"/>
      <w:sz w:val="21"/>
    </w:rPr>
  </w:style>
  <w:style w:type="character" w:customStyle="1" w:styleId="39">
    <w:name w:val="批注主题 Char"/>
    <w:basedOn w:val="38"/>
    <w:link w:val="25"/>
    <w:semiHidden/>
    <w:qFormat/>
    <w:locked/>
    <w:uiPriority w:val="99"/>
    <w:rPr>
      <w:b/>
    </w:rPr>
  </w:style>
  <w:style w:type="character" w:customStyle="1" w:styleId="40">
    <w:name w:val="正文文本 3 Char"/>
    <w:basedOn w:val="29"/>
    <w:link w:val="12"/>
    <w:qFormat/>
    <w:locked/>
    <w:uiPriority w:val="99"/>
    <w:rPr>
      <w:rFonts w:cs="Times New Roman"/>
      <w:sz w:val="16"/>
    </w:rPr>
  </w:style>
  <w:style w:type="character" w:customStyle="1" w:styleId="41">
    <w:name w:val="正文文本 Char"/>
    <w:basedOn w:val="29"/>
    <w:link w:val="3"/>
    <w:qFormat/>
    <w:locked/>
    <w:uiPriority w:val="99"/>
    <w:rPr>
      <w:rFonts w:ascii="仿宋_GB2312" w:eastAsia="仿宋_GB2312" w:cs="Times New Roman"/>
      <w:spacing w:val="20"/>
      <w:kern w:val="2"/>
      <w:sz w:val="24"/>
    </w:rPr>
  </w:style>
  <w:style w:type="character" w:customStyle="1" w:styleId="42">
    <w:name w:val="正文文本缩进 Char"/>
    <w:basedOn w:val="29"/>
    <w:link w:val="13"/>
    <w:qFormat/>
    <w:locked/>
    <w:uiPriority w:val="0"/>
    <w:rPr>
      <w:rFonts w:ascii="Times New Roman" w:hAnsi="Times New Roman" w:eastAsia="宋体" w:cs="Times New Roman"/>
      <w:kern w:val="0"/>
      <w:sz w:val="20"/>
    </w:rPr>
  </w:style>
  <w:style w:type="character" w:customStyle="1" w:styleId="43">
    <w:name w:val="纯文本 Char"/>
    <w:basedOn w:val="29"/>
    <w:link w:val="15"/>
    <w:qFormat/>
    <w:locked/>
    <w:uiPriority w:val="0"/>
    <w:rPr>
      <w:rFonts w:ascii="宋体" w:hAnsi="Courier New" w:cs="Times New Roman"/>
      <w:kern w:val="2"/>
      <w:sz w:val="21"/>
    </w:rPr>
  </w:style>
  <w:style w:type="character" w:customStyle="1" w:styleId="44">
    <w:name w:val="日期 Char"/>
    <w:basedOn w:val="29"/>
    <w:link w:val="16"/>
    <w:qFormat/>
    <w:locked/>
    <w:uiPriority w:val="99"/>
    <w:rPr>
      <w:rFonts w:ascii="Times New Roman" w:hAnsi="Times New Roman" w:eastAsia="宋体" w:cs="Times New Roman"/>
      <w:sz w:val="20"/>
    </w:rPr>
  </w:style>
  <w:style w:type="character" w:customStyle="1" w:styleId="45">
    <w:name w:val="正文文本缩进 2 Char"/>
    <w:basedOn w:val="29"/>
    <w:link w:val="17"/>
    <w:qFormat/>
    <w:locked/>
    <w:uiPriority w:val="99"/>
    <w:rPr>
      <w:rFonts w:ascii="Times New Roman" w:hAnsi="Times New Roman" w:cs="Times New Roman"/>
      <w:sz w:val="21"/>
    </w:rPr>
  </w:style>
  <w:style w:type="character" w:customStyle="1" w:styleId="46">
    <w:name w:val="批注框文本 Char"/>
    <w:basedOn w:val="29"/>
    <w:link w:val="18"/>
    <w:semiHidden/>
    <w:qFormat/>
    <w:locked/>
    <w:uiPriority w:val="99"/>
    <w:rPr>
      <w:rFonts w:ascii="Times New Roman" w:hAnsi="Times New Roman" w:cs="Times New Roman"/>
      <w:sz w:val="18"/>
    </w:rPr>
  </w:style>
  <w:style w:type="character" w:customStyle="1" w:styleId="47">
    <w:name w:val="页脚 Char"/>
    <w:basedOn w:val="29"/>
    <w:link w:val="19"/>
    <w:qFormat/>
    <w:locked/>
    <w:uiPriority w:val="99"/>
    <w:rPr>
      <w:rFonts w:ascii="Times New Roman" w:hAnsi="Times New Roman" w:eastAsia="宋体" w:cs="Times New Roman"/>
      <w:kern w:val="0"/>
      <w:sz w:val="18"/>
    </w:rPr>
  </w:style>
  <w:style w:type="character" w:customStyle="1" w:styleId="48">
    <w:name w:val="页眉 Char"/>
    <w:basedOn w:val="29"/>
    <w:link w:val="20"/>
    <w:qFormat/>
    <w:locked/>
    <w:uiPriority w:val="99"/>
    <w:rPr>
      <w:rFonts w:eastAsia="宋体" w:cs="Times New Roman"/>
      <w:sz w:val="18"/>
    </w:rPr>
  </w:style>
  <w:style w:type="character" w:customStyle="1" w:styleId="49">
    <w:name w:val="标题 Char"/>
    <w:basedOn w:val="29"/>
    <w:link w:val="24"/>
    <w:qFormat/>
    <w:locked/>
    <w:uiPriority w:val="99"/>
    <w:rPr>
      <w:rFonts w:ascii="Cambria" w:hAnsi="Cambria" w:cs="Times New Roman"/>
      <w:b/>
      <w:bCs/>
      <w:sz w:val="32"/>
      <w:szCs w:val="32"/>
    </w:rPr>
  </w:style>
  <w:style w:type="character" w:customStyle="1" w:styleId="50">
    <w:name w:val="正文文本 3 Char1"/>
    <w:semiHidden/>
    <w:qFormat/>
    <w:uiPriority w:val="99"/>
    <w:rPr>
      <w:rFonts w:ascii="Times New Roman" w:hAnsi="Times New Roman"/>
      <w:sz w:val="16"/>
    </w:rPr>
  </w:style>
  <w:style w:type="character" w:customStyle="1" w:styleId="51">
    <w:name w:val="Char Char1"/>
    <w:semiHidden/>
    <w:qFormat/>
    <w:uiPriority w:val="99"/>
    <w:rPr>
      <w:rFonts w:ascii="Times New Roman" w:hAnsi="Times New Roman"/>
      <w:sz w:val="21"/>
    </w:rPr>
  </w:style>
  <w:style w:type="character" w:customStyle="1" w:styleId="52">
    <w:name w:val="纯文本 Char1"/>
    <w:semiHidden/>
    <w:qFormat/>
    <w:uiPriority w:val="99"/>
    <w:rPr>
      <w:rFonts w:ascii="宋体" w:hAnsi="Courier New"/>
      <w:sz w:val="21"/>
    </w:rPr>
  </w:style>
  <w:style w:type="character" w:customStyle="1" w:styleId="53">
    <w:name w:val="页眉 Char1"/>
    <w:semiHidden/>
    <w:qFormat/>
    <w:uiPriority w:val="99"/>
    <w:rPr>
      <w:rFonts w:ascii="Times New Roman" w:hAnsi="Times New Roman" w:eastAsia="宋体"/>
      <w:kern w:val="0"/>
      <w:sz w:val="18"/>
    </w:rPr>
  </w:style>
  <w:style w:type="character" w:customStyle="1" w:styleId="54">
    <w:name w:val="正文文本 Char1"/>
    <w:semiHidden/>
    <w:qFormat/>
    <w:uiPriority w:val="99"/>
    <w:rPr>
      <w:rFonts w:ascii="Times New Roman" w:hAnsi="Times New Roman"/>
      <w:sz w:val="21"/>
    </w:rPr>
  </w:style>
  <w:style w:type="paragraph" w:customStyle="1" w:styleId="55">
    <w:name w:val="报告正文"/>
    <w:basedOn w:val="1"/>
    <w:qFormat/>
    <w:uiPriority w:val="99"/>
    <w:pPr>
      <w:widowControl w:val="0"/>
      <w:adjustRightInd w:val="0"/>
      <w:snapToGrid w:val="0"/>
      <w:spacing w:line="288" w:lineRule="auto"/>
      <w:ind w:left="3060" w:leftChars="1700"/>
      <w:jc w:val="both"/>
    </w:pPr>
    <w:rPr>
      <w:rFonts w:ascii="华文细黑" w:hAnsi="华文细黑" w:eastAsia="华文细黑" w:cs="宋体"/>
      <w:kern w:val="2"/>
    </w:rPr>
  </w:style>
  <w:style w:type="paragraph" w:customStyle="1" w:styleId="56">
    <w:name w:val="题注4"/>
    <w:basedOn w:val="1"/>
    <w:next w:val="9"/>
    <w:qFormat/>
    <w:uiPriority w:val="99"/>
    <w:pPr>
      <w:widowControl w:val="0"/>
      <w:ind w:left="-132" w:leftChars="-64" w:right="-105" w:rightChars="-50" w:hanging="2"/>
      <w:jc w:val="center"/>
    </w:pPr>
    <w:rPr>
      <w:b/>
      <w:color w:val="FF0000"/>
      <w:kern w:val="2"/>
      <w:szCs w:val="21"/>
      <w:lang w:val="en-GB"/>
    </w:rPr>
  </w:style>
  <w:style w:type="paragraph" w:customStyle="1" w:styleId="57">
    <w:name w:val="列出段落1"/>
    <w:basedOn w:val="1"/>
    <w:qFormat/>
    <w:uiPriority w:val="99"/>
    <w:pPr>
      <w:ind w:firstLine="420" w:firstLineChars="200"/>
    </w:pPr>
  </w:style>
  <w:style w:type="paragraph" w:customStyle="1" w:styleId="58">
    <w:name w:val="图"/>
    <w:basedOn w:val="1"/>
    <w:qFormat/>
    <w:uiPriority w:val="99"/>
    <w:pPr>
      <w:keepNext/>
      <w:widowControl w:val="0"/>
      <w:adjustRightInd w:val="0"/>
      <w:spacing w:before="60" w:after="60" w:line="300" w:lineRule="auto"/>
      <w:jc w:val="center"/>
      <w:textAlignment w:val="center"/>
    </w:pPr>
    <w:rPr>
      <w:spacing w:val="20"/>
      <w:sz w:val="24"/>
      <w:szCs w:val="21"/>
    </w:rPr>
  </w:style>
  <w:style w:type="paragraph" w:customStyle="1" w:styleId="59">
    <w:name w:val="样式 宋体 左 行距: 固定值 22 磅"/>
    <w:basedOn w:val="1"/>
    <w:qFormat/>
    <w:uiPriority w:val="99"/>
    <w:pPr>
      <w:widowControl w:val="0"/>
      <w:spacing w:line="440" w:lineRule="exact"/>
      <w:ind w:firstLine="480" w:firstLineChars="200"/>
    </w:pPr>
    <w:rPr>
      <w:rFonts w:ascii="宋体" w:hAnsi="宋体" w:cs="宋体"/>
      <w:kern w:val="2"/>
      <w:sz w:val="24"/>
    </w:rPr>
  </w:style>
  <w:style w:type="paragraph" w:customStyle="1" w:styleId="60">
    <w:name w:val="列出段落2"/>
    <w:basedOn w:val="1"/>
    <w:qFormat/>
    <w:uiPriority w:val="99"/>
    <w:pPr>
      <w:ind w:firstLine="420" w:firstLineChars="200"/>
    </w:pPr>
  </w:style>
  <w:style w:type="character" w:customStyle="1" w:styleId="61">
    <w:name w:val="正文缩进 Char"/>
    <w:link w:val="8"/>
    <w:qFormat/>
    <w:locked/>
    <w:uiPriority w:val="99"/>
    <w:rPr>
      <w:rFonts w:ascii="宋体"/>
      <w:sz w:val="34"/>
    </w:rPr>
  </w:style>
  <w:style w:type="paragraph" w:customStyle="1" w:styleId="62">
    <w:name w:val="样式4"/>
    <w:basedOn w:val="1"/>
    <w:qFormat/>
    <w:uiPriority w:val="99"/>
    <w:pPr>
      <w:widowControl w:val="0"/>
      <w:numPr>
        <w:ilvl w:val="3"/>
        <w:numId w:val="2"/>
      </w:numPr>
      <w:jc w:val="both"/>
    </w:pPr>
    <w:rPr>
      <w:kern w:val="2"/>
      <w:szCs w:val="24"/>
    </w:rPr>
  </w:style>
  <w:style w:type="paragraph" w:customStyle="1" w:styleId="63">
    <w:name w:val="样式1"/>
    <w:basedOn w:val="1"/>
    <w:qFormat/>
    <w:uiPriority w:val="99"/>
    <w:pPr>
      <w:widowControl w:val="0"/>
      <w:numPr>
        <w:ilvl w:val="0"/>
        <w:numId w:val="2"/>
      </w:numPr>
      <w:tabs>
        <w:tab w:val="left" w:pos="709"/>
      </w:tabs>
      <w:adjustRightInd w:val="0"/>
      <w:jc w:val="both"/>
      <w:textAlignment w:val="baseline"/>
    </w:pPr>
    <w:rPr>
      <w:rFonts w:ascii="宋体" w:hAnsi="宋体"/>
      <w:szCs w:val="21"/>
    </w:rPr>
  </w:style>
  <w:style w:type="paragraph" w:styleId="64">
    <w:name w:val="List Paragraph"/>
    <w:basedOn w:val="1"/>
    <w:unhideWhenUsed/>
    <w:qFormat/>
    <w:uiPriority w:val="99"/>
    <w:pPr>
      <w:ind w:firstLine="420" w:firstLineChars="200"/>
    </w:pPr>
  </w:style>
  <w:style w:type="paragraph" w:customStyle="1" w:styleId="6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character" w:customStyle="1" w:styleId="66">
    <w:name w:val="font41"/>
    <w:basedOn w:val="29"/>
    <w:qFormat/>
    <w:uiPriority w:val="0"/>
    <w:rPr>
      <w:rFonts w:hint="eastAsia" w:ascii="宋体" w:hAnsi="宋体" w:eastAsia="宋体" w:cs="宋体"/>
      <w:color w:val="FF0000"/>
      <w:sz w:val="24"/>
      <w:szCs w:val="24"/>
      <w:u w:val="none"/>
    </w:rPr>
  </w:style>
  <w:style w:type="character" w:customStyle="1" w:styleId="67">
    <w:name w:val="font51"/>
    <w:basedOn w:val="29"/>
    <w:qFormat/>
    <w:uiPriority w:val="0"/>
    <w:rPr>
      <w:rFonts w:hint="eastAsia" w:ascii="宋体" w:hAnsi="宋体" w:eastAsia="宋体" w:cs="宋体"/>
      <w:color w:val="0066CC"/>
      <w:sz w:val="24"/>
      <w:szCs w:val="24"/>
      <w:u w:val="none"/>
    </w:rPr>
  </w:style>
  <w:style w:type="character" w:customStyle="1" w:styleId="68">
    <w:name w:val="font01"/>
    <w:basedOn w:val="29"/>
    <w:qFormat/>
    <w:uiPriority w:val="0"/>
    <w:rPr>
      <w:rFonts w:hint="eastAsia" w:ascii="宋体" w:hAnsi="宋体" w:eastAsia="宋体" w:cs="宋体"/>
      <w:color w:val="333399"/>
      <w:sz w:val="24"/>
      <w:szCs w:val="24"/>
      <w:u w:val="none"/>
    </w:rPr>
  </w:style>
  <w:style w:type="paragraph" w:customStyle="1" w:styleId="69">
    <w:name w:val="表格文字"/>
    <w:basedOn w:val="13"/>
    <w:qFormat/>
    <w:uiPriority w:val="0"/>
    <w:pPr>
      <w:keepLines w:val="0"/>
      <w:widowControl w:val="0"/>
      <w:tabs>
        <w:tab w:val="left" w:pos="-720"/>
      </w:tabs>
      <w:adjustRightInd/>
      <w:snapToGrid/>
      <w:spacing w:before="20" w:after="20" w:line="240" w:lineRule="auto"/>
      <w:ind w:left="0"/>
    </w:pPr>
    <w:rPr>
      <w:rFonts w:ascii="Century Gothic" w:hAnsi="Century Gothic"/>
      <w:spacing w:val="0"/>
      <w:sz w:val="20"/>
      <w:szCs w:val="20"/>
    </w:rPr>
  </w:style>
  <w:style w:type="paragraph" w:customStyle="1" w:styleId="70">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71">
    <w:name w:val="Table Paragraph"/>
    <w:basedOn w:val="1"/>
    <w:qFormat/>
    <w:uiPriority w:val="1"/>
    <w:rPr>
      <w:rFonts w:ascii="仿宋" w:hAnsi="仿宋" w:eastAsia="仿宋" w:cs="仿宋"/>
    </w:rPr>
  </w:style>
  <w:style w:type="paragraph" w:customStyle="1" w:styleId="72">
    <w:name w:val="列表段落1"/>
    <w:basedOn w:val="1"/>
    <w:qFormat/>
    <w:uiPriority w:val="34"/>
    <w:pPr>
      <w:ind w:firstLine="420" w:firstLineChars="200"/>
    </w:pPr>
    <w:rPr>
      <w:rFonts w:ascii="Calibri" w:hAnsi="Calibri" w:eastAsia="宋体" w:cs="Times New Roman"/>
      <w:szCs w:val="21"/>
    </w:rPr>
  </w:style>
  <w:style w:type="paragraph" w:customStyle="1" w:styleId="73">
    <w:name w:val=" Char"/>
    <w:basedOn w:val="1"/>
    <w:qFormat/>
    <w:uiPriority w:val="0"/>
    <w:pPr>
      <w:adjustRightInd w:val="0"/>
      <w:snapToGrid w:val="0"/>
      <w:spacing w:line="360" w:lineRule="auto"/>
      <w:ind w:firstLine="200"/>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37740</Words>
  <Characters>39105</Characters>
  <Lines>58</Lines>
  <Paragraphs>73</Paragraphs>
  <TotalTime>22</TotalTime>
  <ScaleCrop>false</ScaleCrop>
  <LinksUpToDate>false</LinksUpToDate>
  <CharactersWithSpaces>44422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2018-01-26T01:26:00Z</dcterms:created>
  <dc:creator>any</dc:creator>
  <cp:lastModifiedBy>和合</cp:lastModifiedBy>
  <cp:lastPrinted>2021-08-23T07:45:00Z</cp:lastPrinted>
  <dcterms:modified xsi:type="dcterms:W3CDTF">2023-09-19T02:07:48Z</dcterms:modified>
  <dc:title>新福街道老年人日间照料中心消防工程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C6445F000AE248088E557F3C7AFB3591_13</vt:lpwstr>
  </property>
</Properties>
</file>