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横琴粤澳深度合作区</w:t>
      </w:r>
      <w:r>
        <w:rPr>
          <w:rFonts w:ascii="Times New Roman" w:hAnsi="Times New Roman" w:eastAsia="方正小标宋简体"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bCs/>
          <w:sz w:val="44"/>
          <w:szCs w:val="44"/>
        </w:rPr>
        <w:t>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年度特殊人才奖励</w:t>
      </w:r>
    </w:p>
    <w:p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合伙制企业认定申报指南</w:t>
      </w:r>
    </w:p>
    <w:p>
      <w:pPr>
        <w:pStyle w:val="2"/>
      </w:pPr>
    </w:p>
    <w:p>
      <w:pPr>
        <w:spacing w:line="579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一、认定依据</w:t>
      </w:r>
    </w:p>
    <w:p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《横琴新区管委会办公室关于印发&lt;横琴新区特殊人才奖励办法&gt;的通知》（珠横新办〔</w:t>
      </w:r>
      <w:r>
        <w:rPr>
          <w:rFonts w:hint="eastAsia" w:ascii="Times New Roman" w:hAnsi="Times New Roman" w:eastAsia="方正小标宋简体"/>
          <w:bCs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ascii="Times New Roman" w:hAnsi="Times New Roman" w:eastAsia="仿宋_GB2312"/>
          <w:sz w:val="32"/>
          <w:szCs w:val="32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</w:p>
    <w:p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《2022年度横琴粤澳深度合作区特殊人才奖励申报指南》</w:t>
      </w:r>
    </w:p>
    <w:p>
      <w:pPr>
        <w:spacing w:line="579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二、认定范围</w:t>
      </w:r>
    </w:p>
    <w:p>
      <w:pPr>
        <w:spacing w:line="579" w:lineRule="exact"/>
        <w:jc w:val="left"/>
        <w:rPr>
          <w:rFonts w:ascii="仿宋_GB2312" w:hAnsi="仿宋_GB2312" w:eastAsia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本指南仅适用于《横琴新区特殊人才奖励办法》第八条第（三）款规定的“经认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定的合伙制股权投资、创业投资类企业”。私募基金管理人和私募基金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认定以中国证券投资基金业协会公示登记备案信息为准，无需申报认定。</w:t>
      </w:r>
    </w:p>
    <w:p>
      <w:pPr>
        <w:spacing w:line="579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三、认定时间</w:t>
      </w:r>
    </w:p>
    <w:p>
      <w:pPr>
        <w:tabs>
          <w:tab w:val="left" w:pos="1680"/>
          <w:tab w:val="left" w:pos="4620"/>
        </w:tabs>
        <w:spacing w:line="579" w:lineRule="exact"/>
        <w:ind w:firstLine="640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Times New Roman" w:hAnsi="Times New Roman" w:eastAsia="仿宋_GB2312"/>
          <w:sz w:val="32"/>
          <w:szCs w:val="32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逾期不予受理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79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四、认定条件及申报材料</w:t>
      </w:r>
    </w:p>
    <w:p>
      <w:pPr>
        <w:spacing w:line="579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（一）合伙制员工持股平台</w:t>
      </w:r>
    </w:p>
    <w:p>
      <w:pPr>
        <w:spacing w:line="579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1.认定条件：</w:t>
      </w:r>
      <w:r>
        <w:rPr>
          <w:rFonts w:hint="eastAsia" w:ascii="仿宋_GB2312" w:hAnsi="仿宋_GB2312" w:eastAsia="仿宋_GB2312" w:cs="仿宋_GB2312"/>
          <w:sz w:val="32"/>
          <w:szCs w:val="32"/>
        </w:rPr>
        <w:t>上市公司或拟上市股份公司的员工持股平台；拟上市股份公司是指</w:t>
      </w:r>
      <w:r>
        <w:rPr>
          <w:rFonts w:hint="eastAsia" w:ascii="Times New Roman" w:hAnsi="Times New Roman" w:eastAsia="仿宋_GB2312"/>
          <w:sz w:val="32"/>
          <w:szCs w:val="32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日前企业名称应含“股份有限公司”。</w:t>
      </w:r>
    </w:p>
    <w:p>
      <w:pPr>
        <w:spacing w:line="579" w:lineRule="exact"/>
        <w:ind w:firstLine="643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2.申报材料：</w:t>
      </w:r>
      <w:r>
        <w:rPr>
          <w:rFonts w:hint="eastAsia" w:ascii="仿宋_GB2312" w:hAnsi="仿宋_GB2312" w:eastAsia="仿宋_GB2312" w:cs="仿宋_GB2312"/>
          <w:sz w:val="32"/>
          <w:szCs w:val="32"/>
        </w:rPr>
        <w:t>合伙协议、</w:t>
      </w:r>
      <w:r>
        <w:rPr>
          <w:rFonts w:hint="eastAsia" w:ascii="仿宋_GB2312" w:eastAsia="仿宋_GB2312"/>
          <w:sz w:val="32"/>
          <w:szCs w:val="32"/>
        </w:rPr>
        <w:t>上市公司或拟上市股份公司出具的承诺书（系统下载）、股东会决</w:t>
      </w:r>
      <w:r>
        <w:rPr>
          <w:rFonts w:hint="eastAsia" w:ascii="仿宋_GB2312" w:eastAsia="仿宋_GB2312"/>
          <w:sz w:val="32"/>
          <w:szCs w:val="32"/>
          <w:highlight w:val="none"/>
        </w:rPr>
        <w:t>议（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应包</w:t>
      </w:r>
      <w:r>
        <w:rPr>
          <w:rFonts w:hint="eastAsia" w:ascii="仿宋_GB2312" w:eastAsia="仿宋_GB2312"/>
          <w:sz w:val="32"/>
          <w:szCs w:val="32"/>
          <w:highlight w:val="none"/>
        </w:rPr>
        <w:t>含设立员工持股平台相关内容）、股权激励管理办法。</w:t>
      </w:r>
    </w:p>
    <w:p>
      <w:pPr>
        <w:spacing w:line="579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（二）合伙制创业投资企业</w:t>
      </w:r>
    </w:p>
    <w:p>
      <w:pPr>
        <w:spacing w:line="579" w:lineRule="exact"/>
        <w:ind w:firstLine="643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1.认定条件：</w:t>
      </w:r>
      <w:r>
        <w:rPr>
          <w:rFonts w:hint="eastAsia" w:ascii="仿宋_GB2312" w:eastAsia="仿宋_GB2312"/>
          <w:sz w:val="32"/>
          <w:szCs w:val="32"/>
        </w:rPr>
        <w:t>符合《创业投资企业管理暂行办法》等规定，经发改委备案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79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2.申报材料：</w:t>
      </w:r>
      <w:r>
        <w:rPr>
          <w:rFonts w:hint="eastAsia" w:ascii="仿宋_GB2312" w:hAnsi="仿宋_GB2312" w:eastAsia="仿宋_GB2312" w:cs="仿宋_GB2312"/>
          <w:sz w:val="32"/>
          <w:szCs w:val="32"/>
        </w:rPr>
        <w:t>合伙协议、创投企业备案证明材料。</w:t>
      </w:r>
    </w:p>
    <w:p>
      <w:pPr>
        <w:spacing w:line="579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（三）其他合伙制股权投资企业</w:t>
      </w:r>
    </w:p>
    <w:p>
      <w:pPr>
        <w:spacing w:line="579" w:lineRule="exact"/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1.认定条件：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申请企业须同时满足以下要求：</w:t>
      </w:r>
    </w:p>
    <w:p>
      <w:pPr>
        <w:numPr>
          <w:ilvl w:val="0"/>
          <w:numId w:val="0"/>
        </w:numPr>
        <w:spacing w:line="579" w:lineRule="exact"/>
        <w:ind w:leftChars="0"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“经营范围含“投资”字样；</w:t>
      </w:r>
    </w:p>
    <w:p>
      <w:pPr>
        <w:numPr>
          <w:ilvl w:val="0"/>
          <w:numId w:val="0"/>
        </w:numPr>
        <w:spacing w:line="579" w:lineRule="exact"/>
        <w:ind w:leftChars="0"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（2）从事股权投资业务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且对被投资企业持股时间超过12个月；</w:t>
      </w:r>
    </w:p>
    <w:p>
      <w:pPr>
        <w:numPr>
          <w:ilvl w:val="0"/>
          <w:numId w:val="0"/>
        </w:numPr>
        <w:spacing w:line="579" w:lineRule="exact"/>
        <w:ind w:leftChars="0"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（3）股权投资收益（股息红利及股权转让收益）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超过4万元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，且股权投资收益超过收入总额的80%（含）；</w:t>
      </w:r>
    </w:p>
    <w:p>
      <w:pPr>
        <w:numPr>
          <w:ilvl w:val="0"/>
          <w:numId w:val="0"/>
        </w:numPr>
        <w:spacing w:line="579" w:lineRule="exact"/>
        <w:ind w:leftChars="0" w:firstLine="640" w:firstLineChars="200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（4）</w:t>
      </w:r>
      <w:r>
        <w:rPr>
          <w:rFonts w:hint="eastAsia" w:ascii="仿宋_GB2312" w:hAnsi="仿宋_GB2312" w:eastAsia="仿宋_GB2312" w:cs="仿宋_GB2312"/>
          <w:sz w:val="32"/>
          <w:szCs w:val="32"/>
        </w:rPr>
        <w:t>工商登记为被投资企业的股东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上述所称“</w:t>
      </w:r>
      <w:r>
        <w:rPr>
          <w:rFonts w:hint="eastAsia" w:ascii="仿宋_GB2312" w:hAnsi="仿宋_GB2312" w:eastAsia="仿宋_GB2312" w:cs="仿宋_GB2312"/>
          <w:sz w:val="32"/>
          <w:szCs w:val="32"/>
        </w:rPr>
        <w:t>股权投资业务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，是指直接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</w:rPr>
        <w:t>或间接</w:t>
      </w:r>
      <w:r>
        <w:rPr>
          <w:rFonts w:hint="eastAsia" w:ascii="仿宋_GB2312" w:hAnsi="仿宋_GB2312" w:eastAsia="仿宋_GB2312" w:cs="仿宋_GB2312"/>
          <w:sz w:val="32"/>
          <w:szCs w:val="32"/>
        </w:rPr>
        <w:t>投资于非公开交易的企业股权，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投资于上市挂牌企业定向增发的业务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上述所称“</w:t>
      </w:r>
      <w:r>
        <w:rPr>
          <w:rFonts w:hint="eastAsia" w:ascii="仿宋_GB2312" w:hAnsi="仿宋_GB2312" w:eastAsia="仿宋_GB2312" w:cs="仿宋_GB2312"/>
          <w:sz w:val="32"/>
          <w:szCs w:val="32"/>
        </w:rPr>
        <w:t>收入总额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，是指《</w:t>
      </w:r>
      <w:r>
        <w:fldChar w:fldCharType="begin"/>
      </w:r>
      <w:r>
        <w:instrText xml:space="preserve"> HYPERLINK "https://www.shui5.cn/article/38/39946.html"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中华人民共和国企业所得税法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》第六条规定的收入总额。</w:t>
      </w:r>
    </w:p>
    <w:p>
      <w:pPr>
        <w:spacing w:line="579" w:lineRule="exact"/>
        <w:ind w:firstLine="643" w:firstLineChars="200"/>
        <w:rPr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2.申报材料：</w:t>
      </w:r>
      <w:r>
        <w:rPr>
          <w:rFonts w:hint="eastAsia" w:ascii="仿宋_GB2312" w:hAnsi="仿宋_GB2312" w:eastAsia="仿宋_GB2312" w:cs="仿宋_GB2312"/>
          <w:sz w:val="32"/>
          <w:szCs w:val="32"/>
        </w:rPr>
        <w:t>合伙协议、</w:t>
      </w:r>
      <w:r>
        <w:rPr>
          <w:rFonts w:hint="eastAsia" w:ascii="Times New Roman" w:hAnsi="Times New Roman" w:eastAsia="仿宋_GB2312"/>
          <w:sz w:val="32"/>
          <w:szCs w:val="32"/>
        </w:rPr>
        <w:t>2022</w:t>
      </w:r>
      <w:r>
        <w:rPr>
          <w:rFonts w:hint="eastAsia" w:ascii="仿宋_GB2312" w:eastAsia="仿宋_GB2312"/>
          <w:sz w:val="32"/>
          <w:szCs w:val="32"/>
        </w:rPr>
        <w:t>年度审计报告。</w:t>
      </w:r>
      <w:r>
        <w:rPr>
          <w:rFonts w:hint="eastAsia" w:ascii="仿宋_GB2312" w:eastAsia="仿宋_GB2312"/>
          <w:sz w:val="32"/>
          <w:szCs w:val="32"/>
          <w:highlight w:val="none"/>
        </w:rPr>
        <w:t>审计报告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财务报表项目注释中</w:t>
      </w:r>
      <w:r>
        <w:rPr>
          <w:rFonts w:hint="eastAsia" w:ascii="仿宋_GB2312" w:hAnsi="仿宋_GB2312" w:eastAsia="仿宋_GB2312" w:cs="仿宋_GB2312"/>
          <w:sz w:val="32"/>
          <w:szCs w:val="32"/>
        </w:rPr>
        <w:t>股权投资业务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须列明具体股权投资明细项目，“投资收益”须列明具体收益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来源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明细项目。</w:t>
      </w:r>
    </w:p>
    <w:p>
      <w:pPr>
        <w:spacing w:line="579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五、申报流程</w:t>
      </w:r>
    </w:p>
    <w:p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采用网上系统申报，申请认定的合伙制企业（以下简称申请企业）请登录“横琴粤澳深度合作区惠企利民服务平台”（网址：</w:t>
      </w:r>
      <w:r>
        <w:rPr>
          <w:rFonts w:hint="eastAsia" w:ascii="Times New Roman" w:hAnsi="Times New Roman" w:eastAsia="仿宋_GB2312"/>
          <w:sz w:val="32"/>
          <w:szCs w:val="32"/>
        </w:rPr>
        <w:t>https://ycfz.hengqin.gov.cn/</w:t>
      </w:r>
      <w:r>
        <w:rPr>
          <w:rFonts w:hint="eastAsia" w:ascii="仿宋_GB2312" w:hAnsi="仿宋_GB2312" w:eastAsia="仿宋_GB2312" w:cs="仿宋_GB2312"/>
          <w:sz w:val="32"/>
          <w:szCs w:val="32"/>
        </w:rPr>
        <w:t>，以下简称惠企利民系统）进行信息填报。以下为申报流程：</w:t>
      </w:r>
    </w:p>
    <w:p>
      <w:pPr>
        <w:spacing w:line="579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（一）申请企业注册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申请企业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可</w:t>
      </w:r>
      <w:r>
        <w:rPr>
          <w:rFonts w:hint="eastAsia" w:ascii="仿宋_GB2312" w:hAnsi="仿宋_GB2312" w:eastAsia="仿宋_GB2312" w:cs="仿宋_GB2312"/>
          <w:sz w:val="32"/>
          <w:szCs w:val="32"/>
        </w:rPr>
        <w:t>在惠企利民平台右上方点击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登录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选择“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我是单位/个人用户”，</w:t>
      </w:r>
      <w:r>
        <w:rPr>
          <w:rFonts w:hint="eastAsia" w:ascii="仿宋_GB2312" w:hAnsi="仿宋_GB2312" w:eastAsia="仿宋_GB2312" w:cs="仿宋_GB2312"/>
          <w:sz w:val="32"/>
          <w:szCs w:val="32"/>
        </w:rPr>
        <w:t>跳转至广东省统一省份认证平台，选择法人登录，点击注册按流程注册（之前已注册过的可直接登录）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；</w:t>
      </w:r>
    </w:p>
    <w:p>
      <w:pPr>
        <w:spacing w:line="579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（二）资料填报</w:t>
      </w:r>
    </w:p>
    <w:p>
      <w:pPr>
        <w:spacing w:line="58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【第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步】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企业登录，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完成注册的申请企业在惠企利民平台右上方点击登录，选择“我是单位/个人用户”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页面跳转至广东省统一身份认证平台，选择扫码或账号密码登录。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第二步</w:t>
      </w:r>
      <w:r>
        <w:rPr>
          <w:rFonts w:hint="eastAsia" w:ascii="仿宋_GB2312" w:hAnsi="仿宋_GB2312" w:eastAsia="仿宋_GB2312" w:cs="仿宋_GB2312"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填写申报信息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，申请企业在惠企利民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搜索“合伙制企业认定”进入申报界面，选择申报方向，点击“立即申报”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按要求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如实填报信息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上传电子申请材料。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第三步</w:t>
      </w:r>
      <w:r>
        <w:rPr>
          <w:rFonts w:hint="eastAsia" w:ascii="仿宋_GB2312" w:hAnsi="仿宋_GB2312" w:eastAsia="仿宋_GB2312" w:cs="仿宋_GB2312"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确认提交</w:t>
      </w:r>
      <w:r>
        <w:rPr>
          <w:rFonts w:hint="eastAsia" w:ascii="仿宋_GB2312" w:hAnsi="仿宋_GB2312" w:eastAsia="仿宋_GB2312" w:cs="仿宋_GB2312"/>
          <w:sz w:val="32"/>
          <w:szCs w:val="32"/>
        </w:rPr>
        <w:t>，申请企业填报完整信息后可点击提交并确认，即可提交申报项目至受理机构；如暂未填写完整，可点击暂存，后续可在系统右上方点击进入“我的工作台”，选择“我的项目”，找到对应项目继续填报完整后提交。</w:t>
      </w:r>
    </w:p>
    <w:p>
      <w:pPr>
        <w:spacing w:line="579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）受理机构审核</w:t>
      </w:r>
    </w:p>
    <w:p>
      <w:pPr>
        <w:spacing w:line="579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项目提交后，受理机构将会按提交顺序对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申请企业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的信息进行审核，审核结果将通过系统发送手机短信告知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申请企业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联系人。如审核结果为“退回修改”，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申请企业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需按要求补充完善相关信息后，再次按本指南“提出申请”步骤进行申请。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申报资料一经提交原则上不可修改，如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受理机构认为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确需修改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的，需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在设定的退回期限内完善材料并重新提交至受理机构，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逾期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视为放弃申报；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如审核结果为“不通过”，则未通过认定；如审核结果为“已通过”，则为通过认定。</w:t>
      </w:r>
    </w:p>
    <w:p>
      <w:pPr>
        <w:spacing w:line="579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六、特别说明</w:t>
      </w:r>
    </w:p>
    <w:p>
      <w:pPr>
        <w:spacing w:line="58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single"/>
        </w:rPr>
        <w:t>本认定工作与特殊人才奖励申报同步、独立进行，企业需先行进行特殊人才奖励申请后，再按需申请合伙制企业认定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。</w:t>
      </w:r>
    </w:p>
    <w:p>
      <w:pPr>
        <w:spacing w:line="579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此次</w:t>
      </w:r>
      <w:r>
        <w:rPr>
          <w:rFonts w:hint="eastAsia" w:ascii="仿宋_GB2312" w:hAnsi="仿宋_GB2312" w:eastAsia="仿宋_GB2312" w:cs="仿宋_GB2312"/>
          <w:sz w:val="32"/>
          <w:szCs w:val="32"/>
        </w:rPr>
        <w:t>合伙制股权投资、创业投资类企业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认定结果仅用于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2022年度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特殊人才奖励申报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七、咨询电话</w:t>
      </w:r>
    </w:p>
    <w:p>
      <w:pPr>
        <w:pStyle w:val="2"/>
        <w:spacing w:line="560" w:lineRule="exact"/>
        <w:ind w:firstLine="596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合伙制创业投资、股权投资企业认定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ab/>
      </w:r>
      <w:r>
        <w:rPr>
          <w:rFonts w:hint="eastAsia" w:ascii="Times New Roman" w:hAnsi="Times New Roman" w:eastAsia="仿宋_GB2312"/>
          <w:sz w:val="32"/>
          <w:szCs w:val="32"/>
        </w:rPr>
        <w:t>0756-8937217、8937897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申报系统技术咨询电话 </w:t>
      </w:r>
      <w:r>
        <w:rPr>
          <w:rFonts w:hint="eastAsia" w:ascii="Times New Roman" w:hAnsi="Times New Roman" w:eastAsia="仿宋_GB2312"/>
          <w:sz w:val="32"/>
          <w:szCs w:val="32"/>
        </w:rPr>
        <w:t>0756-8841172</w:t>
      </w:r>
    </w:p>
    <w:p>
      <w:pPr>
        <w:spacing w:line="580" w:lineRule="exac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（注：本指南由横琴粤澳深度合作区金融发展局编制并解释。）</w:t>
      </w:r>
    </w:p>
    <w:sectPr>
      <w:footerReference r:id="rId3" w:type="default"/>
      <w:pgSz w:w="11906" w:h="16838"/>
      <w:pgMar w:top="1304" w:right="1587" w:bottom="130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OqXm5zwAAAAUBAAAPAAAAAAAAAAEAIAAAACIAAABkcnMvZG93bnJldi54bWxQSwECFAAUAAAA&#10;CACHTuJA5oKZWr4BAABfAwAADgAAAAAAAAABACAAAAAe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mMmI0NzhmNGRhMmVkOGYyZjA4NmZmMGE2NDU5NGQifQ=="/>
  </w:docVars>
  <w:rsids>
    <w:rsidRoot w:val="000B650D"/>
    <w:rsid w:val="00035DEA"/>
    <w:rsid w:val="00036AC8"/>
    <w:rsid w:val="00077F19"/>
    <w:rsid w:val="000B650D"/>
    <w:rsid w:val="000C03B1"/>
    <w:rsid w:val="000D6C7D"/>
    <w:rsid w:val="000F689A"/>
    <w:rsid w:val="00123613"/>
    <w:rsid w:val="00123B68"/>
    <w:rsid w:val="00130001"/>
    <w:rsid w:val="00140679"/>
    <w:rsid w:val="00183E5F"/>
    <w:rsid w:val="001C3445"/>
    <w:rsid w:val="001F6F7F"/>
    <w:rsid w:val="0023265F"/>
    <w:rsid w:val="00237CBA"/>
    <w:rsid w:val="00247FDA"/>
    <w:rsid w:val="00263061"/>
    <w:rsid w:val="00266684"/>
    <w:rsid w:val="002A55A2"/>
    <w:rsid w:val="002C7E65"/>
    <w:rsid w:val="00334ECC"/>
    <w:rsid w:val="00336FB0"/>
    <w:rsid w:val="003722EB"/>
    <w:rsid w:val="003A0500"/>
    <w:rsid w:val="003B67F0"/>
    <w:rsid w:val="003D1AC8"/>
    <w:rsid w:val="003F06A6"/>
    <w:rsid w:val="00401358"/>
    <w:rsid w:val="00416ECE"/>
    <w:rsid w:val="00420C03"/>
    <w:rsid w:val="00426D51"/>
    <w:rsid w:val="00495E0B"/>
    <w:rsid w:val="00506C58"/>
    <w:rsid w:val="00512BA6"/>
    <w:rsid w:val="00556DA7"/>
    <w:rsid w:val="005634CC"/>
    <w:rsid w:val="005802B8"/>
    <w:rsid w:val="005A1C1E"/>
    <w:rsid w:val="005B64E1"/>
    <w:rsid w:val="005E1942"/>
    <w:rsid w:val="005F0EB4"/>
    <w:rsid w:val="0061452B"/>
    <w:rsid w:val="0063156D"/>
    <w:rsid w:val="006678C1"/>
    <w:rsid w:val="0068691E"/>
    <w:rsid w:val="00686AA1"/>
    <w:rsid w:val="006F44D6"/>
    <w:rsid w:val="0074640B"/>
    <w:rsid w:val="007850A7"/>
    <w:rsid w:val="007A660B"/>
    <w:rsid w:val="007E4B20"/>
    <w:rsid w:val="00832E8D"/>
    <w:rsid w:val="00847EEF"/>
    <w:rsid w:val="0092355D"/>
    <w:rsid w:val="0093172B"/>
    <w:rsid w:val="00937E8D"/>
    <w:rsid w:val="009715A5"/>
    <w:rsid w:val="009A2161"/>
    <w:rsid w:val="009B73B7"/>
    <w:rsid w:val="009F37F6"/>
    <w:rsid w:val="00A07B8F"/>
    <w:rsid w:val="00A50D68"/>
    <w:rsid w:val="00A910A3"/>
    <w:rsid w:val="00AE3621"/>
    <w:rsid w:val="00B162EA"/>
    <w:rsid w:val="00B23400"/>
    <w:rsid w:val="00BE6486"/>
    <w:rsid w:val="00BF1F9D"/>
    <w:rsid w:val="00C20F69"/>
    <w:rsid w:val="00C2391F"/>
    <w:rsid w:val="00C6528A"/>
    <w:rsid w:val="00C955F9"/>
    <w:rsid w:val="00CC5EB0"/>
    <w:rsid w:val="00D31670"/>
    <w:rsid w:val="00D333B4"/>
    <w:rsid w:val="00D54242"/>
    <w:rsid w:val="00D54C12"/>
    <w:rsid w:val="00D95F56"/>
    <w:rsid w:val="00DA010B"/>
    <w:rsid w:val="00DB15A0"/>
    <w:rsid w:val="00E21F01"/>
    <w:rsid w:val="00E44D94"/>
    <w:rsid w:val="00E7394D"/>
    <w:rsid w:val="00EB230D"/>
    <w:rsid w:val="00EE3A67"/>
    <w:rsid w:val="00EF5E93"/>
    <w:rsid w:val="00F7437E"/>
    <w:rsid w:val="00FC11C0"/>
    <w:rsid w:val="00FC78BD"/>
    <w:rsid w:val="015A3A10"/>
    <w:rsid w:val="02C152F5"/>
    <w:rsid w:val="02CA585B"/>
    <w:rsid w:val="03086B77"/>
    <w:rsid w:val="037E4EF5"/>
    <w:rsid w:val="042272FC"/>
    <w:rsid w:val="048571FD"/>
    <w:rsid w:val="05390406"/>
    <w:rsid w:val="05DD0CFD"/>
    <w:rsid w:val="05E81E0F"/>
    <w:rsid w:val="06ED11BC"/>
    <w:rsid w:val="07DC1B87"/>
    <w:rsid w:val="0AD46232"/>
    <w:rsid w:val="0AE75A7D"/>
    <w:rsid w:val="0C57529D"/>
    <w:rsid w:val="0CAF661A"/>
    <w:rsid w:val="0CBF39C0"/>
    <w:rsid w:val="0D2B6688"/>
    <w:rsid w:val="0D904201"/>
    <w:rsid w:val="0DD623A3"/>
    <w:rsid w:val="0EF514D4"/>
    <w:rsid w:val="0F1251DA"/>
    <w:rsid w:val="0FC1128B"/>
    <w:rsid w:val="0FE23553"/>
    <w:rsid w:val="10916EB1"/>
    <w:rsid w:val="10DB5E0D"/>
    <w:rsid w:val="11091EBA"/>
    <w:rsid w:val="11D23D1F"/>
    <w:rsid w:val="11FF3C6F"/>
    <w:rsid w:val="122F5213"/>
    <w:rsid w:val="12736F2B"/>
    <w:rsid w:val="140131CA"/>
    <w:rsid w:val="14B10279"/>
    <w:rsid w:val="15052A72"/>
    <w:rsid w:val="16573F9B"/>
    <w:rsid w:val="165928A6"/>
    <w:rsid w:val="17535460"/>
    <w:rsid w:val="17E7158F"/>
    <w:rsid w:val="190F0719"/>
    <w:rsid w:val="198D030F"/>
    <w:rsid w:val="1A5E1775"/>
    <w:rsid w:val="1A9A5BBC"/>
    <w:rsid w:val="1AB26EA7"/>
    <w:rsid w:val="1AD272D1"/>
    <w:rsid w:val="1B52713B"/>
    <w:rsid w:val="1C233446"/>
    <w:rsid w:val="1D0F7DCF"/>
    <w:rsid w:val="1DDF412D"/>
    <w:rsid w:val="1E5B79A4"/>
    <w:rsid w:val="1EF6283E"/>
    <w:rsid w:val="1FD46288"/>
    <w:rsid w:val="205000AF"/>
    <w:rsid w:val="20FD7994"/>
    <w:rsid w:val="212C1CB7"/>
    <w:rsid w:val="2195027C"/>
    <w:rsid w:val="21AE306A"/>
    <w:rsid w:val="22980C4B"/>
    <w:rsid w:val="241E5D50"/>
    <w:rsid w:val="254E67A5"/>
    <w:rsid w:val="257C0FBD"/>
    <w:rsid w:val="25D142CB"/>
    <w:rsid w:val="25D457C5"/>
    <w:rsid w:val="266F3CA8"/>
    <w:rsid w:val="267E4E92"/>
    <w:rsid w:val="28023671"/>
    <w:rsid w:val="285A1406"/>
    <w:rsid w:val="293A7B3B"/>
    <w:rsid w:val="29625A0D"/>
    <w:rsid w:val="296D1F44"/>
    <w:rsid w:val="29C51736"/>
    <w:rsid w:val="29F13D71"/>
    <w:rsid w:val="2A450400"/>
    <w:rsid w:val="2A501A2B"/>
    <w:rsid w:val="2ABE493C"/>
    <w:rsid w:val="2B104F5E"/>
    <w:rsid w:val="2D5215A9"/>
    <w:rsid w:val="2DC444B7"/>
    <w:rsid w:val="2EBC6C38"/>
    <w:rsid w:val="2EC966DF"/>
    <w:rsid w:val="2ED85D4C"/>
    <w:rsid w:val="2FD00C23"/>
    <w:rsid w:val="31282AE4"/>
    <w:rsid w:val="313127EF"/>
    <w:rsid w:val="320F584F"/>
    <w:rsid w:val="321525F7"/>
    <w:rsid w:val="33096FEA"/>
    <w:rsid w:val="35CE564F"/>
    <w:rsid w:val="3699423F"/>
    <w:rsid w:val="37374CC0"/>
    <w:rsid w:val="393C422E"/>
    <w:rsid w:val="395F5312"/>
    <w:rsid w:val="397C694F"/>
    <w:rsid w:val="39F069F9"/>
    <w:rsid w:val="3AEB269E"/>
    <w:rsid w:val="3B07350D"/>
    <w:rsid w:val="3B1F79A8"/>
    <w:rsid w:val="3B9B7B02"/>
    <w:rsid w:val="3D2A13EA"/>
    <w:rsid w:val="3E444476"/>
    <w:rsid w:val="405F51B2"/>
    <w:rsid w:val="40C968DB"/>
    <w:rsid w:val="415F3066"/>
    <w:rsid w:val="42F90481"/>
    <w:rsid w:val="44210D2D"/>
    <w:rsid w:val="443D70F7"/>
    <w:rsid w:val="451526EA"/>
    <w:rsid w:val="45EE5FAA"/>
    <w:rsid w:val="45FE683E"/>
    <w:rsid w:val="46910EAE"/>
    <w:rsid w:val="4693614F"/>
    <w:rsid w:val="46A22312"/>
    <w:rsid w:val="47017D27"/>
    <w:rsid w:val="47067BE4"/>
    <w:rsid w:val="473D040E"/>
    <w:rsid w:val="475231A9"/>
    <w:rsid w:val="479C354D"/>
    <w:rsid w:val="49804A3C"/>
    <w:rsid w:val="4AC20CB1"/>
    <w:rsid w:val="4ACE33B8"/>
    <w:rsid w:val="4AF40D8E"/>
    <w:rsid w:val="4C8A60CF"/>
    <w:rsid w:val="4CD404B2"/>
    <w:rsid w:val="4E3E39B6"/>
    <w:rsid w:val="4F8412B6"/>
    <w:rsid w:val="506F00BF"/>
    <w:rsid w:val="513B05C5"/>
    <w:rsid w:val="519F1DB2"/>
    <w:rsid w:val="51A02C18"/>
    <w:rsid w:val="525B3486"/>
    <w:rsid w:val="537606CE"/>
    <w:rsid w:val="53C63052"/>
    <w:rsid w:val="5450168C"/>
    <w:rsid w:val="54634362"/>
    <w:rsid w:val="549E7A0B"/>
    <w:rsid w:val="54CE3299"/>
    <w:rsid w:val="54EF31D8"/>
    <w:rsid w:val="54FF405E"/>
    <w:rsid w:val="556860B5"/>
    <w:rsid w:val="556D5AB5"/>
    <w:rsid w:val="563C0654"/>
    <w:rsid w:val="569A0898"/>
    <w:rsid w:val="56D64810"/>
    <w:rsid w:val="57444C14"/>
    <w:rsid w:val="579F0436"/>
    <w:rsid w:val="585D37C8"/>
    <w:rsid w:val="59177E56"/>
    <w:rsid w:val="597D6758"/>
    <w:rsid w:val="597F4031"/>
    <w:rsid w:val="599F05D8"/>
    <w:rsid w:val="59DC5F4D"/>
    <w:rsid w:val="59E317A0"/>
    <w:rsid w:val="5A6E2750"/>
    <w:rsid w:val="5B1A740C"/>
    <w:rsid w:val="5B2004D1"/>
    <w:rsid w:val="5B242202"/>
    <w:rsid w:val="5B24721F"/>
    <w:rsid w:val="5B2C52F6"/>
    <w:rsid w:val="5B61069A"/>
    <w:rsid w:val="5C6524F5"/>
    <w:rsid w:val="5C7F70FD"/>
    <w:rsid w:val="5CD440A4"/>
    <w:rsid w:val="5CDB63D3"/>
    <w:rsid w:val="5D8B7A29"/>
    <w:rsid w:val="5F946036"/>
    <w:rsid w:val="5FEB4F83"/>
    <w:rsid w:val="602B1128"/>
    <w:rsid w:val="61304D55"/>
    <w:rsid w:val="61527881"/>
    <w:rsid w:val="61EE4753"/>
    <w:rsid w:val="627D6486"/>
    <w:rsid w:val="627E1F5B"/>
    <w:rsid w:val="63690E91"/>
    <w:rsid w:val="636C6742"/>
    <w:rsid w:val="64A54487"/>
    <w:rsid w:val="64BC3531"/>
    <w:rsid w:val="64F37D01"/>
    <w:rsid w:val="65E160AC"/>
    <w:rsid w:val="67B16C67"/>
    <w:rsid w:val="69593FE5"/>
    <w:rsid w:val="6A2A1273"/>
    <w:rsid w:val="6A7B3DDC"/>
    <w:rsid w:val="6A935D34"/>
    <w:rsid w:val="6ABC169E"/>
    <w:rsid w:val="6AE5205E"/>
    <w:rsid w:val="6B305A80"/>
    <w:rsid w:val="6B715D1E"/>
    <w:rsid w:val="6C2615EB"/>
    <w:rsid w:val="6C982B06"/>
    <w:rsid w:val="6C9E1F8B"/>
    <w:rsid w:val="6CB569AA"/>
    <w:rsid w:val="6E6E40C8"/>
    <w:rsid w:val="6EDA5421"/>
    <w:rsid w:val="6F357581"/>
    <w:rsid w:val="70565E0B"/>
    <w:rsid w:val="723417C6"/>
    <w:rsid w:val="72C90308"/>
    <w:rsid w:val="73BA09DD"/>
    <w:rsid w:val="750D0D34"/>
    <w:rsid w:val="75DD001C"/>
    <w:rsid w:val="75E54755"/>
    <w:rsid w:val="75F158FE"/>
    <w:rsid w:val="761B1534"/>
    <w:rsid w:val="76B82860"/>
    <w:rsid w:val="77FD204C"/>
    <w:rsid w:val="7A01225A"/>
    <w:rsid w:val="7B2B7E74"/>
    <w:rsid w:val="7B70619D"/>
    <w:rsid w:val="7D8F0CBB"/>
    <w:rsid w:val="7DCE2E53"/>
    <w:rsid w:val="7F4B62D8"/>
    <w:rsid w:val="7FA0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C416BC-AB1A-48B1-B157-D009A42EE6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Pages>5</Pages>
  <Words>353</Words>
  <Characters>2017</Characters>
  <Lines>16</Lines>
  <Paragraphs>4</Paragraphs>
  <TotalTime>1</TotalTime>
  <ScaleCrop>false</ScaleCrop>
  <LinksUpToDate>false</LinksUpToDate>
  <CharactersWithSpaces>2366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2018-09-18T01:27:00Z</dcterms:created>
  <dc:creator>赖海军律师</dc:creator>
  <cp:lastModifiedBy>史华新</cp:lastModifiedBy>
  <cp:lastPrinted>2023-09-26T07:07:00Z</cp:lastPrinted>
  <dcterms:modified xsi:type="dcterms:W3CDTF">2023-09-27T01:16:02Z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06D6127A00954026B491268A9C2081A1</vt:lpwstr>
  </property>
</Properties>
</file>