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i/>
          <w:iCs/>
          <w:sz w:val="44"/>
          <w:szCs w:val="44"/>
        </w:rPr>
      </w:pPr>
      <w:bookmarkStart w:id="0" w:name="_GoBack"/>
      <w:r>
        <w:rPr>
          <w:rFonts w:hint="eastAsia" w:eastAsia="方正小标宋简体" w:cs="Times New Roman"/>
          <w:b w:val="0"/>
          <w:bCs/>
          <w:sz w:val="44"/>
          <w:szCs w:val="44"/>
          <w:lang w:eastAsia="zh-CN"/>
        </w:rPr>
        <w:t>合作区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医疗机构校验需提供的材料清单</w:t>
      </w:r>
    </w:p>
    <w:bookmarkEnd w:id="0"/>
    <w:tbl>
      <w:tblPr>
        <w:tblStyle w:val="3"/>
        <w:tblpPr w:leftFromText="180" w:rightFromText="180" w:vertAnchor="text" w:horzAnchor="page" w:tblpX="1440" w:tblpY="1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965"/>
        <w:gridCol w:w="1545"/>
        <w:gridCol w:w="1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560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材料内容（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依序排列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）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页码</w:t>
            </w: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医疗机构校验申请书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《医疗机构执业许可证》副本复印件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校验年度内的执业情况总结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医疗机构电子化注册（医师、护士）花名册及药师、技师、美容主诊医师和其他医技人员资格证、执业证复印件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校验期内接受</w:t>
            </w: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民生事务局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检查、指导结果及整改情况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校验期内发生的医疗民事赔偿（补偿）情况（包括医疗事故）以及卫生技术人员违法违规执业及其处理情况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限制性医疗技术工作开展情况及医疗执业许可证副本登记情况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8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医疗废物处理协议及总结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9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消防日常监管巡查情况记录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《放射诊疗许可证》校验记录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11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eastAsia" w:eastAsia="仿宋_GB2312" w:cs="Times New Roman"/>
                <w:sz w:val="22"/>
                <w:szCs w:val="22"/>
                <w:lang w:eastAsia="zh-CN"/>
              </w:rPr>
              <w:t>合作区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医疗机构依法执业承诺书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12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授权委托书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13</w:t>
            </w:r>
          </w:p>
        </w:tc>
        <w:tc>
          <w:tcPr>
            <w:tcW w:w="4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</w:rPr>
              <w:t>校验期内卫生统计数据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647B0671"/>
    <w:rsid w:val="647B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2023-11-13T02:40:00Z</dcterms:created>
  <dc:creator>『¨胡小胡』</dc:creator>
  <cp:lastModifiedBy>『¨胡小胡』</cp:lastModifiedBy>
  <dcterms:modified xsi:type="dcterms:W3CDTF">2023-11-13T02:40:45Z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11A344F9C045459585BC12259B1B5109_11</vt:lpwstr>
  </property>
</Properties>
</file>