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val="0"/>
        <w:adjustRightInd w:val="0"/>
        <w:spacing w:line="560" w:lineRule="exact"/>
        <w:ind w:right="1104"/>
        <w:jc w:val="center"/>
        <w:rPr>
          <w:rFonts w:hint="eastAsia" w:ascii="仿宋_GB2312" w:eastAsia="仿宋_GB2312"/>
          <w:color w:val="auto"/>
          <w:kern w:val="2"/>
          <w:sz w:val="32"/>
        </w:rPr>
      </w:pPr>
    </w:p>
    <w:p>
      <w:pPr>
        <w:pStyle w:val="26"/>
        <w:widowControl w:val="0"/>
        <w:adjustRightInd w:val="0"/>
        <w:spacing w:line="560" w:lineRule="exact"/>
        <w:ind w:right="1104"/>
        <w:jc w:val="center"/>
        <w:rPr>
          <w:rFonts w:hint="eastAsia" w:ascii="仿宋_GB2312" w:hAnsi="仿宋_GB2312" w:eastAsia="仿宋_GB2312"/>
          <w:color w:val="auto"/>
          <w:kern w:val="2"/>
          <w:sz w:val="32"/>
          <w:szCs w:val="32"/>
          <w:lang w:val="en-US" w:eastAsia="zh-CN" w:bidi="ar-SA"/>
        </w:rPr>
      </w:pPr>
    </w:p>
    <w:p>
      <w:pPr>
        <w:numPr>
          <w:ilvl w:val="0"/>
          <w:numId w:val="0"/>
        </w:numPr>
        <w:bidi w:val="0"/>
        <w:jc w:val="center"/>
        <w:rPr>
          <w:rFonts w:hint="eastAsia"/>
          <w:b/>
          <w:bCs/>
          <w:color w:val="auto"/>
          <w:sz w:val="44"/>
          <w:szCs w:val="44"/>
          <w:highlight w:val="none"/>
          <w:lang w:eastAsia="zh-TW"/>
        </w:rPr>
      </w:pPr>
    </w:p>
    <w:p>
      <w:pPr>
        <w:numPr>
          <w:ilvl w:val="0"/>
          <w:numId w:val="0"/>
        </w:numPr>
        <w:bidi w:val="0"/>
        <w:jc w:val="both"/>
        <w:rPr>
          <w:rFonts w:hint="eastAsia"/>
          <w:b/>
          <w:bCs/>
          <w:color w:val="auto"/>
          <w:sz w:val="44"/>
          <w:szCs w:val="44"/>
          <w:highlight w:val="none"/>
          <w:lang w:eastAsia="zh-TW"/>
        </w:rPr>
      </w:pPr>
    </w:p>
    <w:p>
      <w:pPr>
        <w:numPr>
          <w:ilvl w:val="0"/>
          <w:numId w:val="0"/>
        </w:numPr>
        <w:bidi w:val="0"/>
        <w:jc w:val="both"/>
        <w:rPr>
          <w:rFonts w:hint="eastAsia"/>
          <w:b/>
          <w:bCs/>
          <w:color w:val="auto"/>
          <w:sz w:val="44"/>
          <w:szCs w:val="44"/>
          <w:highlight w:val="none"/>
          <w:lang w:eastAsia="zh-TW"/>
        </w:rPr>
      </w:pPr>
    </w:p>
    <w:p>
      <w:pPr>
        <w:numPr>
          <w:ilvl w:val="0"/>
          <w:numId w:val="0"/>
        </w:numPr>
        <w:bidi w:val="0"/>
        <w:jc w:val="center"/>
        <w:rPr>
          <w:rFonts w:hint="eastAsia"/>
          <w:b/>
          <w:bCs/>
          <w:color w:val="auto"/>
          <w:sz w:val="44"/>
          <w:szCs w:val="44"/>
          <w:highlight w:val="none"/>
          <w:lang w:eastAsia="zh-TW"/>
        </w:rPr>
      </w:pPr>
    </w:p>
    <w:p>
      <w:pPr>
        <w:numPr>
          <w:ilvl w:val="0"/>
          <w:numId w:val="0"/>
        </w:numPr>
        <w:bidi w:val="0"/>
        <w:jc w:val="center"/>
        <w:rPr>
          <w:rFonts w:hint="eastAsia"/>
          <w:b/>
          <w:bCs/>
          <w:color w:val="auto"/>
          <w:sz w:val="44"/>
          <w:szCs w:val="44"/>
          <w:highlight w:val="none"/>
          <w:lang w:eastAsia="zh-TW"/>
        </w:rPr>
      </w:pPr>
    </w:p>
    <w:p>
      <w:pPr>
        <w:pStyle w:val="12"/>
        <w:rPr>
          <w:rFonts w:hint="eastAsia"/>
          <w:color w:val="auto"/>
          <w:lang w:eastAsia="zh-TW"/>
        </w:rPr>
      </w:pPr>
    </w:p>
    <w:p>
      <w:pPr>
        <w:numPr>
          <w:ilvl w:val="0"/>
          <w:numId w:val="0"/>
        </w:numPr>
        <w:bidi w:val="0"/>
        <w:jc w:val="center"/>
        <w:rPr>
          <w:rFonts w:hint="eastAsia"/>
          <w:b/>
          <w:bCs/>
          <w:color w:val="auto"/>
          <w:sz w:val="44"/>
          <w:szCs w:val="44"/>
          <w:highlight w:val="none"/>
          <w:lang w:eastAsia="zh-TW"/>
        </w:rPr>
      </w:pPr>
    </w:p>
    <w:p>
      <w:pPr>
        <w:numPr>
          <w:ilvl w:val="0"/>
          <w:numId w:val="0"/>
        </w:numPr>
        <w:bidi w:val="0"/>
        <w:ind w:firstLine="3120" w:firstLineChars="600"/>
        <w:jc w:val="both"/>
        <w:rPr>
          <w:rFonts w:hint="eastAsia" w:ascii="方正小标宋简体" w:hAnsi="方正小标宋简体" w:eastAsia="方正小标宋简体" w:cs="方正小标宋简体"/>
          <w:b w:val="0"/>
          <w:bCs w:val="0"/>
          <w:color w:val="auto"/>
          <w:sz w:val="52"/>
          <w:szCs w:val="52"/>
          <w:highlight w:val="none"/>
          <w:lang w:eastAsia="zh-TW"/>
        </w:rPr>
      </w:pPr>
      <w:r>
        <w:rPr>
          <w:rFonts w:hint="eastAsia" w:ascii="方正小标宋简体" w:hAnsi="方正小标宋简体" w:eastAsia="方正小标宋简体" w:cs="方正小标宋简体"/>
          <w:b w:val="0"/>
          <w:bCs w:val="0"/>
          <w:color w:val="auto"/>
          <w:sz w:val="52"/>
          <w:szCs w:val="52"/>
          <w:highlight w:val="none"/>
          <w:lang w:eastAsia="zh-TW"/>
        </w:rPr>
        <w:t>项目需求书</w:t>
      </w:r>
    </w:p>
    <w:p>
      <w:pPr>
        <w:numPr>
          <w:ilvl w:val="0"/>
          <w:numId w:val="0"/>
        </w:numPr>
        <w:bidi w:val="0"/>
        <w:jc w:val="center"/>
        <w:rPr>
          <w:rFonts w:hint="eastAsia"/>
          <w:b/>
          <w:bCs/>
          <w:color w:val="auto"/>
          <w:sz w:val="44"/>
          <w:szCs w:val="44"/>
          <w:highlight w:val="none"/>
          <w:lang w:eastAsia="zh-TW"/>
        </w:rPr>
      </w:pPr>
    </w:p>
    <w:p>
      <w:pPr>
        <w:numPr>
          <w:ilvl w:val="0"/>
          <w:numId w:val="0"/>
        </w:numPr>
        <w:bidi w:val="0"/>
        <w:jc w:val="both"/>
        <w:rPr>
          <w:rFonts w:hint="eastAsia"/>
          <w:b/>
          <w:bCs/>
          <w:color w:val="auto"/>
          <w:sz w:val="44"/>
          <w:szCs w:val="44"/>
          <w:highlight w:val="none"/>
          <w:lang w:eastAsia="zh-TW"/>
        </w:rPr>
      </w:pPr>
    </w:p>
    <w:p>
      <w:pPr>
        <w:numPr>
          <w:ilvl w:val="0"/>
          <w:numId w:val="0"/>
        </w:numPr>
        <w:bidi w:val="0"/>
        <w:jc w:val="both"/>
        <w:rPr>
          <w:rFonts w:hint="eastAsia"/>
          <w:b/>
          <w:bCs/>
          <w:color w:val="auto"/>
          <w:sz w:val="44"/>
          <w:szCs w:val="44"/>
          <w:highlight w:val="none"/>
          <w:lang w:eastAsia="zh-TW"/>
        </w:rPr>
      </w:pPr>
    </w:p>
    <w:p>
      <w:pPr>
        <w:pStyle w:val="12"/>
        <w:rPr>
          <w:rFonts w:hint="eastAsia"/>
          <w:b/>
          <w:bCs/>
          <w:color w:val="auto"/>
          <w:sz w:val="44"/>
          <w:szCs w:val="44"/>
          <w:highlight w:val="none"/>
          <w:lang w:eastAsia="zh-TW"/>
        </w:rPr>
      </w:pPr>
    </w:p>
    <w:p>
      <w:pPr>
        <w:pStyle w:val="12"/>
        <w:ind w:left="0" w:firstLine="0"/>
        <w:rPr>
          <w:rFonts w:hint="eastAsia"/>
          <w:b/>
          <w:bCs/>
          <w:color w:val="auto"/>
          <w:sz w:val="44"/>
          <w:szCs w:val="44"/>
          <w:highlight w:val="none"/>
          <w:lang w:eastAsia="zh-TW"/>
        </w:rPr>
      </w:pPr>
    </w:p>
    <w:p>
      <w:pPr>
        <w:pStyle w:val="12"/>
        <w:rPr>
          <w:rFonts w:hint="eastAsia"/>
          <w:b/>
          <w:bCs/>
          <w:color w:val="auto"/>
          <w:sz w:val="44"/>
          <w:szCs w:val="44"/>
          <w:highlight w:val="none"/>
          <w:lang w:eastAsia="zh-TW"/>
        </w:rPr>
      </w:pPr>
    </w:p>
    <w:p>
      <w:pPr>
        <w:pStyle w:val="12"/>
        <w:rPr>
          <w:rFonts w:hint="eastAsia"/>
          <w:b/>
          <w:bCs/>
          <w:color w:val="auto"/>
          <w:sz w:val="44"/>
          <w:szCs w:val="44"/>
          <w:highlight w:val="none"/>
          <w:lang w:eastAsia="zh-TW"/>
        </w:rPr>
      </w:pPr>
    </w:p>
    <w:p>
      <w:pPr>
        <w:pStyle w:val="12"/>
        <w:rPr>
          <w:rFonts w:hint="eastAsia"/>
          <w:b/>
          <w:bCs/>
          <w:color w:val="auto"/>
          <w:sz w:val="44"/>
          <w:szCs w:val="44"/>
          <w:highlight w:val="none"/>
          <w:lang w:eastAsia="zh-TW"/>
        </w:rPr>
      </w:pPr>
    </w:p>
    <w:p>
      <w:pPr>
        <w:pStyle w:val="12"/>
        <w:rPr>
          <w:rFonts w:hint="eastAsia"/>
          <w:b/>
          <w:bCs/>
          <w:color w:val="auto"/>
          <w:sz w:val="44"/>
          <w:szCs w:val="44"/>
          <w:highlight w:val="none"/>
          <w:lang w:eastAsia="zh-TW"/>
        </w:rPr>
      </w:pPr>
    </w:p>
    <w:p>
      <w:pPr>
        <w:pStyle w:val="12"/>
        <w:rPr>
          <w:rFonts w:hint="eastAsia"/>
          <w:b/>
          <w:bCs/>
          <w:color w:val="auto"/>
          <w:sz w:val="44"/>
          <w:szCs w:val="44"/>
          <w:highlight w:val="none"/>
          <w:lang w:eastAsia="zh-TW"/>
        </w:rPr>
      </w:pPr>
    </w:p>
    <w:p>
      <w:pPr>
        <w:pStyle w:val="12"/>
        <w:ind w:left="0" w:leftChars="0" w:firstLine="0" w:firstLineChars="0"/>
        <w:rPr>
          <w:rFonts w:hint="default" w:eastAsia="仿宋_GB2312"/>
          <w:b/>
          <w:bCs/>
          <w:color w:val="auto"/>
          <w:sz w:val="44"/>
          <w:szCs w:val="44"/>
          <w:highlight w:val="none"/>
          <w:lang w:val="en-US" w:eastAsia="zh-CN"/>
        </w:rPr>
      </w:pPr>
      <w:r>
        <w:rPr>
          <w:rFonts w:hint="eastAsia"/>
          <w:b/>
          <w:bCs/>
          <w:color w:val="auto"/>
          <w:sz w:val="44"/>
          <w:szCs w:val="44"/>
          <w:highlight w:val="none"/>
          <w:lang w:val="en-US" w:eastAsia="zh-CN"/>
        </w:rPr>
        <w:t xml:space="preserve">             </w:t>
      </w:r>
    </w:p>
    <w:p>
      <w:pPr>
        <w:numPr>
          <w:ilvl w:val="0"/>
          <w:numId w:val="0"/>
        </w:numPr>
        <w:bidi w:val="0"/>
        <w:jc w:val="cente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w:t>
      </w:r>
      <w:r>
        <w:rPr>
          <w:rFonts w:hint="eastAsia" w:ascii="仿宋_GB2312" w:hAnsi="仿宋_GB2312" w:eastAsia="PMingLiU" w:cs="仿宋_GB2312"/>
          <w:b w:val="0"/>
          <w:bCs w:val="0"/>
          <w:color w:val="auto"/>
          <w:sz w:val="32"/>
          <w:szCs w:val="32"/>
          <w:highlight w:val="none"/>
          <w:lang w:val="en-US" w:eastAsia="zh-TW"/>
        </w:rPr>
        <w:t>11</w:t>
      </w:r>
      <w:r>
        <w:rPr>
          <w:rFonts w:hint="eastAsia" w:ascii="仿宋_GB2312" w:hAnsi="仿宋_GB2312" w:eastAsia="仿宋_GB2312" w:cs="仿宋_GB2312"/>
          <w:b w:val="0"/>
          <w:bCs w:val="0"/>
          <w:color w:val="auto"/>
          <w:sz w:val="32"/>
          <w:szCs w:val="32"/>
          <w:highlight w:val="none"/>
          <w:lang w:val="en-US" w:eastAsia="zh-CN"/>
        </w:rPr>
        <w:t>月</w:t>
      </w:r>
      <w:r>
        <w:rPr>
          <w:rFonts w:hint="eastAsia" w:ascii="仿宋_GB2312" w:hAnsi="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lang w:val="en-US" w:eastAsia="zh-CN"/>
        </w:rPr>
        <w:t>日</w:t>
      </w:r>
    </w:p>
    <w:p>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 w:val="0"/>
          <w:bCs/>
          <w:color w:val="auto"/>
          <w:kern w:val="2"/>
          <w:sz w:val="32"/>
          <w:szCs w:val="32"/>
          <w:highlight w:val="none"/>
        </w:rPr>
      </w:pPr>
      <w:r>
        <w:rPr>
          <w:rFonts w:hint="eastAsia"/>
          <w:b/>
          <w:bCs/>
          <w:color w:val="auto"/>
          <w:sz w:val="44"/>
          <w:szCs w:val="44"/>
          <w:highlight w:val="none"/>
          <w:lang w:val="en-US" w:eastAsia="zh-CN"/>
        </w:rPr>
        <w:t xml:space="preserve">   </w:t>
      </w:r>
      <w:r>
        <w:rPr>
          <w:rFonts w:hint="eastAsia" w:ascii="黑体" w:hAnsi="黑体" w:eastAsia="黑体" w:cs="黑体"/>
          <w:b w:val="0"/>
          <w:bCs/>
          <w:color w:val="auto"/>
          <w:kern w:val="2"/>
          <w:sz w:val="32"/>
          <w:szCs w:val="32"/>
          <w:highlight w:val="none"/>
        </w:rPr>
        <w:t>一、项目名称</w:t>
      </w:r>
    </w:p>
    <w:p>
      <w:pPr>
        <w:pStyle w:val="25"/>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Cs/>
          <w:color w:val="auto"/>
          <w:kern w:val="2"/>
          <w:sz w:val="32"/>
          <w:szCs w:val="32"/>
          <w:highlight w:val="none"/>
          <w:lang w:eastAsia="zh-CN"/>
        </w:rPr>
      </w:pPr>
      <w:r>
        <w:rPr>
          <w:rFonts w:hint="eastAsia" w:ascii="仿宋" w:hAnsi="仿宋" w:eastAsia="仿宋" w:cs="仿宋"/>
          <w:bCs/>
          <w:color w:val="auto"/>
          <w:kern w:val="2"/>
          <w:sz w:val="32"/>
          <w:szCs w:val="32"/>
          <w:highlight w:val="none"/>
          <w:lang w:eastAsia="zh-CN"/>
        </w:rPr>
        <w:t>横琴粤澳深度合作区城市规划和建设局生态环境宣传拍摄推广项目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auto"/>
          <w:kern w:val="2"/>
          <w:sz w:val="32"/>
          <w:szCs w:val="32"/>
          <w:highlight w:val="none"/>
        </w:rPr>
      </w:pPr>
      <w:r>
        <w:rPr>
          <w:rFonts w:hint="eastAsia" w:ascii="黑体" w:hAnsi="黑体" w:eastAsia="黑体" w:cs="黑体"/>
          <w:b w:val="0"/>
          <w:bCs/>
          <w:color w:val="auto"/>
          <w:kern w:val="2"/>
          <w:sz w:val="32"/>
          <w:szCs w:val="32"/>
          <w:highlight w:val="none"/>
          <w:lang w:val="en-US" w:eastAsia="zh-CN"/>
        </w:rPr>
        <w:t>二、项目概况</w:t>
      </w:r>
    </w:p>
    <w:p>
      <w:pPr>
        <w:pStyle w:val="25"/>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Cs/>
          <w:color w:val="auto"/>
          <w:kern w:val="2"/>
          <w:sz w:val="32"/>
          <w:szCs w:val="32"/>
          <w:highlight w:val="none"/>
          <w:lang w:val="en-US" w:eastAsia="zh-TW" w:bidi="ar-SA"/>
        </w:rPr>
      </w:pPr>
      <w:r>
        <w:rPr>
          <w:rFonts w:hint="eastAsia" w:ascii="仿宋" w:hAnsi="仿宋" w:eastAsia="仿宋" w:cs="仿宋"/>
          <w:bCs/>
          <w:color w:val="auto"/>
          <w:kern w:val="2"/>
          <w:sz w:val="32"/>
          <w:szCs w:val="32"/>
          <w:highlight w:val="none"/>
          <w:lang w:val="en-US" w:eastAsia="zh-TW" w:bidi="ar-SA"/>
        </w:rPr>
        <w:t>为进一步加强澳门市民对横琴生态环境的了解，并激发其积极参与生态保护行动的热情，计划开展</w:t>
      </w:r>
      <w:r>
        <w:rPr>
          <w:rFonts w:hint="eastAsia" w:ascii="仿宋" w:hAnsi="仿宋" w:eastAsia="仿宋" w:cs="仿宋"/>
          <w:bCs/>
          <w:color w:val="auto"/>
          <w:kern w:val="2"/>
          <w:sz w:val="32"/>
          <w:szCs w:val="32"/>
          <w:highlight w:val="none"/>
          <w:lang w:eastAsia="zh-CN"/>
        </w:rPr>
        <w:t>横琴粤澳深度合作区城市规划和建设局生态环境宣传拍摄推广项目。</w:t>
      </w:r>
      <w:r>
        <w:rPr>
          <w:rFonts w:hint="eastAsia" w:ascii="仿宋" w:hAnsi="仿宋" w:eastAsia="仿宋" w:cs="仿宋"/>
          <w:bCs/>
          <w:color w:val="auto"/>
          <w:kern w:val="2"/>
          <w:sz w:val="32"/>
          <w:szCs w:val="32"/>
          <w:highlight w:val="none"/>
          <w:lang w:val="en-US" w:eastAsia="zh-TW" w:bidi="ar-SA"/>
        </w:rPr>
        <w:t>以宣传拍摄作为切入点，邀请澳门</w:t>
      </w:r>
      <w:r>
        <w:rPr>
          <w:rFonts w:hint="eastAsia" w:ascii="仿宋" w:hAnsi="仿宋" w:eastAsia="仿宋" w:cs="仿宋"/>
          <w:bCs/>
          <w:color w:val="auto"/>
          <w:kern w:val="2"/>
          <w:sz w:val="32"/>
          <w:szCs w:val="32"/>
          <w:highlight w:val="none"/>
          <w:lang w:val="en-US" w:eastAsia="zh-CN" w:bidi="ar-SA"/>
        </w:rPr>
        <w:t>教育团体</w:t>
      </w:r>
      <w:r>
        <w:rPr>
          <w:rFonts w:hint="eastAsia" w:ascii="仿宋" w:hAnsi="仿宋" w:eastAsia="仿宋" w:cs="仿宋"/>
          <w:bCs/>
          <w:color w:val="auto"/>
          <w:kern w:val="2"/>
          <w:sz w:val="32"/>
          <w:szCs w:val="32"/>
          <w:highlight w:val="none"/>
          <w:lang w:val="en-US" w:eastAsia="zh-TW" w:bidi="ar-SA"/>
        </w:rPr>
        <w:t>共同参与，在</w:t>
      </w:r>
      <w:r>
        <w:rPr>
          <w:rFonts w:hint="eastAsia" w:ascii="仿宋" w:hAnsi="仿宋" w:eastAsia="仿宋" w:cs="仿宋"/>
          <w:color w:val="auto"/>
          <w:spacing w:val="-4"/>
          <w:sz w:val="32"/>
          <w:szCs w:val="32"/>
          <w:highlight w:val="none"/>
          <w:lang w:val="en-US" w:eastAsia="zh-CN"/>
        </w:rPr>
        <w:t>澳门公共巴士电视、</w:t>
      </w:r>
      <w:r>
        <w:rPr>
          <w:rFonts w:hint="eastAsia" w:ascii="仿宋" w:hAnsi="仿宋" w:eastAsia="仿宋" w:cs="仿宋"/>
          <w:bCs/>
          <w:color w:val="auto"/>
          <w:kern w:val="2"/>
          <w:sz w:val="32"/>
          <w:szCs w:val="32"/>
          <w:highlight w:val="none"/>
          <w:lang w:val="en-US" w:eastAsia="zh-CN" w:bidi="ar-SA"/>
        </w:rPr>
        <w:t>澳门教育团体的相关视频平台、</w:t>
      </w:r>
      <w:r>
        <w:rPr>
          <w:rFonts w:hint="eastAsia" w:ascii="仿宋" w:hAnsi="仿宋" w:eastAsia="仿宋" w:cs="仿宋"/>
          <w:color w:val="auto"/>
          <w:spacing w:val="-4"/>
          <w:sz w:val="32"/>
          <w:szCs w:val="32"/>
          <w:highlight w:val="none"/>
          <w:lang w:val="en-US" w:eastAsia="zh-CN"/>
        </w:rPr>
        <w:t>澳门各楼宇大堂电视、澳门户外商用广告电视</w:t>
      </w:r>
      <w:r>
        <w:rPr>
          <w:rFonts w:hint="eastAsia" w:ascii="仿宋" w:hAnsi="仿宋" w:eastAsia="仿宋" w:cs="仿宋"/>
          <w:bCs/>
          <w:color w:val="auto"/>
          <w:kern w:val="2"/>
          <w:sz w:val="32"/>
          <w:szCs w:val="32"/>
          <w:highlight w:val="none"/>
          <w:lang w:val="en-US" w:eastAsia="zh-TW" w:bidi="ar-SA"/>
        </w:rPr>
        <w:t>等</w:t>
      </w:r>
      <w:r>
        <w:rPr>
          <w:rFonts w:hint="eastAsia" w:ascii="仿宋" w:hAnsi="仿宋" w:eastAsia="仿宋" w:cs="仿宋"/>
          <w:bCs/>
          <w:color w:val="auto"/>
          <w:kern w:val="2"/>
          <w:sz w:val="32"/>
          <w:szCs w:val="32"/>
          <w:highlight w:val="none"/>
          <w:lang w:val="en-US" w:eastAsia="zh-CN" w:bidi="ar-SA"/>
        </w:rPr>
        <w:t>媒体</w:t>
      </w:r>
      <w:r>
        <w:rPr>
          <w:rFonts w:hint="eastAsia" w:ascii="仿宋" w:hAnsi="仿宋" w:eastAsia="仿宋" w:cs="仿宋"/>
          <w:bCs/>
          <w:color w:val="auto"/>
          <w:kern w:val="2"/>
          <w:sz w:val="32"/>
          <w:szCs w:val="32"/>
          <w:highlight w:val="none"/>
          <w:lang w:val="en-US" w:eastAsia="zh-TW" w:bidi="ar-SA"/>
        </w:rPr>
        <w:t>进行为期8周的视频播放，展示合作区丰富的自然资源和生态环境，吸引更多澳门市民参与合作区的生态活动。</w:t>
      </w:r>
    </w:p>
    <w:p>
      <w:pPr>
        <w:pStyle w:val="25"/>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三、服务期限</w:t>
      </w:r>
    </w:p>
    <w:p>
      <w:pPr>
        <w:pStyle w:val="25"/>
        <w:keepNext w:val="0"/>
        <w:keepLines w:val="0"/>
        <w:pageBreakBefore w:val="0"/>
        <w:widowControl w:val="0"/>
        <w:numPr>
          <w:ilvl w:val="0"/>
          <w:numId w:val="0"/>
        </w:numPr>
        <w:kinsoku/>
        <w:wordWrap/>
        <w:overflowPunct/>
        <w:topLinePunct w:val="0"/>
        <w:autoSpaceDE/>
        <w:autoSpaceDN/>
        <w:bidi w:val="0"/>
        <w:adjustRightInd/>
        <w:spacing w:line="579" w:lineRule="exact"/>
        <w:ind w:firstLine="640" w:firstLineChars="200"/>
        <w:textAlignment w:val="auto"/>
        <w:rPr>
          <w:rFonts w:hint="eastAsia" w:ascii="仿宋" w:hAnsi="仿宋" w:eastAsia="仿宋" w:cs="仿宋"/>
          <w:color w:val="auto"/>
          <w:sz w:val="32"/>
          <w:szCs w:val="32"/>
          <w:highlight w:val="none"/>
          <w:lang w:val="en-US" w:eastAsia="zh-TW"/>
        </w:rPr>
      </w:pPr>
      <w:r>
        <w:rPr>
          <w:rFonts w:hint="eastAsia" w:ascii="仿宋" w:hAnsi="仿宋" w:eastAsia="仿宋" w:cs="仿宋"/>
          <w:color w:val="auto"/>
          <w:sz w:val="32"/>
          <w:szCs w:val="32"/>
          <w:highlight w:val="none"/>
        </w:rPr>
        <w:t>202</w:t>
      </w:r>
      <w:r>
        <w:rPr>
          <w:rFonts w:hint="eastAsia" w:ascii="仿宋" w:hAnsi="仿宋" w:eastAsia="PMingLiU" w:cs="仿宋"/>
          <w:color w:val="auto"/>
          <w:sz w:val="32"/>
          <w:szCs w:val="32"/>
          <w:highlight w:val="none"/>
          <w:lang w:val="en-US" w:eastAsia="zh-TW"/>
        </w:rPr>
        <w:t>3</w:t>
      </w:r>
      <w:r>
        <w:rPr>
          <w:rFonts w:hint="eastAsia" w:ascii="仿宋" w:hAnsi="仿宋" w:eastAsia="仿宋" w:cs="仿宋"/>
          <w:color w:val="auto"/>
          <w:sz w:val="32"/>
          <w:szCs w:val="32"/>
          <w:highlight w:val="none"/>
        </w:rPr>
        <w:t>年</w:t>
      </w:r>
      <w:r>
        <w:rPr>
          <w:rFonts w:hint="eastAsia" w:ascii="仿宋" w:hAnsi="仿宋" w:eastAsia="宋体" w:cs="仿宋"/>
          <w:color w:val="auto"/>
          <w:sz w:val="32"/>
          <w:szCs w:val="32"/>
          <w:highlight w:val="none"/>
          <w:lang w:val="en-US" w:eastAsia="zh-CN"/>
        </w:rPr>
        <w:t>11</w:t>
      </w:r>
      <w:r>
        <w:rPr>
          <w:rFonts w:hint="eastAsia" w:ascii="仿宋" w:hAnsi="仿宋" w:eastAsia="仿宋" w:cs="仿宋"/>
          <w:color w:val="auto"/>
          <w:sz w:val="32"/>
          <w:szCs w:val="32"/>
          <w:highlight w:val="none"/>
        </w:rPr>
        <w:t>月至</w:t>
      </w:r>
      <w:r>
        <w:rPr>
          <w:rFonts w:hint="eastAsia" w:ascii="仿宋" w:hAnsi="仿宋" w:eastAsia="仿宋" w:cs="仿宋"/>
          <w:color w:val="auto"/>
          <w:sz w:val="32"/>
          <w:szCs w:val="32"/>
          <w:highlight w:val="none"/>
          <w:lang w:eastAsia="zh-TW"/>
        </w:rPr>
        <w:t>项目完成</w:t>
      </w:r>
    </w:p>
    <w:p>
      <w:pPr>
        <w:pStyle w:val="25"/>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四、服务内容及服务要求</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pacing w:val="-4"/>
          <w:sz w:val="32"/>
          <w:szCs w:val="32"/>
          <w:highlight w:val="none"/>
          <w:lang w:val="en-US" w:eastAsia="zh-CN"/>
        </w:rPr>
        <w:t>1.完成2条横琴粤澳深度合作区</w:t>
      </w:r>
      <w:r>
        <w:rPr>
          <w:rFonts w:hint="eastAsia" w:ascii="仿宋" w:hAnsi="仿宋" w:eastAsia="仿宋" w:cs="仿宋"/>
          <w:bCs/>
          <w:color w:val="auto"/>
          <w:kern w:val="2"/>
          <w:sz w:val="32"/>
          <w:szCs w:val="32"/>
          <w:highlight w:val="none"/>
          <w:lang w:eastAsia="zh-CN"/>
        </w:rPr>
        <w:t>生态环境宣传拍摄</w:t>
      </w:r>
      <w:r>
        <w:rPr>
          <w:rFonts w:hint="eastAsia" w:ascii="仿宋" w:hAnsi="仿宋" w:eastAsia="仿宋" w:cs="仿宋"/>
          <w:color w:val="auto"/>
          <w:spacing w:val="-4"/>
          <w:sz w:val="32"/>
          <w:szCs w:val="32"/>
          <w:highlight w:val="none"/>
          <w:lang w:val="en-US" w:eastAsia="zh-CN"/>
        </w:rPr>
        <w:t>影片制作：</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pacing w:val="-4"/>
          <w:sz w:val="32"/>
          <w:szCs w:val="32"/>
          <w:highlight w:val="none"/>
          <w:lang w:val="en-US" w:eastAsia="zh-CN"/>
        </w:rPr>
        <w:t>（1）影片时长为2-3分钟/条。</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pacing w:val="-4"/>
          <w:sz w:val="32"/>
          <w:szCs w:val="32"/>
          <w:highlight w:val="none"/>
          <w:lang w:val="en-US" w:eastAsia="zh-CN"/>
        </w:rPr>
        <w:t>（2）供应商需要围绕同一个主题，提供2种推广拍摄方案，方案需要具有创意趣味性及教育意义，包括对剧本文案创意设计、影片投入情况、公益团体参与情况、工作流程等内容，同时要提供拍摄工作进度计划、实施方案及保障措施</w:t>
      </w:r>
      <w:bookmarkStart w:id="3" w:name="_GoBack"/>
      <w:bookmarkEnd w:id="3"/>
      <w:r>
        <w:rPr>
          <w:rFonts w:hint="eastAsia" w:ascii="仿宋" w:hAnsi="仿宋" w:eastAsia="仿宋" w:cs="仿宋"/>
          <w:color w:val="auto"/>
          <w:spacing w:val="-4"/>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pacing w:val="-4"/>
          <w:sz w:val="32"/>
          <w:szCs w:val="32"/>
          <w:highlight w:val="none"/>
          <w:lang w:val="en-US" w:eastAsia="zh-CN"/>
        </w:rPr>
        <w:t>（3）需提供广东话对白、繁体中文字幕;普通话对白、简体中文字幕;英文对白、英文字幕；共3种语言对白及字幕的影片版本。</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pacing w:val="-4"/>
          <w:sz w:val="32"/>
          <w:szCs w:val="32"/>
          <w:highlight w:val="none"/>
          <w:lang w:val="en-US" w:eastAsia="zh-CN"/>
        </w:rPr>
        <w:t>（4）需在澳门公共巴士电视、</w:t>
      </w:r>
      <w:r>
        <w:rPr>
          <w:rFonts w:hint="eastAsia" w:ascii="仿宋" w:hAnsi="仿宋" w:eastAsia="仿宋" w:cs="仿宋"/>
          <w:bCs/>
          <w:color w:val="auto"/>
          <w:kern w:val="2"/>
          <w:sz w:val="32"/>
          <w:szCs w:val="32"/>
          <w:highlight w:val="none"/>
          <w:lang w:val="en-US" w:eastAsia="zh-CN" w:bidi="ar-SA"/>
        </w:rPr>
        <w:t>澳门教育团体的相关视频平台、</w:t>
      </w:r>
      <w:r>
        <w:rPr>
          <w:rFonts w:hint="eastAsia" w:ascii="仿宋" w:hAnsi="仿宋" w:eastAsia="仿宋" w:cs="仿宋"/>
          <w:color w:val="auto"/>
          <w:spacing w:val="-4"/>
          <w:sz w:val="32"/>
          <w:szCs w:val="32"/>
          <w:highlight w:val="none"/>
          <w:lang w:val="en-US" w:eastAsia="zh-CN"/>
        </w:rPr>
        <w:t>澳门各楼宇大堂电视、澳门户外商用广告电视等共850台媒体电视播放横琴</w:t>
      </w:r>
      <w:r>
        <w:rPr>
          <w:rFonts w:hint="eastAsia" w:ascii="仿宋" w:hAnsi="仿宋" w:eastAsia="仿宋" w:cs="仿宋"/>
          <w:bCs/>
          <w:color w:val="auto"/>
          <w:kern w:val="2"/>
          <w:sz w:val="32"/>
          <w:szCs w:val="32"/>
          <w:highlight w:val="none"/>
          <w:lang w:eastAsia="zh-CN"/>
        </w:rPr>
        <w:t>生态环境宣传拍摄</w:t>
      </w:r>
      <w:r>
        <w:rPr>
          <w:rFonts w:hint="eastAsia" w:ascii="仿宋" w:hAnsi="仿宋" w:eastAsia="仿宋" w:cs="仿宋"/>
          <w:color w:val="auto"/>
          <w:spacing w:val="-4"/>
          <w:sz w:val="32"/>
          <w:szCs w:val="32"/>
          <w:highlight w:val="none"/>
          <w:lang w:val="en-US" w:eastAsia="zh-CN"/>
        </w:rPr>
        <w:t>影片，每个视频各播放4周，每日每台电视播放量为25次。</w:t>
      </w:r>
    </w:p>
    <w:p>
      <w:pPr>
        <w:pStyle w:val="24"/>
        <w:keepNext w:val="0"/>
        <w:keepLines w:val="0"/>
        <w:pageBreakBefore w:val="0"/>
        <w:widowControl w:val="0"/>
        <w:kinsoku/>
        <w:wordWrap/>
        <w:overflowPunct/>
        <w:topLinePunct w:val="0"/>
        <w:autoSpaceDE/>
        <w:autoSpaceDN/>
        <w:bidi w:val="0"/>
        <w:adjustRightInd/>
        <w:spacing w:line="579" w:lineRule="exact"/>
        <w:textAlignment w:val="auto"/>
        <w:outlineLvl w:val="0"/>
        <w:rPr>
          <w:rFonts w:hint="eastAsia" w:ascii="黑体" w:hAnsi="黑体" w:eastAsia="黑体" w:cs="黑体"/>
          <w:b w:val="0"/>
          <w:bCs/>
          <w:color w:val="auto"/>
          <w:kern w:val="2"/>
          <w:sz w:val="32"/>
          <w:szCs w:val="32"/>
          <w:highlight w:val="none"/>
          <w:lang w:val="en-US" w:eastAsia="zh-CN" w:bidi="ar-SA"/>
        </w:rPr>
      </w:pPr>
      <w:bookmarkStart w:id="0" w:name="_Toc77098321"/>
      <w:bookmarkStart w:id="1" w:name="_Toc529800909"/>
      <w:bookmarkStart w:id="2" w:name="_Toc76328165"/>
      <w:r>
        <w:rPr>
          <w:rFonts w:hint="eastAsia" w:ascii="黑体" w:hAnsi="黑体" w:eastAsia="黑体" w:cs="黑体"/>
          <w:b w:val="0"/>
          <w:bCs/>
          <w:color w:val="auto"/>
          <w:kern w:val="2"/>
          <w:sz w:val="32"/>
          <w:szCs w:val="32"/>
          <w:highlight w:val="none"/>
          <w:lang w:val="en-US" w:eastAsia="zh-CN" w:bidi="ar-SA"/>
        </w:rPr>
        <w:t>五、考核标准</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auto"/>
          <w:spacing w:val="-4"/>
          <w:sz w:val="32"/>
          <w:szCs w:val="32"/>
          <w:highlight w:val="none"/>
          <w:lang w:val="en-US" w:eastAsia="zh-TW"/>
        </w:rPr>
      </w:pPr>
      <w:r>
        <w:rPr>
          <w:rFonts w:hint="eastAsia" w:ascii="仿宋" w:hAnsi="仿宋" w:eastAsia="仿宋" w:cs="仿宋"/>
          <w:color w:val="auto"/>
          <w:spacing w:val="-4"/>
          <w:sz w:val="32"/>
          <w:szCs w:val="32"/>
          <w:highlight w:val="none"/>
        </w:rPr>
        <w:t>按照国家、广东省、横琴粤澳深度合作区及</w:t>
      </w:r>
      <w:r>
        <w:rPr>
          <w:rFonts w:hint="eastAsia" w:ascii="仿宋" w:hAnsi="仿宋" w:eastAsia="仿宋" w:cs="仿宋"/>
          <w:color w:val="auto"/>
          <w:spacing w:val="-4"/>
          <w:sz w:val="32"/>
          <w:szCs w:val="32"/>
          <w:highlight w:val="none"/>
          <w:lang w:val="en-US" w:eastAsia="zh-CN"/>
        </w:rPr>
        <w:t>采购需求</w:t>
      </w:r>
      <w:r>
        <w:rPr>
          <w:rFonts w:hint="eastAsia" w:ascii="仿宋" w:hAnsi="仿宋" w:eastAsia="仿宋" w:cs="仿宋"/>
          <w:color w:val="auto"/>
          <w:spacing w:val="-4"/>
          <w:sz w:val="32"/>
          <w:szCs w:val="32"/>
          <w:highlight w:val="none"/>
        </w:rPr>
        <w:t>文件执行</w:t>
      </w:r>
      <w:r>
        <w:rPr>
          <w:rFonts w:hint="eastAsia" w:ascii="仿宋" w:hAnsi="仿宋" w:eastAsia="仿宋" w:cs="仿宋"/>
          <w:color w:val="auto"/>
          <w:spacing w:val="-4"/>
          <w:sz w:val="32"/>
          <w:szCs w:val="32"/>
          <w:highlight w:val="none"/>
          <w:lang w:eastAsia="zh-CN"/>
        </w:rPr>
        <w:t>。</w:t>
      </w:r>
    </w:p>
    <w:bookmarkEnd w:id="0"/>
    <w:bookmarkEnd w:id="1"/>
    <w:bookmarkEnd w:id="2"/>
    <w:p>
      <w:pPr>
        <w:pStyle w:val="24"/>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outlineLvl w:val="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六、采购预算及响应报价要求</w:t>
      </w:r>
    </w:p>
    <w:p>
      <w:pPr>
        <w:keepNext w:val="0"/>
        <w:keepLines w:val="0"/>
        <w:pageBreakBefore w:val="0"/>
        <w:widowControl w:val="0"/>
        <w:kinsoku/>
        <w:wordWrap/>
        <w:overflowPunct/>
        <w:topLinePunct w:val="0"/>
        <w:autoSpaceDE/>
        <w:autoSpaceDN/>
        <w:bidi w:val="0"/>
        <w:adjustRightInd/>
        <w:snapToGrid w:val="0"/>
        <w:spacing w:line="579" w:lineRule="exact"/>
        <w:ind w:firstLine="624" w:firstLineChars="200"/>
        <w:textAlignment w:val="auto"/>
        <w:rPr>
          <w:rFonts w:hint="eastAsia"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rPr>
        <w:t>本项目为项目总价包干，响应人的报价应包括（但不限于）：人工费、</w:t>
      </w:r>
      <w:r>
        <w:rPr>
          <w:rFonts w:hint="eastAsia" w:ascii="仿宋" w:hAnsi="仿宋" w:eastAsia="仿宋" w:cs="仿宋"/>
          <w:color w:val="auto"/>
          <w:spacing w:val="-4"/>
          <w:sz w:val="32"/>
          <w:szCs w:val="32"/>
          <w:highlight w:val="none"/>
          <w:lang w:eastAsia="zh-TW"/>
        </w:rPr>
        <w:t>设备</w:t>
      </w:r>
      <w:r>
        <w:rPr>
          <w:rFonts w:hint="eastAsia" w:ascii="仿宋" w:hAnsi="仿宋" w:eastAsia="仿宋" w:cs="仿宋"/>
          <w:color w:val="auto"/>
          <w:spacing w:val="-4"/>
          <w:sz w:val="32"/>
          <w:szCs w:val="32"/>
          <w:highlight w:val="none"/>
        </w:rPr>
        <w:t>费、运输费、保险费、技术服务费（含联络费、调试费、保修费）、税费、不可预见费等完成本</w:t>
      </w:r>
      <w:r>
        <w:rPr>
          <w:rFonts w:hint="eastAsia" w:ascii="仿宋" w:hAnsi="仿宋" w:eastAsia="仿宋" w:cs="仿宋"/>
          <w:color w:val="auto"/>
          <w:spacing w:val="-4"/>
          <w:sz w:val="32"/>
          <w:szCs w:val="32"/>
          <w:highlight w:val="none"/>
          <w:lang w:eastAsia="zh-CN"/>
        </w:rPr>
        <w:t>采购</w:t>
      </w:r>
      <w:r>
        <w:rPr>
          <w:rFonts w:hint="eastAsia" w:ascii="仿宋" w:hAnsi="仿宋" w:eastAsia="仿宋" w:cs="仿宋"/>
          <w:color w:val="auto"/>
          <w:spacing w:val="-4"/>
          <w:sz w:val="32"/>
          <w:szCs w:val="32"/>
          <w:highlight w:val="none"/>
        </w:rPr>
        <w:t>内容所需的一切费用，以及</w:t>
      </w:r>
      <w:r>
        <w:rPr>
          <w:rFonts w:hint="eastAsia" w:ascii="仿宋" w:hAnsi="仿宋" w:eastAsia="仿宋" w:cs="仿宋"/>
          <w:color w:val="auto"/>
          <w:spacing w:val="-4"/>
          <w:sz w:val="32"/>
          <w:szCs w:val="32"/>
          <w:highlight w:val="none"/>
          <w:lang w:val="en-US" w:eastAsia="zh-CN"/>
        </w:rPr>
        <w:t>采购需求</w:t>
      </w:r>
      <w:r>
        <w:rPr>
          <w:rFonts w:hint="eastAsia" w:ascii="仿宋" w:hAnsi="仿宋" w:eastAsia="仿宋" w:cs="仿宋"/>
          <w:color w:val="auto"/>
          <w:spacing w:val="-4"/>
          <w:sz w:val="32"/>
          <w:szCs w:val="32"/>
          <w:highlight w:val="none"/>
        </w:rPr>
        <w:t>文件及合同约定应当由</w:t>
      </w:r>
      <w:r>
        <w:rPr>
          <w:rFonts w:hint="eastAsia" w:ascii="仿宋" w:hAnsi="仿宋" w:eastAsia="仿宋" w:cs="仿宋"/>
          <w:color w:val="auto"/>
          <w:spacing w:val="-4"/>
          <w:sz w:val="32"/>
          <w:szCs w:val="32"/>
          <w:highlight w:val="none"/>
          <w:lang w:eastAsia="zh-CN"/>
        </w:rPr>
        <w:t>成交供应商</w:t>
      </w:r>
      <w:r>
        <w:rPr>
          <w:rFonts w:hint="eastAsia" w:ascii="仿宋" w:hAnsi="仿宋" w:eastAsia="仿宋" w:cs="仿宋"/>
          <w:color w:val="auto"/>
          <w:spacing w:val="-4"/>
          <w:sz w:val="32"/>
          <w:szCs w:val="32"/>
          <w:highlight w:val="none"/>
        </w:rPr>
        <w:t>承担的风险因素等费用。响应人应当根据</w:t>
      </w:r>
      <w:r>
        <w:rPr>
          <w:rFonts w:hint="eastAsia" w:ascii="仿宋" w:hAnsi="仿宋" w:eastAsia="仿宋" w:cs="仿宋"/>
          <w:color w:val="auto"/>
          <w:spacing w:val="-4"/>
          <w:sz w:val="32"/>
          <w:szCs w:val="32"/>
          <w:highlight w:val="none"/>
          <w:lang w:val="en-US" w:eastAsia="zh-CN"/>
        </w:rPr>
        <w:t>采购需求</w:t>
      </w:r>
      <w:r>
        <w:rPr>
          <w:rFonts w:hint="eastAsia" w:ascii="仿宋" w:hAnsi="仿宋" w:eastAsia="仿宋" w:cs="仿宋"/>
          <w:color w:val="auto"/>
          <w:spacing w:val="-4"/>
          <w:sz w:val="32"/>
          <w:szCs w:val="32"/>
          <w:highlight w:val="none"/>
        </w:rPr>
        <w:t>文件等材料自行考虑风险因素进行响应报价。否则，一旦成交，</w:t>
      </w:r>
      <w:r>
        <w:rPr>
          <w:rFonts w:hint="eastAsia" w:ascii="仿宋" w:hAnsi="仿宋" w:eastAsia="仿宋" w:cs="仿宋"/>
          <w:color w:val="auto"/>
          <w:spacing w:val="-4"/>
          <w:sz w:val="32"/>
          <w:szCs w:val="32"/>
          <w:highlight w:val="none"/>
          <w:lang w:eastAsia="zh-CN"/>
        </w:rPr>
        <w:t>采购人</w:t>
      </w:r>
      <w:r>
        <w:rPr>
          <w:rFonts w:hint="eastAsia" w:ascii="仿宋" w:hAnsi="仿宋" w:eastAsia="仿宋" w:cs="仿宋"/>
          <w:color w:val="auto"/>
          <w:spacing w:val="-4"/>
          <w:sz w:val="32"/>
          <w:szCs w:val="32"/>
          <w:highlight w:val="none"/>
        </w:rPr>
        <w:t>将不予支付除了</w:t>
      </w:r>
      <w:r>
        <w:rPr>
          <w:rFonts w:hint="eastAsia" w:ascii="仿宋" w:hAnsi="仿宋" w:eastAsia="仿宋" w:cs="仿宋"/>
          <w:color w:val="auto"/>
          <w:spacing w:val="-4"/>
          <w:sz w:val="32"/>
          <w:szCs w:val="32"/>
          <w:highlight w:val="none"/>
          <w:lang w:val="en-US" w:eastAsia="zh-CN"/>
        </w:rPr>
        <w:t>采购需求</w:t>
      </w:r>
      <w:r>
        <w:rPr>
          <w:rFonts w:hint="eastAsia" w:ascii="仿宋" w:hAnsi="仿宋" w:eastAsia="仿宋" w:cs="仿宋"/>
          <w:color w:val="auto"/>
          <w:spacing w:val="-4"/>
          <w:sz w:val="32"/>
          <w:szCs w:val="32"/>
          <w:highlight w:val="none"/>
        </w:rPr>
        <w:t>文件及合同约定的由</w:t>
      </w:r>
      <w:r>
        <w:rPr>
          <w:rFonts w:hint="eastAsia" w:ascii="仿宋" w:hAnsi="仿宋" w:eastAsia="仿宋" w:cs="仿宋"/>
          <w:color w:val="auto"/>
          <w:spacing w:val="-4"/>
          <w:sz w:val="32"/>
          <w:szCs w:val="32"/>
          <w:highlight w:val="none"/>
          <w:lang w:eastAsia="zh-CN"/>
        </w:rPr>
        <w:t>采购人</w:t>
      </w:r>
      <w:r>
        <w:rPr>
          <w:rFonts w:hint="eastAsia" w:ascii="仿宋" w:hAnsi="仿宋" w:eastAsia="仿宋" w:cs="仿宋"/>
          <w:color w:val="auto"/>
          <w:spacing w:val="-4"/>
          <w:sz w:val="32"/>
          <w:szCs w:val="32"/>
          <w:highlight w:val="none"/>
        </w:rPr>
        <w:t>承担的风险因素之外的任何补偿。响应人漏报或不报，</w:t>
      </w:r>
      <w:r>
        <w:rPr>
          <w:rFonts w:hint="eastAsia" w:ascii="仿宋" w:hAnsi="仿宋" w:eastAsia="仿宋" w:cs="仿宋"/>
          <w:color w:val="auto"/>
          <w:spacing w:val="-4"/>
          <w:sz w:val="32"/>
          <w:szCs w:val="32"/>
          <w:highlight w:val="none"/>
          <w:lang w:eastAsia="zh-CN"/>
        </w:rPr>
        <w:t>采购人</w:t>
      </w:r>
      <w:r>
        <w:rPr>
          <w:rFonts w:hint="eastAsia" w:ascii="仿宋" w:hAnsi="仿宋" w:eastAsia="仿宋" w:cs="仿宋"/>
          <w:color w:val="auto"/>
          <w:spacing w:val="-4"/>
          <w:sz w:val="32"/>
          <w:szCs w:val="32"/>
          <w:highlight w:val="none"/>
        </w:rPr>
        <w:t>将视为该漏报或不报部分的费用已包括在响应报价中，合同金额不予调整。</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七、付款方式</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left="0" w:leftChars="0" w:firstLine="624" w:firstLineChars="200"/>
        <w:textAlignment w:val="auto"/>
        <w:rPr>
          <w:color w:val="auto"/>
          <w:sz w:val="32"/>
          <w:szCs w:val="32"/>
          <w:highlight w:val="none"/>
        </w:rPr>
      </w:pPr>
      <w:r>
        <w:rPr>
          <w:rFonts w:hint="eastAsia" w:ascii="仿宋" w:hAnsi="仿宋" w:eastAsia="仿宋" w:cs="仿宋"/>
          <w:color w:val="auto"/>
          <w:spacing w:val="-4"/>
          <w:sz w:val="32"/>
          <w:szCs w:val="32"/>
          <w:highlight w:val="none"/>
          <w:lang w:val="en-US" w:eastAsia="zh-CN"/>
        </w:rPr>
        <w:t>1期: 成交供应商与采购人签订合同 1</w:t>
      </w:r>
      <w:r>
        <w:rPr>
          <w:rFonts w:hint="eastAsia" w:ascii="仿宋" w:hAnsi="仿宋" w:eastAsia="PMingLiU" w:cs="仿宋"/>
          <w:color w:val="auto"/>
          <w:spacing w:val="-4"/>
          <w:sz w:val="32"/>
          <w:szCs w:val="32"/>
          <w:highlight w:val="none"/>
          <w:lang w:val="en-US" w:eastAsia="zh-TW"/>
        </w:rPr>
        <w:t>5</w:t>
      </w:r>
      <w:r>
        <w:rPr>
          <w:rFonts w:hint="eastAsia" w:ascii="仿宋" w:hAnsi="仿宋" w:eastAsia="仿宋" w:cs="仿宋"/>
          <w:color w:val="auto"/>
          <w:spacing w:val="-4"/>
          <w:sz w:val="32"/>
          <w:szCs w:val="32"/>
          <w:highlight w:val="none"/>
          <w:lang w:val="en-US" w:eastAsia="zh-CN"/>
        </w:rPr>
        <w:t xml:space="preserve">个工作日内，采购人向成交供应商支付合同总价款的 </w:t>
      </w:r>
      <w:r>
        <w:rPr>
          <w:rFonts w:hint="eastAsia" w:ascii="仿宋" w:hAnsi="仿宋" w:eastAsia="PMingLiU" w:cs="仿宋"/>
          <w:color w:val="auto"/>
          <w:spacing w:val="-4"/>
          <w:sz w:val="32"/>
          <w:szCs w:val="32"/>
          <w:highlight w:val="none"/>
          <w:lang w:val="en-US" w:eastAsia="zh-TW"/>
        </w:rPr>
        <w:t>30</w:t>
      </w:r>
      <w:r>
        <w:rPr>
          <w:rFonts w:hint="eastAsia" w:ascii="仿宋" w:hAnsi="仿宋" w:eastAsia="仿宋" w:cs="仿宋"/>
          <w:color w:val="auto"/>
          <w:spacing w:val="-4"/>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left="0" w:leftChars="0" w:firstLine="624" w:firstLineChars="200"/>
        <w:textAlignment w:val="auto"/>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pacing w:val="-4"/>
          <w:sz w:val="32"/>
          <w:szCs w:val="32"/>
          <w:highlight w:val="none"/>
          <w:lang w:val="en-US" w:eastAsia="zh-CN"/>
        </w:rPr>
        <w:t>2 期: 成交供应商完成项目中期汇报并提交中期报告的5个工作日内，采购人向成交供应商支付合同总价款的</w:t>
      </w:r>
      <w:r>
        <w:rPr>
          <w:rFonts w:hint="eastAsia" w:ascii="仿宋" w:hAnsi="仿宋" w:eastAsia="PMingLiU" w:cs="仿宋"/>
          <w:color w:val="auto"/>
          <w:spacing w:val="-4"/>
          <w:sz w:val="32"/>
          <w:szCs w:val="32"/>
          <w:highlight w:val="none"/>
          <w:lang w:val="en-US" w:eastAsia="zh-TW"/>
        </w:rPr>
        <w:t>60</w:t>
      </w:r>
      <w:r>
        <w:rPr>
          <w:rFonts w:hint="eastAsia" w:ascii="仿宋" w:hAnsi="仿宋" w:eastAsia="仿宋" w:cs="仿宋"/>
          <w:color w:val="auto"/>
          <w:spacing w:val="-4"/>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left="0" w:leftChars="0" w:firstLine="624" w:firstLineChars="200"/>
        <w:textAlignment w:val="auto"/>
        <w:rPr>
          <w:rFonts w:hint="eastAsia" w:ascii="仿宋" w:hAnsi="仿宋" w:eastAsia="仿宋" w:cs="仿宋"/>
          <w:color w:val="auto"/>
          <w:spacing w:val="-4"/>
          <w:sz w:val="32"/>
          <w:szCs w:val="32"/>
          <w:highlight w:val="none"/>
          <w:lang w:val="en-US" w:eastAsia="zh-CN"/>
        </w:rPr>
      </w:pPr>
      <w:r>
        <w:rPr>
          <w:rFonts w:hint="eastAsia" w:ascii="仿宋" w:hAnsi="仿宋" w:eastAsia="仿宋" w:cs="仿宋"/>
          <w:color w:val="auto"/>
          <w:spacing w:val="-4"/>
          <w:sz w:val="32"/>
          <w:szCs w:val="32"/>
          <w:highlight w:val="none"/>
          <w:lang w:val="en-US" w:eastAsia="zh-CN"/>
        </w:rPr>
        <w:t>3 期: 所有项目内容实施完毕验收合格后，成交供应商按照采购人要求申请付款，采购人向成交供应商支付合同总价款的剩余款项，即合同总价款的10%。</w:t>
      </w:r>
    </w:p>
    <w:p>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left="0" w:leftChars="0" w:firstLine="624" w:firstLineChars="200"/>
        <w:textAlignment w:val="auto"/>
        <w:rPr>
          <w:rFonts w:hint="eastAsia"/>
          <w:b/>
          <w:bCs/>
          <w:color w:val="auto"/>
          <w:sz w:val="32"/>
          <w:szCs w:val="32"/>
          <w:highlight w:val="none"/>
          <w:lang w:eastAsia="zh-TW"/>
        </w:rPr>
      </w:pPr>
      <w:r>
        <w:rPr>
          <w:rFonts w:hint="eastAsia" w:ascii="仿宋" w:hAnsi="仿宋" w:eastAsia="仿宋" w:cs="仿宋"/>
          <w:color w:val="auto"/>
          <w:spacing w:val="-4"/>
          <w:sz w:val="32"/>
          <w:szCs w:val="32"/>
          <w:highlight w:val="none"/>
          <w:lang w:val="en-US" w:eastAsia="zh-CN"/>
        </w:rPr>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72" w:leftChars="1520" w:hanging="2880" w:hangingChars="900"/>
        <w:jc w:val="left"/>
        <w:textAlignment w:val="auto"/>
        <w:rPr>
          <w:rFonts w:hint="default"/>
          <w:color w:val="auto"/>
          <w:lang w:val="en-US" w:eastAsia="zh-CN"/>
        </w:rPr>
      </w:pPr>
      <w:r>
        <w:rPr>
          <w:rFonts w:hint="eastAsia" w:ascii="仿宋_GB2312" w:hAnsi="仿宋_GB2312" w:eastAsia="仿宋_GB2312" w:cs="仿宋_GB2312"/>
          <w:b w:val="0"/>
          <w:bCs w:val="0"/>
          <w:color w:val="auto"/>
          <w:sz w:val="32"/>
          <w:szCs w:val="32"/>
          <w:lang w:val="en-US" w:eastAsia="zh-CN"/>
        </w:rPr>
        <w:t>横琴粤澳深度合作区城市规划和建设局2023年11月13日</w:t>
      </w:r>
    </w:p>
    <w:p>
      <w:pPr>
        <w:pStyle w:val="26"/>
        <w:widowControl w:val="0"/>
        <w:adjustRightInd w:val="0"/>
        <w:spacing w:line="560" w:lineRule="exact"/>
        <w:ind w:right="1104"/>
        <w:jc w:val="center"/>
        <w:rPr>
          <w:rFonts w:hint="eastAsia" w:ascii="仿宋_GB2312" w:hAnsi="仿宋_GB2312" w:eastAsia="仿宋_GB2312"/>
          <w:color w:val="auto"/>
          <w:kern w:val="2"/>
          <w:sz w:val="32"/>
          <w:szCs w:val="32"/>
          <w:lang w:val="en-US" w:eastAsia="zh-CN" w:bidi="ar-SA"/>
        </w:rPr>
      </w:pPr>
    </w:p>
    <w:p>
      <w:pPr>
        <w:keepLines/>
        <w:widowControl/>
        <w:adjustRightInd w:val="0"/>
        <w:snapToGrid w:val="0"/>
        <w:spacing w:line="360" w:lineRule="auto"/>
        <w:rPr>
          <w:rFonts w:hint="eastAsia" w:ascii="仿宋" w:hAnsi="仿宋" w:eastAsia="仿宋"/>
          <w:b w:val="0"/>
          <w:bCs w:val="0"/>
          <w:color w:val="auto"/>
          <w:sz w:val="24"/>
          <w:u w:val="single"/>
          <w:lang w:eastAsia="zh-CN"/>
        </w:rPr>
      </w:pP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- 3 -</w:t>
    </w:r>
    <w:r>
      <w:rPr>
        <w:rFonts w:ascii="宋体" w:hAnsi="宋体"/>
        <w:sz w:val="24"/>
        <w:szCs w:val="24"/>
      </w:rP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ascii="宋体" w:hAnsi="宋体"/>
        <w:sz w:val="24"/>
        <w:szCs w:val="24"/>
      </w:rPr>
    </w:pPr>
    <w:r>
      <w:rPr>
        <w:rFonts w:ascii="宋体" w:hAnsi="宋体"/>
        <w:sz w:val="24"/>
        <w:szCs w:val="24"/>
      </w:rPr>
      <w:fldChar w:fldCharType="begin"/>
    </w:r>
    <w:r>
      <w:rPr>
        <w:rStyle w:val="21"/>
        <w:rFonts w:ascii="宋体" w:hAnsi="宋体"/>
        <w:sz w:val="24"/>
        <w:szCs w:val="24"/>
      </w:rPr>
      <w:instrText xml:space="preserve">PAGE  </w:instrText>
    </w:r>
    <w:r>
      <w:rPr>
        <w:rFonts w:ascii="宋体" w:hAnsi="宋体"/>
        <w:sz w:val="24"/>
        <w:szCs w:val="24"/>
      </w:rPr>
      <w:fldChar w:fldCharType="separate"/>
    </w:r>
    <w:r>
      <w:rPr>
        <w:rStyle w:val="21"/>
        <w:rFonts w:ascii="宋体" w:hAnsi="宋体"/>
        <w:sz w:val="24"/>
        <w:szCs w:val="24"/>
      </w:rPr>
      <w:t>- 2 -</w:t>
    </w:r>
    <w:r>
      <w:rPr>
        <w:rFonts w:ascii="宋体" w:hAnsi="宋体"/>
        <w:sz w:val="24"/>
        <w:szCs w:val="24"/>
      </w:rP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75882"/>
    <w:rsid w:val="7F6E0A32"/>
    <w:rsid w:val="7F926436"/>
    <w:rsid w:val="7FBC153D"/>
    <w:rsid w:val="7FCF28BD"/>
    <w:rsid w:val="7FD971C9"/>
    <w:rsid w:val="7FE550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ind w:firstLine="596" w:firstLineChars="200"/>
      <w:outlineLvl w:val="0"/>
    </w:pPr>
    <w:rPr>
      <w:rFonts w:ascii="黑体" w:eastAsia="黑体"/>
      <w:b/>
      <w:sz w:val="32"/>
      <w:szCs w:val="22"/>
    </w:rPr>
  </w:style>
  <w:style w:type="paragraph" w:styleId="5">
    <w:name w:val="heading 2"/>
    <w:basedOn w:val="1"/>
    <w:next w:val="1"/>
    <w:link w:val="38"/>
    <w:unhideWhenUsed/>
    <w:qFormat/>
    <w:uiPriority w:val="0"/>
    <w:pPr>
      <w:ind w:firstLine="596" w:firstLineChars="200"/>
      <w:outlineLvl w:val="1"/>
    </w:pPr>
    <w:rPr>
      <w:rFonts w:ascii="楷体_GB2312" w:eastAsia="楷体_GB2312"/>
      <w:b/>
      <w:sz w:val="32"/>
      <w:szCs w:val="22"/>
    </w:rPr>
  </w:style>
  <w:style w:type="paragraph" w:styleId="6">
    <w:name w:val="heading 3"/>
    <w:basedOn w:val="1"/>
    <w:next w:val="1"/>
    <w:unhideWhenUsed/>
    <w:qFormat/>
    <w:uiPriority w:val="9"/>
    <w:pPr>
      <w:keepNext/>
      <w:keepLines/>
      <w:spacing w:before="260" w:beforeLines="0" w:after="260" w:afterLines="0" w:line="416" w:lineRule="auto"/>
      <w:outlineLvl w:val="2"/>
    </w:pPr>
    <w:rPr>
      <w:b/>
      <w:bCs/>
      <w:sz w:val="32"/>
      <w:szCs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eastAsia="宋体"/>
      <w:color w:val="000000"/>
      <w:spacing w:val="0"/>
      <w:sz w:val="21"/>
      <w:szCs w:val="20"/>
    </w:rPr>
  </w:style>
  <w:style w:type="paragraph" w:styleId="3">
    <w:name w:val="Body Text"/>
    <w:basedOn w:val="1"/>
    <w:next w:val="1"/>
    <w:qFormat/>
    <w:uiPriority w:val="0"/>
    <w:pPr>
      <w:spacing w:after="120"/>
    </w:pPr>
  </w:style>
  <w:style w:type="paragraph" w:styleId="8">
    <w:name w:val="annotation text"/>
    <w:basedOn w:val="1"/>
    <w:semiHidden/>
    <w:qFormat/>
    <w:uiPriority w:val="0"/>
    <w:pPr>
      <w:jc w:val="left"/>
    </w:pPr>
    <w:rPr>
      <w:szCs w:val="20"/>
    </w:r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pPr>
      <w:widowControl w:val="0"/>
      <w:jc w:val="both"/>
    </w:pPr>
    <w:rPr>
      <w:rFonts w:ascii="宋体" w:hAnsi="Courier New"/>
      <w:kern w:val="2"/>
    </w:rPr>
  </w:style>
  <w:style w:type="paragraph" w:styleId="11">
    <w:name w:val="Date"/>
    <w:basedOn w:val="1"/>
    <w:next w:val="1"/>
    <w:qFormat/>
    <w:uiPriority w:val="0"/>
    <w:pPr>
      <w:ind w:left="100" w:leftChars="2500"/>
    </w:pPr>
  </w:style>
  <w:style w:type="paragraph" w:styleId="12">
    <w:name w:val="Body Text Indent 2"/>
    <w:qFormat/>
    <w:uiPriority w:val="0"/>
    <w:pPr>
      <w:widowControl w:val="0"/>
      <w:spacing w:line="480" w:lineRule="exact"/>
      <w:ind w:left="810" w:firstLine="675"/>
      <w:jc w:val="both"/>
    </w:pPr>
    <w:rPr>
      <w:rFonts w:ascii="Calibri" w:hAnsi="Calibri" w:eastAsia="仿宋_GB2312" w:cs="Times New Roman"/>
      <w:kern w:val="2"/>
      <w:sz w:val="30"/>
      <w:szCs w:val="2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1"/>
    <w:unhideWhenUsed/>
    <w:qFormat/>
    <w:uiPriority w:val="0"/>
    <w:pPr>
      <w:snapToGrid w:val="0"/>
      <w:jc w:val="left"/>
    </w:pPr>
    <w:rPr>
      <w:rFonts w:eastAsia="仿宋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qFormat/>
    <w:uiPriority w:val="0"/>
    <w:rPr>
      <w:sz w:val="21"/>
      <w:szCs w:val="21"/>
    </w:rPr>
  </w:style>
  <w:style w:type="character" w:styleId="23">
    <w:name w:val="footnote reference"/>
    <w:unhideWhenUsed/>
    <w:qFormat/>
    <w:uiPriority w:val="0"/>
    <w:rPr>
      <w:vertAlign w:val="superscript"/>
    </w:rPr>
  </w:style>
  <w:style w:type="paragraph" w:styleId="24">
    <w:name w:val="List Paragraph"/>
    <w:basedOn w:val="1"/>
    <w:unhideWhenUsed/>
    <w:qFormat/>
    <w:uiPriority w:val="99"/>
    <w:pPr>
      <w:ind w:firstLine="420" w:firstLineChars="200"/>
    </w:pPr>
  </w:style>
  <w:style w:type="paragraph" w:customStyle="1" w:styleId="25">
    <w:name w:val="_Style 3"/>
    <w:basedOn w:val="1"/>
    <w:qFormat/>
    <w:uiPriority w:val="34"/>
    <w:pPr>
      <w:ind w:firstLine="420" w:firstLineChars="200"/>
    </w:pPr>
  </w:style>
  <w:style w:type="paragraph" w:customStyle="1" w:styleId="26">
    <w:name w:val="p0"/>
    <w:basedOn w:val="1"/>
    <w:qFormat/>
    <w:uiPriority w:val="0"/>
    <w:pPr>
      <w:widowControl/>
      <w:jc w:val="left"/>
    </w:pPr>
    <w:rPr>
      <w:kern w:val="0"/>
      <w:sz w:val="20"/>
      <w:szCs w:val="20"/>
    </w:rPr>
  </w:style>
  <w:style w:type="paragraph" w:customStyle="1" w:styleId="27">
    <w:name w:val="列出段落"/>
    <w:basedOn w:val="1"/>
    <w:qFormat/>
    <w:uiPriority w:val="0"/>
    <w:pPr>
      <w:ind w:firstLine="420" w:firstLineChars="200"/>
    </w:pPr>
    <w:rPr>
      <w:rFonts w:ascii="Calibri" w:hAnsi="Calibri"/>
      <w:szCs w:val="22"/>
    </w:rPr>
  </w:style>
  <w:style w:type="paragraph" w:customStyle="1" w:styleId="28">
    <w:name w:val="默认段落字体 Para Char Char Char Char"/>
    <w:basedOn w:val="1"/>
    <w:qFormat/>
    <w:uiPriority w:val="0"/>
    <w:pPr>
      <w:adjustRightInd w:val="0"/>
      <w:spacing w:line="360" w:lineRule="auto"/>
    </w:pPr>
    <w:rPr>
      <w:szCs w:val="20"/>
    </w:rPr>
  </w:style>
  <w:style w:type="paragraph" w:customStyle="1" w:styleId="29">
    <w:name w:val=" Char"/>
    <w:basedOn w:val="1"/>
    <w:qFormat/>
    <w:uiPriority w:val="0"/>
    <w:rPr>
      <w:szCs w:val="20"/>
    </w:rPr>
  </w:style>
  <w:style w:type="paragraph" w:customStyle="1" w:styleId="30">
    <w:name w:val=" 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1">
    <w:name w:val="Char"/>
    <w:basedOn w:val="1"/>
    <w:qFormat/>
    <w:uiPriority w:val="0"/>
    <w:rPr>
      <w:rFonts w:ascii="Tahoma" w:hAnsi="Tahoma"/>
      <w:sz w:val="24"/>
      <w:szCs w:val="20"/>
    </w:rPr>
  </w:style>
  <w:style w:type="paragraph" w:customStyle="1" w:styleId="32">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3">
    <w:name w:val="Char Char Char1 Char1 Char Char Char"/>
    <w:basedOn w:val="1"/>
    <w:semiHidden/>
    <w:qFormat/>
    <w:uiPriority w:val="0"/>
  </w:style>
  <w:style w:type="paragraph" w:customStyle="1" w:styleId="34">
    <w:name w:val="样式2"/>
    <w:basedOn w:val="1"/>
    <w:qFormat/>
    <w:uiPriority w:val="0"/>
    <w:pPr>
      <w:jc w:val="center"/>
    </w:pPr>
    <w:rPr>
      <w:rFonts w:eastAsia="仿宋_GB2312"/>
      <w:b/>
      <w:bCs/>
      <w:sz w:val="44"/>
    </w:rPr>
  </w:style>
  <w:style w:type="paragraph" w:customStyle="1" w:styleId="35">
    <w:name w:val="1 Char Char Char Char Char Char Char"/>
    <w:basedOn w:val="1"/>
    <w:qFormat/>
    <w:uiPriority w:val="0"/>
  </w:style>
  <w:style w:type="paragraph" w:customStyle="1" w:styleId="36">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7">
    <w:name w:val="font01"/>
    <w:basedOn w:val="20"/>
    <w:qFormat/>
    <w:uiPriority w:val="0"/>
    <w:rPr>
      <w:rFonts w:hint="eastAsia" w:ascii="宋体" w:hAnsi="宋体" w:eastAsia="宋体" w:cs="宋体"/>
      <w:color w:val="333399"/>
      <w:sz w:val="24"/>
      <w:szCs w:val="24"/>
      <w:u w:val="none"/>
    </w:rPr>
  </w:style>
  <w:style w:type="character" w:customStyle="1" w:styleId="38">
    <w:name w:val=" Char Char7"/>
    <w:link w:val="5"/>
    <w:qFormat/>
    <w:uiPriority w:val="0"/>
    <w:rPr>
      <w:rFonts w:ascii="楷体_GB2312" w:eastAsia="楷体_GB2312"/>
      <w:b/>
      <w:kern w:val="2"/>
      <w:sz w:val="32"/>
      <w:szCs w:val="22"/>
      <w:lang w:val="en-US" w:eastAsia="zh-CN" w:bidi="ar-SA"/>
    </w:rPr>
  </w:style>
  <w:style w:type="character" w:customStyle="1" w:styleId="39">
    <w:name w:val="font41"/>
    <w:basedOn w:val="20"/>
    <w:qFormat/>
    <w:uiPriority w:val="0"/>
    <w:rPr>
      <w:rFonts w:hint="eastAsia" w:ascii="宋体" w:hAnsi="宋体" w:eastAsia="宋体" w:cs="宋体"/>
      <w:color w:val="FF0000"/>
      <w:sz w:val="24"/>
      <w:szCs w:val="24"/>
      <w:u w:val="none"/>
    </w:rPr>
  </w:style>
  <w:style w:type="character" w:customStyle="1" w:styleId="40">
    <w:name w:val="article_f141"/>
    <w:basedOn w:val="20"/>
    <w:qFormat/>
    <w:uiPriority w:val="0"/>
    <w:rPr>
      <w:color w:val="000000"/>
      <w:sz w:val="21"/>
    </w:rPr>
  </w:style>
  <w:style w:type="character" w:customStyle="1" w:styleId="41">
    <w:name w:val=" Char Char"/>
    <w:link w:val="16"/>
    <w:semiHidden/>
    <w:qFormat/>
    <w:uiPriority w:val="0"/>
    <w:rPr>
      <w:rFonts w:eastAsia="仿宋_GB2312"/>
      <w:kern w:val="2"/>
      <w:sz w:val="18"/>
      <w:szCs w:val="18"/>
      <w:lang w:val="en-US" w:eastAsia="zh-CN" w:bidi="ar-SA"/>
    </w:rPr>
  </w:style>
  <w:style w:type="character" w:customStyle="1" w:styleId="42">
    <w:name w:val=" Char Char8"/>
    <w:link w:val="4"/>
    <w:qFormat/>
    <w:uiPriority w:val="0"/>
    <w:rPr>
      <w:rFonts w:ascii="黑体" w:eastAsia="黑体"/>
      <w:b/>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1653</Words>
  <Characters>1696</Characters>
  <Lines>2</Lines>
  <Paragraphs>1</Paragraphs>
  <TotalTime>0</TotalTime>
  <ScaleCrop>false</ScaleCrop>
  <LinksUpToDate>false</LinksUpToDate>
  <CharactersWithSpaces>2199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2010-12-13T14:18:00Z</dcterms:created>
  <dc:creator>陈微:</dc:creator>
  <cp:lastModifiedBy>吴杏妍</cp:lastModifiedBy>
  <cp:lastPrinted>2023-09-20T09:24:00Z</cp:lastPrinted>
  <dcterms:modified xsi:type="dcterms:W3CDTF">2023-11-13T02:39:11Z</dcterms:modified>
  <dc:title>珠横新规国字〔2010〕20号                 签发人：王瑞森 </dc:title>
  <cp:revision>1128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8B67D80971FE42BCA16832CCE78C9837</vt:lpwstr>
  </property>
</Properties>
</file>