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beforeLines="0" w:afterLines="0" w:line="579" w:lineRule="exact"/>
        <w:jc w:val="center"/>
        <w:textAlignment w:val="auto"/>
        <w:rPr>
          <w:rFonts w:hint="eastAsia" w:ascii="FangSong_GB2312" w:hAnsi="FangSong_GB2312" w:eastAsia="FangSong_GB2312" w:cs="FangSong_GB2312"/>
          <w:sz w:val="32"/>
          <w:szCs w:val="32"/>
        </w:rPr>
      </w:pPr>
      <w:r>
        <w:rPr>
          <w:rStyle w:val="8"/>
          <w:rFonts w:hint="eastAsia" w:ascii="华文楷体" w:hAnsi="华文楷体" w:eastAsia="华文楷体" w:cs="华文楷体"/>
          <w:sz w:val="32"/>
          <w:szCs w:val="32"/>
          <w:shd w:val="clear" w:color="auto" w:fill="F6F6F6"/>
        </w:rPr>
        <w:t>第 /2023号城市规划和建设局规范性文件</w:t>
      </w:r>
    </w:p>
    <w:p>
      <w:pPr>
        <w:pageBreakBefore w:val="0"/>
        <w:widowControl w:val="0"/>
        <w:kinsoku/>
        <w:wordWrap/>
        <w:overflowPunct/>
        <w:topLinePunct w:val="0"/>
        <w:autoSpaceDE/>
        <w:autoSpaceDN/>
        <w:bidi w:val="0"/>
        <w:adjustRightInd/>
        <w:snapToGrid/>
        <w:spacing w:beforeLines="0" w:afterLines="0" w:line="579"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横琴粤澳深度合作区国有建设用地</w:t>
      </w:r>
    </w:p>
    <w:p>
      <w:pPr>
        <w:pageBreakBefore w:val="0"/>
        <w:widowControl w:val="0"/>
        <w:kinsoku/>
        <w:wordWrap/>
        <w:overflowPunct/>
        <w:topLinePunct w:val="0"/>
        <w:autoSpaceDE/>
        <w:autoSpaceDN/>
        <w:bidi w:val="0"/>
        <w:adjustRightInd/>
        <w:snapToGrid/>
        <w:spacing w:beforeLines="0" w:afterLines="0" w:line="579"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建设期限监管办法</w:t>
      </w:r>
    </w:p>
    <w:p>
      <w:pPr>
        <w:pageBreakBefore w:val="0"/>
        <w:widowControl w:val="0"/>
        <w:kinsoku/>
        <w:wordWrap/>
        <w:overflowPunct/>
        <w:topLinePunct w:val="0"/>
        <w:autoSpaceDE/>
        <w:autoSpaceDN/>
        <w:bidi w:val="0"/>
        <w:adjustRightInd/>
        <w:snapToGrid/>
        <w:spacing w:beforeLines="0" w:afterLines="0" w:line="579" w:lineRule="exact"/>
        <w:jc w:val="center"/>
        <w:textAlignment w:val="auto"/>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(公开征求意见稿)</w:t>
      </w:r>
    </w:p>
    <w:p>
      <w:pPr>
        <w:pageBreakBefore w:val="0"/>
        <w:widowControl w:val="0"/>
        <w:kinsoku/>
        <w:wordWrap/>
        <w:overflowPunct/>
        <w:topLinePunct w:val="0"/>
        <w:autoSpaceDE/>
        <w:autoSpaceDN/>
        <w:bidi w:val="0"/>
        <w:adjustRightInd/>
        <w:snapToGrid/>
        <w:spacing w:beforeLines="0" w:afterLines="0" w:line="579"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第一条</w:t>
      </w:r>
    </w:p>
    <w:p>
      <w:pPr>
        <w:pageBreakBefore w:val="0"/>
        <w:widowControl w:val="0"/>
        <w:kinsoku/>
        <w:wordWrap/>
        <w:overflowPunct/>
        <w:topLinePunct w:val="0"/>
        <w:autoSpaceDE/>
        <w:autoSpaceDN/>
        <w:bidi w:val="0"/>
        <w:adjustRightInd/>
        <w:snapToGrid/>
        <w:spacing w:beforeLines="0" w:afterLines="0" w:line="579"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制定目的 </w:t>
      </w:r>
    </w:p>
    <w:p>
      <w:pPr>
        <w:pStyle w:val="3"/>
        <w:pageBreakBefore w:val="0"/>
        <w:widowControl w:val="0"/>
        <w:kinsoku/>
        <w:wordWrap/>
        <w:overflowPunct/>
        <w:topLinePunct w:val="0"/>
        <w:autoSpaceDE/>
        <w:autoSpaceDN/>
        <w:bidi w:val="0"/>
        <w:adjustRightInd/>
        <w:snapToGrid/>
        <w:spacing w:beforeLines="0" w:afterLines="0" w:line="579" w:lineRule="exact"/>
        <w:textAlignment w:val="auto"/>
        <w:rPr>
          <w:rFonts w:hint="eastAsia"/>
          <w:sz w:val="32"/>
          <w:szCs w:val="24"/>
        </w:rPr>
      </w:pPr>
    </w:p>
    <w:p>
      <w:pPr>
        <w:pageBreakBefore w:val="0"/>
        <w:widowControl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为进一步加强横琴粤澳深度合作区国有建设用地的建设期限监管工作，促进土地节约集约利用，根据</w:t>
      </w:r>
      <w:r>
        <w:rPr>
          <w:rFonts w:hint="eastAsia" w:ascii="FangSong_GB2312" w:hAnsi="FangSong_GB2312" w:eastAsia="FangSong_GB2312" w:cs="FangSong_GB2312"/>
          <w:sz w:val="32"/>
          <w:szCs w:val="32"/>
          <w:lang w:eastAsia="zh-CN"/>
        </w:rPr>
        <w:t>《</w:t>
      </w:r>
      <w:r>
        <w:rPr>
          <w:rFonts w:hint="eastAsia" w:ascii="FangSong_GB2312" w:hAnsi="FangSong_GB2312" w:eastAsia="FangSong_GB2312" w:cs="FangSong_GB2312"/>
          <w:sz w:val="32"/>
          <w:szCs w:val="32"/>
          <w:lang w:val="en-US" w:eastAsia="zh-CN"/>
        </w:rPr>
        <w:t>中华人民共和国土地管理法</w:t>
      </w:r>
      <w:r>
        <w:rPr>
          <w:rFonts w:hint="eastAsia" w:ascii="FangSong_GB2312" w:hAnsi="FangSong_GB2312" w:eastAsia="FangSong_GB2312" w:cs="FangSong_GB2312"/>
          <w:sz w:val="32"/>
          <w:szCs w:val="32"/>
          <w:lang w:eastAsia="zh-CN"/>
        </w:rPr>
        <w:t>》</w:t>
      </w:r>
      <w:r>
        <w:rPr>
          <w:rFonts w:hint="eastAsia" w:ascii="FangSong_GB2312" w:hAnsi="FangSong_GB2312" w:eastAsia="FangSong_GB2312" w:cs="FangSong_GB2312"/>
          <w:sz w:val="32"/>
          <w:szCs w:val="32"/>
        </w:rPr>
        <w:t>《横琴粤澳深度合作区建设总体方案》《横琴粤澳深度合作区执行委员会关于各工作机构职责的公告》《横琴粤澳深度合作区国有土地供应管理办法》等</w:t>
      </w:r>
      <w:r>
        <w:rPr>
          <w:rFonts w:hint="eastAsia" w:ascii="FangSong_GB2312" w:hAnsi="FangSong_GB2312" w:eastAsia="FangSong_GB2312" w:cs="FangSong_GB2312"/>
          <w:sz w:val="32"/>
          <w:szCs w:val="32"/>
          <w:lang w:val="en-US" w:eastAsia="zh-CN"/>
        </w:rPr>
        <w:t>法律</w:t>
      </w:r>
      <w:r>
        <w:rPr>
          <w:rFonts w:hint="eastAsia" w:ascii="FangSong_GB2312" w:hAnsi="FangSong_GB2312" w:eastAsia="FangSong_GB2312" w:cs="FangSong_GB2312"/>
          <w:sz w:val="32"/>
          <w:szCs w:val="32"/>
        </w:rPr>
        <w:t>法规及规范性文件规定，结合横琴粤澳深度合作区工作实际，制定本办法。</w:t>
      </w:r>
    </w:p>
    <w:p>
      <w:pPr>
        <w:pageBreakBefore w:val="0"/>
        <w:widowControl w:val="0"/>
        <w:kinsoku/>
        <w:wordWrap/>
        <w:overflowPunct/>
        <w:topLinePunct w:val="0"/>
        <w:autoSpaceDE/>
        <w:autoSpaceDN/>
        <w:bidi w:val="0"/>
        <w:adjustRightInd/>
        <w:snapToGrid/>
        <w:spacing w:beforeLines="0" w:afterLines="0" w:line="579" w:lineRule="exact"/>
        <w:ind w:firstLine="640" w:firstLineChars="200"/>
        <w:jc w:val="center"/>
        <w:textAlignment w:val="auto"/>
        <w:rPr>
          <w:rFonts w:hint="eastAsia" w:ascii="黑体" w:hAnsi="黑体" w:eastAsia="黑体" w:cs="黑体"/>
          <w:sz w:val="32"/>
          <w:szCs w:val="32"/>
        </w:rPr>
      </w:pPr>
      <w:bookmarkStart w:id="0" w:name="_GoBack"/>
      <w:bookmarkEnd w:id="0"/>
    </w:p>
    <w:p>
      <w:pPr>
        <w:pageBreakBefore w:val="0"/>
        <w:widowControl w:val="0"/>
        <w:kinsoku/>
        <w:wordWrap/>
        <w:overflowPunct/>
        <w:topLinePunct w:val="0"/>
        <w:autoSpaceDE/>
        <w:autoSpaceDN/>
        <w:bidi w:val="0"/>
        <w:adjustRightInd/>
        <w:snapToGrid/>
        <w:spacing w:beforeLines="0" w:afterLines="0" w:line="579"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第二条 </w:t>
      </w:r>
    </w:p>
    <w:p>
      <w:pPr>
        <w:pageBreakBefore w:val="0"/>
        <w:widowControl w:val="0"/>
        <w:kinsoku/>
        <w:wordWrap/>
        <w:overflowPunct/>
        <w:topLinePunct w:val="0"/>
        <w:autoSpaceDE/>
        <w:autoSpaceDN/>
        <w:bidi w:val="0"/>
        <w:adjustRightInd/>
        <w:snapToGrid/>
        <w:spacing w:beforeLines="0" w:afterLines="0" w:line="579" w:lineRule="exact"/>
        <w:ind w:firstLine="640" w:firstLineChars="200"/>
        <w:jc w:val="center"/>
        <w:textAlignment w:val="auto"/>
        <w:rPr>
          <w:rStyle w:val="9"/>
          <w:rFonts w:hint="eastAsia"/>
          <w:sz w:val="21"/>
          <w:szCs w:val="24"/>
        </w:rPr>
      </w:pPr>
      <w:r>
        <w:rPr>
          <w:rFonts w:hint="eastAsia" w:ascii="黑体" w:hAnsi="黑体" w:eastAsia="黑体" w:cs="黑体"/>
          <w:sz w:val="32"/>
          <w:szCs w:val="32"/>
        </w:rPr>
        <w:t>适用监管范围</w:t>
      </w:r>
    </w:p>
    <w:p>
      <w:pPr>
        <w:pageBreakBefore w:val="0"/>
        <w:widowControl w:val="0"/>
        <w:kinsoku/>
        <w:wordWrap/>
        <w:overflowPunct/>
        <w:topLinePunct w:val="0"/>
        <w:autoSpaceDE/>
        <w:autoSpaceDN/>
        <w:bidi w:val="0"/>
        <w:adjustRightInd/>
        <w:snapToGrid/>
        <w:spacing w:beforeLines="0" w:afterLines="0" w:line="579" w:lineRule="exact"/>
        <w:ind w:firstLine="420" w:firstLineChars="200"/>
        <w:jc w:val="center"/>
        <w:textAlignment w:val="auto"/>
        <w:rPr>
          <w:rFonts w:hint="eastAsia"/>
          <w:sz w:val="21"/>
          <w:szCs w:val="24"/>
        </w:rPr>
      </w:pPr>
    </w:p>
    <w:p>
      <w:pPr>
        <w:pageBreakBefore w:val="0"/>
        <w:widowControl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本办法适用于横琴粤澳深度合作区（以下简称合作区）国有已供应建设用地开工、竣工的建设期限监管。</w:t>
      </w:r>
    </w:p>
    <w:p>
      <w:pPr>
        <w:pageBreakBefore w:val="0"/>
        <w:widowControl w:val="0"/>
        <w:kinsoku/>
        <w:wordWrap/>
        <w:overflowPunct/>
        <w:topLinePunct w:val="0"/>
        <w:autoSpaceDE/>
        <w:autoSpaceDN/>
        <w:bidi w:val="0"/>
        <w:adjustRightInd/>
        <w:snapToGrid/>
        <w:spacing w:line="579" w:lineRule="exact"/>
        <w:textAlignment w:val="auto"/>
        <w:rPr>
          <w:rFonts w:hint="eastAsia" w:ascii="黑体" w:hAnsi="黑体" w:eastAsia="黑体" w:cs="黑体"/>
          <w:sz w:val="32"/>
          <w:szCs w:val="32"/>
        </w:rPr>
      </w:pPr>
    </w:p>
    <w:p>
      <w:pPr>
        <w:rPr>
          <w:rFonts w:hint="eastAsia" w:ascii="黑体" w:hAnsi="黑体" w:eastAsia="黑体" w:cs="黑体"/>
          <w:sz w:val="32"/>
          <w:szCs w:val="32"/>
        </w:rPr>
      </w:pPr>
      <w:r>
        <w:rPr>
          <w:rFonts w:hint="eastAsia" w:ascii="黑体" w:hAnsi="黑体" w:eastAsia="黑体" w:cs="黑体"/>
          <w:sz w:val="32"/>
          <w:szCs w:val="32"/>
        </w:rPr>
        <w:br w:type="page"/>
      </w:r>
    </w:p>
    <w:p>
      <w:pPr>
        <w:pageBreakBefore w:val="0"/>
        <w:widowControl w:val="0"/>
        <w:kinsoku/>
        <w:wordWrap/>
        <w:overflowPunct/>
        <w:topLinePunct w:val="0"/>
        <w:autoSpaceDE/>
        <w:autoSpaceDN/>
        <w:bidi w:val="0"/>
        <w:adjustRightInd/>
        <w:snapToGrid/>
        <w:spacing w:line="579"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第三条</w:t>
      </w:r>
    </w:p>
    <w:p>
      <w:pPr>
        <w:pageBreakBefore w:val="0"/>
        <w:widowControl w:val="0"/>
        <w:kinsoku/>
        <w:wordWrap/>
        <w:overflowPunct/>
        <w:topLinePunct w:val="0"/>
        <w:autoSpaceDE/>
        <w:autoSpaceDN/>
        <w:bidi w:val="0"/>
        <w:adjustRightInd/>
        <w:snapToGrid/>
        <w:spacing w:beforeLines="0" w:afterLines="0" w:line="579" w:lineRule="exact"/>
        <w:jc w:val="center"/>
        <w:textAlignment w:val="auto"/>
        <w:rPr>
          <w:rFonts w:hint="eastAsia"/>
          <w:sz w:val="21"/>
          <w:szCs w:val="24"/>
        </w:rPr>
      </w:pPr>
      <w:r>
        <w:rPr>
          <w:rFonts w:hint="eastAsia" w:ascii="黑体" w:hAnsi="黑体" w:eastAsia="黑体" w:cs="黑体"/>
          <w:sz w:val="32"/>
          <w:szCs w:val="32"/>
        </w:rPr>
        <w:t>定义</w:t>
      </w:r>
    </w:p>
    <w:p>
      <w:pPr>
        <w:pageBreakBefore w:val="0"/>
        <w:widowControl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（一）国有建设用地项目按土地供应合同约定或者划拨决定书规定应履行的“开工”、“竣工”按以下标准认定：</w:t>
      </w:r>
    </w:p>
    <w:p>
      <w:pPr>
        <w:pageBreakBefore w:val="0"/>
        <w:widowControl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开工：指应当申请领取施工许可证的建设用地项目,土地使用权人或者建设单位依法取得《建筑工程施工许可证》，并已进场按设计图纸实质性施工（地基或者软基处理、破土开槽、基坑开挖、打桩等）；依法不需要申领施工许可证的建设用地项目，土地使用权人取得相关证明文件并已进场进行实质性施工。</w:t>
      </w:r>
    </w:p>
    <w:p>
      <w:pPr>
        <w:pageBreakBefore w:val="0"/>
        <w:widowControl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竣工：指整宗建设用地项目的建筑主体工程和外立面装饰装修工程完成后，取得相应的工程质量验收合格记录（形象竣工）并经合作区城市规划和建设局土地主管部门现场确认，或者建设用地项目依法取得整宗用地的规划条件核实合格证明或者建设工程竣工验收备案证明。</w:t>
      </w:r>
    </w:p>
    <w:p>
      <w:pPr>
        <w:pStyle w:val="2"/>
        <w:pageBreakBefore w:val="0"/>
        <w:widowControl w:val="0"/>
        <w:kinsoku/>
        <w:wordWrap/>
        <w:overflowPunct/>
        <w:topLinePunct w:val="0"/>
        <w:autoSpaceDE/>
        <w:autoSpaceDN/>
        <w:bidi w:val="0"/>
        <w:adjustRightInd/>
        <w:snapToGrid/>
        <w:spacing w:beforeLines="0" w:afterLines="0" w:line="579" w:lineRule="exact"/>
        <w:textAlignment w:val="auto"/>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（二）主要用途：指综合用地中，单一用途计容积率建筑面积占总计容积率建筑面积＞50%的用途。</w:t>
      </w:r>
    </w:p>
    <w:p>
      <w:pPr>
        <w:pStyle w:val="2"/>
        <w:pageBreakBefore w:val="0"/>
        <w:widowControl w:val="0"/>
        <w:kinsoku/>
        <w:wordWrap/>
        <w:overflowPunct/>
        <w:topLinePunct w:val="0"/>
        <w:autoSpaceDE/>
        <w:autoSpaceDN/>
        <w:bidi w:val="0"/>
        <w:adjustRightInd/>
        <w:snapToGrid/>
        <w:spacing w:beforeLines="0" w:afterLines="0" w:line="579" w:lineRule="exact"/>
        <w:textAlignment w:val="auto"/>
        <w:rPr>
          <w:rFonts w:hint="eastAsia" w:eastAsia="FangSong_GB2312"/>
          <w:sz w:val="21"/>
          <w:szCs w:val="22"/>
        </w:rPr>
      </w:pPr>
      <w:r>
        <w:rPr>
          <w:rFonts w:hint="eastAsia" w:ascii="FangSong_GB2312" w:hAnsi="FangSong_GB2312" w:eastAsia="FangSong_GB2312" w:cs="FangSong_GB2312"/>
          <w:sz w:val="32"/>
          <w:szCs w:val="32"/>
        </w:rPr>
        <w:t>（三）特大型产业项目：指投资额≥100亿元（内资），或者≥10亿美元（外资）的项目。</w:t>
      </w:r>
    </w:p>
    <w:p>
      <w:pPr>
        <w:pageBreakBefore w:val="0"/>
        <w:widowControl w:val="0"/>
        <w:kinsoku/>
        <w:wordWrap/>
        <w:overflowPunct/>
        <w:topLinePunct w:val="0"/>
        <w:autoSpaceDE/>
        <w:autoSpaceDN/>
        <w:bidi w:val="0"/>
        <w:adjustRightInd/>
        <w:snapToGrid/>
        <w:spacing w:beforeLines="0" w:afterLines="0" w:line="579" w:lineRule="exact"/>
        <w:ind w:firstLine="640" w:firstLineChars="200"/>
        <w:jc w:val="center"/>
        <w:textAlignment w:val="auto"/>
        <w:rPr>
          <w:rFonts w:hint="eastAsia" w:ascii="黑体" w:hAnsi="黑体" w:eastAsia="黑体" w:cs="黑体"/>
          <w:sz w:val="32"/>
          <w:szCs w:val="32"/>
        </w:rPr>
      </w:pPr>
    </w:p>
    <w:p>
      <w:pPr>
        <w:pageBreakBefore w:val="0"/>
        <w:widowControl w:val="0"/>
        <w:kinsoku/>
        <w:wordWrap/>
        <w:overflowPunct/>
        <w:topLinePunct w:val="0"/>
        <w:autoSpaceDE/>
        <w:autoSpaceDN/>
        <w:bidi w:val="0"/>
        <w:adjustRightInd/>
        <w:snapToGrid/>
        <w:spacing w:beforeLines="0" w:afterLines="0" w:line="579"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第四条 </w:t>
      </w:r>
    </w:p>
    <w:p>
      <w:pPr>
        <w:pageBreakBefore w:val="0"/>
        <w:widowControl w:val="0"/>
        <w:kinsoku/>
        <w:wordWrap/>
        <w:overflowPunct/>
        <w:topLinePunct w:val="0"/>
        <w:autoSpaceDE/>
        <w:autoSpaceDN/>
        <w:bidi w:val="0"/>
        <w:adjustRightInd/>
        <w:snapToGrid/>
        <w:spacing w:beforeLines="0" w:afterLines="0" w:line="579"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住宅用地建设期限的设定标准</w:t>
      </w:r>
    </w:p>
    <w:p>
      <w:pPr>
        <w:pStyle w:val="3"/>
        <w:pageBreakBefore w:val="0"/>
        <w:widowControl w:val="0"/>
        <w:kinsoku/>
        <w:wordWrap/>
        <w:overflowPunct/>
        <w:topLinePunct w:val="0"/>
        <w:autoSpaceDE/>
        <w:autoSpaceDN/>
        <w:bidi w:val="0"/>
        <w:adjustRightInd/>
        <w:snapToGrid/>
        <w:spacing w:beforeLines="0" w:afterLines="0" w:line="579" w:lineRule="exact"/>
        <w:textAlignment w:val="auto"/>
        <w:rPr>
          <w:rFonts w:hint="eastAsia"/>
          <w:sz w:val="32"/>
          <w:szCs w:val="24"/>
        </w:rPr>
      </w:pPr>
    </w:p>
    <w:p>
      <w:pPr>
        <w:pageBreakBefore w:val="0"/>
        <w:widowControl w:val="0"/>
        <w:kinsoku/>
        <w:wordWrap/>
        <w:overflowPunct/>
        <w:topLinePunct w:val="0"/>
        <w:autoSpaceDE/>
        <w:autoSpaceDN/>
        <w:bidi w:val="0"/>
        <w:adjustRightInd/>
        <w:snapToGrid/>
        <w:spacing w:beforeLines="0" w:afterLines="0" w:line="579" w:lineRule="exact"/>
        <w:ind w:firstLine="640" w:firstLineChars="200"/>
        <w:textAlignment w:val="auto"/>
        <w:rPr>
          <w:rFonts w:hint="default" w:eastAsia="FangSong_GB2312"/>
          <w:sz w:val="21"/>
          <w:szCs w:val="22"/>
        </w:rPr>
      </w:pPr>
      <w:r>
        <w:rPr>
          <w:rFonts w:hint="eastAsia" w:ascii="FangSong_GB2312" w:hAnsi="FangSong_GB2312" w:eastAsia="FangSong_GB2312" w:cs="FangSong_GB2312"/>
          <w:sz w:val="32"/>
          <w:szCs w:val="32"/>
        </w:rPr>
        <w:t>住宅用地应自土地交付之日起12个月内开工，自约定开工之日起36个月内竣工。</w:t>
      </w:r>
      <w:r>
        <w:rPr>
          <w:rFonts w:hint="eastAsia" w:eastAsia="FangSong_GB2312"/>
          <w:sz w:val="21"/>
          <w:szCs w:val="22"/>
        </w:rPr>
        <w:t xml:space="preserve"> </w:t>
      </w:r>
    </w:p>
    <w:p>
      <w:pPr>
        <w:pageBreakBefore w:val="0"/>
        <w:widowControl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黑体" w:hAnsi="黑体" w:eastAsia="黑体" w:cs="黑体"/>
          <w:sz w:val="32"/>
          <w:szCs w:val="32"/>
        </w:rPr>
      </w:pPr>
    </w:p>
    <w:p>
      <w:pPr>
        <w:pStyle w:val="2"/>
        <w:pageBreakBefore w:val="0"/>
        <w:widowControl w:val="0"/>
        <w:kinsoku/>
        <w:wordWrap/>
        <w:overflowPunct/>
        <w:topLinePunct w:val="0"/>
        <w:autoSpaceDE/>
        <w:autoSpaceDN/>
        <w:bidi w:val="0"/>
        <w:adjustRightInd/>
        <w:snapToGrid/>
        <w:spacing w:beforeLines="0" w:afterLines="0" w:line="579" w:lineRule="exact"/>
        <w:textAlignment w:val="auto"/>
        <w:rPr>
          <w:rFonts w:hint="eastAsia"/>
          <w:sz w:val="21"/>
          <w:szCs w:val="22"/>
        </w:rPr>
      </w:pPr>
    </w:p>
    <w:p>
      <w:pPr>
        <w:pageBreakBefore w:val="0"/>
        <w:widowControl w:val="0"/>
        <w:kinsoku/>
        <w:wordWrap/>
        <w:overflowPunct/>
        <w:topLinePunct w:val="0"/>
        <w:autoSpaceDE/>
        <w:autoSpaceDN/>
        <w:bidi w:val="0"/>
        <w:adjustRightInd/>
        <w:snapToGrid/>
        <w:spacing w:beforeLines="0" w:afterLines="0" w:line="579"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第五条 </w:t>
      </w:r>
    </w:p>
    <w:p>
      <w:pPr>
        <w:pageBreakBefore w:val="0"/>
        <w:widowControl w:val="0"/>
        <w:kinsoku/>
        <w:wordWrap/>
        <w:overflowPunct/>
        <w:topLinePunct w:val="0"/>
        <w:autoSpaceDE/>
        <w:autoSpaceDN/>
        <w:bidi w:val="0"/>
        <w:adjustRightInd/>
        <w:snapToGrid/>
        <w:spacing w:beforeLines="0" w:afterLines="0" w:line="579"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其他出让用地建设期限的设定标准</w:t>
      </w:r>
    </w:p>
    <w:p>
      <w:pPr>
        <w:pStyle w:val="3"/>
        <w:pageBreakBefore w:val="0"/>
        <w:widowControl w:val="0"/>
        <w:kinsoku/>
        <w:wordWrap/>
        <w:overflowPunct/>
        <w:topLinePunct w:val="0"/>
        <w:autoSpaceDE/>
        <w:autoSpaceDN/>
        <w:bidi w:val="0"/>
        <w:adjustRightInd/>
        <w:snapToGrid/>
        <w:spacing w:beforeLines="0" w:afterLines="0" w:line="579" w:lineRule="exact"/>
        <w:textAlignment w:val="auto"/>
        <w:rPr>
          <w:rFonts w:hint="default"/>
          <w:sz w:val="32"/>
          <w:szCs w:val="24"/>
        </w:rPr>
      </w:pPr>
    </w:p>
    <w:p>
      <w:pPr>
        <w:pageBreakBefore w:val="0"/>
        <w:widowControl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除住宅用地外的其他出让用地应自土地交付之日起12个月内开工，竣工期限自约定开工之日起算，按以下标准确定：</w:t>
      </w:r>
    </w:p>
    <w:p>
      <w:pPr>
        <w:pageBreakBefore w:val="0"/>
        <w:widowControl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FangSong_GB2312" w:eastAsia="FangSong_GB2312"/>
          <w:sz w:val="32"/>
          <w:szCs w:val="32"/>
        </w:rPr>
      </w:pPr>
      <w:r>
        <w:rPr>
          <w:rFonts w:hint="eastAsia" w:ascii="FangSong_GB2312" w:hAnsi="FangSong_GB2312" w:eastAsia="FangSong_GB2312" w:cs="FangSong_GB2312"/>
          <w:sz w:val="32"/>
          <w:szCs w:val="32"/>
        </w:rPr>
        <w:t>（一）根据建筑高度、建筑面积确定，详见表1：</w:t>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92"/>
        <w:gridCol w:w="2691"/>
        <w:gridCol w:w="1888"/>
        <w:gridCol w:w="33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3" w:hRule="atLeast"/>
          <w:jc w:val="center"/>
        </w:trPr>
        <w:tc>
          <w:tcPr>
            <w:tcW w:w="992"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line="240" w:lineRule="exact"/>
              <w:jc w:val="center"/>
              <w:textAlignment w:val="center"/>
              <w:rPr>
                <w:rFonts w:hint="eastAsia" w:ascii="宋体" w:hAnsi="宋体" w:cs="宋体"/>
                <w:b/>
                <w:color w:val="000000"/>
                <w:sz w:val="21"/>
                <w:szCs w:val="21"/>
              </w:rPr>
            </w:pPr>
            <w:r>
              <w:rPr>
                <w:rFonts w:hint="eastAsia" w:ascii="宋体" w:hAnsi="宋体" w:cs="宋体"/>
                <w:b/>
                <w:color w:val="000000"/>
                <w:kern w:val="0"/>
                <w:sz w:val="21"/>
                <w:szCs w:val="21"/>
                <w:lang w:bidi="ar"/>
              </w:rPr>
              <w:t>建筑高度</w:t>
            </w:r>
          </w:p>
        </w:tc>
        <w:tc>
          <w:tcPr>
            <w:tcW w:w="2691"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line="240" w:lineRule="exact"/>
              <w:jc w:val="center"/>
              <w:textAlignment w:val="center"/>
              <w:rPr>
                <w:rFonts w:hint="eastAsia" w:ascii="宋体" w:hAnsi="宋体" w:cs="宋体"/>
                <w:b/>
                <w:color w:val="000000"/>
                <w:sz w:val="21"/>
                <w:szCs w:val="21"/>
              </w:rPr>
            </w:pPr>
            <w:r>
              <w:rPr>
                <w:rFonts w:hint="eastAsia" w:ascii="宋体" w:hAnsi="宋体" w:cs="宋体"/>
                <w:b/>
                <w:color w:val="000000"/>
                <w:kern w:val="0"/>
                <w:sz w:val="21"/>
                <w:szCs w:val="21"/>
                <w:lang w:bidi="ar"/>
              </w:rPr>
              <w:t>计容积率建筑面积（L）</w:t>
            </w:r>
          </w:p>
        </w:tc>
        <w:tc>
          <w:tcPr>
            <w:tcW w:w="1888"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line="240" w:lineRule="exact"/>
              <w:jc w:val="center"/>
              <w:textAlignment w:val="center"/>
              <w:rPr>
                <w:rFonts w:hint="eastAsia" w:ascii="宋体" w:hAnsi="宋体" w:cs="宋体"/>
                <w:color w:val="000000"/>
                <w:sz w:val="21"/>
                <w:szCs w:val="21"/>
              </w:rPr>
            </w:pPr>
            <w:r>
              <w:rPr>
                <w:rFonts w:hint="eastAsia" w:ascii="宋体" w:hAnsi="宋体" w:cs="宋体"/>
                <w:b/>
                <w:color w:val="000000"/>
                <w:kern w:val="0"/>
                <w:sz w:val="21"/>
                <w:szCs w:val="21"/>
                <w:lang w:bidi="ar"/>
              </w:rPr>
              <w:t>竣工期限（M）</w:t>
            </w:r>
          </w:p>
        </w:tc>
        <w:tc>
          <w:tcPr>
            <w:tcW w:w="3352"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line="240" w:lineRule="exact"/>
              <w:jc w:val="center"/>
              <w:textAlignment w:val="center"/>
              <w:rPr>
                <w:rFonts w:hint="eastAsia" w:ascii="宋体" w:hAnsi="宋体" w:cs="宋体"/>
                <w:b/>
                <w:color w:val="000000"/>
                <w:sz w:val="21"/>
                <w:szCs w:val="21"/>
              </w:rPr>
            </w:pPr>
            <w:r>
              <w:rPr>
                <w:rFonts w:hint="eastAsia" w:ascii="宋体" w:hAnsi="宋体" w:cs="宋体"/>
                <w:b/>
                <w:color w:val="000000"/>
                <w:kern w:val="0"/>
                <w:sz w:val="21"/>
                <w:szCs w:val="21"/>
                <w:lang w:bidi="ar"/>
              </w:rPr>
              <w:t>竣工期限内插法计算方式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3" w:hRule="atLeast"/>
          <w:jc w:val="center"/>
        </w:trPr>
        <w:tc>
          <w:tcPr>
            <w:tcW w:w="992" w:type="dxa"/>
            <w:vMerge w:val="restart"/>
            <w:tcBorders>
              <w:top w:val="single" w:color="000000" w:sz="4" w:space="0"/>
              <w:left w:val="single" w:color="000000" w:sz="4" w:space="0"/>
              <w:bottom w:val="nil"/>
              <w:right w:val="single" w:color="000000" w:sz="4" w:space="0"/>
              <w:tl2br w:val="nil"/>
              <w:tr2bl w:val="nil"/>
            </w:tcBorders>
            <w:noWrap w:val="0"/>
            <w:tcMar>
              <w:top w:w="15" w:type="dxa"/>
              <w:left w:w="15" w:type="dxa"/>
              <w:right w:w="15" w:type="dxa"/>
            </w:tcMar>
            <w:vAlign w:val="center"/>
          </w:tcPr>
          <w:p>
            <w:pPr>
              <w:widowControl/>
              <w:spacing w:beforeLines="0" w:afterLines="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＜200米</w:t>
            </w:r>
          </w:p>
        </w:tc>
        <w:tc>
          <w:tcPr>
            <w:tcW w:w="2691"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line="240" w:lineRule="exact"/>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L＜3万平方米</w:t>
            </w:r>
          </w:p>
        </w:tc>
        <w:tc>
          <w:tcPr>
            <w:tcW w:w="1888"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line="240" w:lineRule="exact"/>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30个月</w:t>
            </w:r>
          </w:p>
        </w:tc>
        <w:tc>
          <w:tcPr>
            <w:tcW w:w="3352" w:type="dxa"/>
            <w:vMerge w:val="restart"/>
            <w:tcBorders>
              <w:top w:val="single" w:color="000000" w:sz="4" w:space="0"/>
              <w:left w:val="single" w:color="000000" w:sz="4" w:space="0"/>
              <w:bottom w:val="nil"/>
              <w:right w:val="single" w:color="000000" w:sz="4" w:space="0"/>
              <w:tl2br w:val="nil"/>
              <w:tr2bl w:val="nil"/>
            </w:tcBorders>
            <w:noWrap w:val="0"/>
            <w:tcMar>
              <w:top w:w="15" w:type="dxa"/>
              <w:left w:w="15" w:type="dxa"/>
              <w:right w:w="15" w:type="dxa"/>
            </w:tcMar>
            <w:vAlign w:val="center"/>
          </w:tcPr>
          <w:p>
            <w:pPr>
              <w:widowControl/>
              <w:spacing w:before="157" w:beforeLines="50" w:afterLines="0" w:line="240" w:lineRule="exac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1.计容积率建筑面积L在3万至5万平方米之间的，根据内插法计算相应期限，详见公式：竣工期限M=M1+（M2-M1）×（L-L1）／（L2-L1）。</w:t>
            </w:r>
          </w:p>
          <w:p>
            <w:pPr>
              <w:widowControl/>
              <w:spacing w:before="157" w:beforeLines="50" w:afterLines="0" w:line="240" w:lineRule="exact"/>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2.计容积率建筑面积L在5万至8万平方米之间的，根据内插法计算相应期限，详见公式：竣工期限M=M2+（M3-M2）×（L-L2）／（L3-L2）。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3" w:hRule="atLeast"/>
          <w:jc w:val="center"/>
        </w:trPr>
        <w:tc>
          <w:tcPr>
            <w:tcW w:w="992" w:type="dxa"/>
            <w:vMerge w:val="continue"/>
            <w:tcBorders>
              <w:top w:val="nil"/>
              <w:left w:val="single" w:color="000000" w:sz="4" w:space="0"/>
              <w:bottom w:val="nil"/>
              <w:right w:val="single" w:color="000000" w:sz="4" w:space="0"/>
              <w:tl2br w:val="nil"/>
              <w:tr2bl w:val="nil"/>
            </w:tcBorders>
            <w:noWrap w:val="0"/>
            <w:tcMar>
              <w:top w:w="15" w:type="dxa"/>
              <w:left w:w="15" w:type="dxa"/>
              <w:right w:w="15" w:type="dxa"/>
            </w:tcMar>
            <w:vAlign w:val="center"/>
          </w:tcPr>
          <w:p>
            <w:pPr>
              <w:widowControl/>
              <w:spacing w:beforeLines="0" w:afterLines="0" w:line="240" w:lineRule="exact"/>
              <w:jc w:val="center"/>
              <w:textAlignment w:val="center"/>
              <w:rPr>
                <w:rFonts w:hint="eastAsia" w:ascii="宋体" w:hAnsi="宋体" w:cs="宋体"/>
                <w:color w:val="000000"/>
                <w:sz w:val="21"/>
                <w:szCs w:val="21"/>
              </w:rPr>
            </w:pPr>
          </w:p>
        </w:tc>
        <w:tc>
          <w:tcPr>
            <w:tcW w:w="2691"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L=3万平方米（L1）</w:t>
            </w:r>
          </w:p>
        </w:tc>
        <w:tc>
          <w:tcPr>
            <w:tcW w:w="1888"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30个月（M1）</w:t>
            </w:r>
          </w:p>
        </w:tc>
        <w:tc>
          <w:tcPr>
            <w:tcW w:w="3352" w:type="dxa"/>
            <w:vMerge w:val="continue"/>
            <w:tcBorders>
              <w:top w:val="nil"/>
              <w:left w:val="single" w:color="000000" w:sz="4" w:space="0"/>
              <w:bottom w:val="nil"/>
              <w:right w:val="single" w:color="000000" w:sz="4" w:space="0"/>
              <w:tl2br w:val="nil"/>
              <w:tr2bl w:val="nil"/>
            </w:tcBorders>
            <w:noWrap w:val="0"/>
            <w:tcMar>
              <w:top w:w="15" w:type="dxa"/>
              <w:left w:w="15" w:type="dxa"/>
              <w:right w:w="15" w:type="dxa"/>
            </w:tcMar>
            <w:vAlign w:val="center"/>
          </w:tcPr>
          <w:p>
            <w:pPr>
              <w:widowControl/>
              <w:spacing w:before="157" w:beforeLines="50" w:afterLines="0" w:line="240" w:lineRule="exact"/>
              <w:textAlignment w:val="center"/>
              <w:rPr>
                <w:rFonts w:hint="eastAsia" w:ascii="宋体" w:hAnsi="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3" w:hRule="atLeast"/>
          <w:jc w:val="center"/>
        </w:trPr>
        <w:tc>
          <w:tcPr>
            <w:tcW w:w="992" w:type="dxa"/>
            <w:vMerge w:val="continue"/>
            <w:tcBorders>
              <w:top w:val="nil"/>
              <w:left w:val="single" w:color="000000" w:sz="4" w:space="0"/>
              <w:bottom w:val="nil"/>
              <w:right w:val="single" w:color="000000" w:sz="4" w:space="0"/>
              <w:tl2br w:val="nil"/>
              <w:tr2bl w:val="nil"/>
            </w:tcBorders>
            <w:noWrap w:val="0"/>
            <w:tcMar>
              <w:top w:w="15" w:type="dxa"/>
              <w:left w:w="15" w:type="dxa"/>
              <w:right w:w="15" w:type="dxa"/>
            </w:tcMar>
            <w:vAlign w:val="center"/>
          </w:tcPr>
          <w:p>
            <w:pPr>
              <w:widowControl/>
              <w:spacing w:beforeLines="0" w:afterLines="0" w:line="240" w:lineRule="exact"/>
              <w:jc w:val="center"/>
              <w:textAlignment w:val="center"/>
              <w:rPr>
                <w:rFonts w:hint="eastAsia" w:ascii="宋体" w:hAnsi="宋体" w:cs="宋体"/>
                <w:color w:val="000000"/>
                <w:sz w:val="21"/>
                <w:szCs w:val="21"/>
              </w:rPr>
            </w:pPr>
          </w:p>
        </w:tc>
        <w:tc>
          <w:tcPr>
            <w:tcW w:w="2691"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line="240" w:lineRule="exact"/>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3万平方米＜L＜5万平方米</w:t>
            </w:r>
          </w:p>
        </w:tc>
        <w:tc>
          <w:tcPr>
            <w:tcW w:w="1888"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line="240" w:lineRule="exact"/>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根据内插法计算</w:t>
            </w:r>
          </w:p>
        </w:tc>
        <w:tc>
          <w:tcPr>
            <w:tcW w:w="3352" w:type="dxa"/>
            <w:vMerge w:val="continue"/>
            <w:tcBorders>
              <w:top w:val="nil"/>
              <w:left w:val="single" w:color="000000" w:sz="4" w:space="0"/>
              <w:bottom w:val="nil"/>
              <w:right w:val="single" w:color="000000" w:sz="4" w:space="0"/>
              <w:tl2br w:val="nil"/>
              <w:tr2bl w:val="nil"/>
            </w:tcBorders>
            <w:noWrap w:val="0"/>
            <w:tcMar>
              <w:top w:w="15" w:type="dxa"/>
              <w:left w:w="15" w:type="dxa"/>
              <w:right w:w="15" w:type="dxa"/>
            </w:tcMar>
            <w:vAlign w:val="center"/>
          </w:tcPr>
          <w:p>
            <w:pPr>
              <w:widowControl/>
              <w:spacing w:before="157" w:beforeLines="50" w:afterLines="0" w:line="240" w:lineRule="exact"/>
              <w:textAlignment w:val="center"/>
              <w:rPr>
                <w:rFonts w:hint="eastAsia" w:ascii="宋体" w:hAnsi="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3" w:hRule="atLeast"/>
          <w:jc w:val="center"/>
        </w:trPr>
        <w:tc>
          <w:tcPr>
            <w:tcW w:w="992" w:type="dxa"/>
            <w:vMerge w:val="continue"/>
            <w:tcBorders>
              <w:top w:val="nil"/>
              <w:left w:val="single" w:color="000000" w:sz="4" w:space="0"/>
              <w:bottom w:val="nil"/>
              <w:right w:val="single" w:color="000000" w:sz="4" w:space="0"/>
              <w:tl2br w:val="nil"/>
              <w:tr2bl w:val="nil"/>
            </w:tcBorders>
            <w:noWrap w:val="0"/>
            <w:tcMar>
              <w:top w:w="15" w:type="dxa"/>
              <w:left w:w="15" w:type="dxa"/>
              <w:right w:w="15" w:type="dxa"/>
            </w:tcMar>
            <w:vAlign w:val="center"/>
          </w:tcPr>
          <w:p>
            <w:pPr>
              <w:spacing w:beforeLines="0" w:afterLines="0" w:line="240" w:lineRule="exact"/>
              <w:jc w:val="center"/>
              <w:rPr>
                <w:rFonts w:hint="eastAsia" w:ascii="宋体" w:hAnsi="宋体" w:cs="宋体"/>
                <w:color w:val="000000"/>
                <w:sz w:val="21"/>
                <w:szCs w:val="21"/>
              </w:rPr>
            </w:pPr>
          </w:p>
        </w:tc>
        <w:tc>
          <w:tcPr>
            <w:tcW w:w="2691"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L=5万平方米（L2）</w:t>
            </w:r>
          </w:p>
        </w:tc>
        <w:tc>
          <w:tcPr>
            <w:tcW w:w="1888"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36个月（M2）</w:t>
            </w:r>
          </w:p>
        </w:tc>
        <w:tc>
          <w:tcPr>
            <w:tcW w:w="3352" w:type="dxa"/>
            <w:vMerge w:val="continue"/>
            <w:tcBorders>
              <w:top w:val="nil"/>
              <w:left w:val="single" w:color="000000" w:sz="4" w:space="0"/>
              <w:bottom w:val="nil"/>
              <w:right w:val="single" w:color="000000" w:sz="4" w:space="0"/>
              <w:tl2br w:val="nil"/>
              <w:tr2bl w:val="nil"/>
            </w:tcBorders>
            <w:noWrap w:val="0"/>
            <w:tcMar>
              <w:top w:w="15" w:type="dxa"/>
              <w:left w:w="15" w:type="dxa"/>
              <w:right w:w="15" w:type="dxa"/>
            </w:tcMar>
            <w:vAlign w:val="center"/>
          </w:tcPr>
          <w:p>
            <w:pPr>
              <w:widowControl/>
              <w:spacing w:beforeLines="0" w:afterLines="0" w:line="240" w:lineRule="exact"/>
              <w:jc w:val="left"/>
              <w:textAlignment w:val="center"/>
              <w:rPr>
                <w:rFonts w:hint="eastAsia" w:ascii="宋体" w:hAnsi="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3" w:hRule="atLeast"/>
          <w:jc w:val="center"/>
        </w:trPr>
        <w:tc>
          <w:tcPr>
            <w:tcW w:w="992" w:type="dxa"/>
            <w:vMerge w:val="continue"/>
            <w:tcBorders>
              <w:top w:val="nil"/>
              <w:left w:val="single" w:color="000000" w:sz="4" w:space="0"/>
              <w:bottom w:val="nil"/>
              <w:right w:val="single" w:color="000000" w:sz="4" w:space="0"/>
              <w:tl2br w:val="nil"/>
              <w:tr2bl w:val="nil"/>
            </w:tcBorders>
            <w:noWrap w:val="0"/>
            <w:tcMar>
              <w:top w:w="15" w:type="dxa"/>
              <w:left w:w="15" w:type="dxa"/>
              <w:right w:w="15" w:type="dxa"/>
            </w:tcMar>
            <w:vAlign w:val="center"/>
          </w:tcPr>
          <w:p>
            <w:pPr>
              <w:spacing w:beforeLines="0" w:afterLines="0" w:line="240" w:lineRule="exact"/>
              <w:jc w:val="center"/>
              <w:rPr>
                <w:rFonts w:hint="eastAsia" w:ascii="宋体" w:hAnsi="宋体" w:cs="宋体"/>
                <w:color w:val="000000"/>
                <w:sz w:val="21"/>
                <w:szCs w:val="21"/>
              </w:rPr>
            </w:pPr>
          </w:p>
        </w:tc>
        <w:tc>
          <w:tcPr>
            <w:tcW w:w="2691"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line="240" w:lineRule="exact"/>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5万平方米＜L＜8万平方米</w:t>
            </w:r>
          </w:p>
        </w:tc>
        <w:tc>
          <w:tcPr>
            <w:tcW w:w="1888"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line="240" w:lineRule="exact"/>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根据内插法计算</w:t>
            </w:r>
          </w:p>
        </w:tc>
        <w:tc>
          <w:tcPr>
            <w:tcW w:w="3352" w:type="dxa"/>
            <w:vMerge w:val="continue"/>
            <w:tcBorders>
              <w:top w:val="nil"/>
              <w:left w:val="single" w:color="000000" w:sz="4" w:space="0"/>
              <w:bottom w:val="nil"/>
              <w:right w:val="single" w:color="000000" w:sz="4" w:space="0"/>
              <w:tl2br w:val="nil"/>
              <w:tr2bl w:val="nil"/>
            </w:tcBorders>
            <w:noWrap w:val="0"/>
            <w:tcMar>
              <w:top w:w="15" w:type="dxa"/>
              <w:left w:w="15" w:type="dxa"/>
              <w:right w:w="15" w:type="dxa"/>
            </w:tcMar>
            <w:vAlign w:val="center"/>
          </w:tcPr>
          <w:p>
            <w:pPr>
              <w:spacing w:beforeLines="0" w:afterLines="0" w:line="240" w:lineRule="exact"/>
              <w:rPr>
                <w:rFonts w:hint="eastAsia" w:ascii="宋体" w:hAnsi="宋体" w:cs="宋体"/>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3" w:hRule="atLeast"/>
          <w:jc w:val="center"/>
        </w:trPr>
        <w:tc>
          <w:tcPr>
            <w:tcW w:w="992" w:type="dxa"/>
            <w:vMerge w:val="continue"/>
            <w:tcBorders>
              <w:top w:val="nil"/>
              <w:left w:val="single" w:color="000000" w:sz="4" w:space="0"/>
              <w:bottom w:val="nil"/>
              <w:right w:val="single" w:color="000000" w:sz="4" w:space="0"/>
              <w:tl2br w:val="nil"/>
              <w:tr2bl w:val="nil"/>
            </w:tcBorders>
            <w:noWrap w:val="0"/>
            <w:tcMar>
              <w:top w:w="15" w:type="dxa"/>
              <w:left w:w="15" w:type="dxa"/>
              <w:right w:w="15" w:type="dxa"/>
            </w:tcMar>
            <w:vAlign w:val="center"/>
          </w:tcPr>
          <w:p>
            <w:pPr>
              <w:spacing w:beforeLines="0" w:afterLines="0" w:line="240" w:lineRule="exact"/>
              <w:jc w:val="center"/>
              <w:rPr>
                <w:rFonts w:hint="eastAsia" w:ascii="宋体" w:hAnsi="宋体" w:cs="宋体"/>
                <w:color w:val="000000"/>
                <w:sz w:val="21"/>
                <w:szCs w:val="21"/>
              </w:rPr>
            </w:pPr>
          </w:p>
        </w:tc>
        <w:tc>
          <w:tcPr>
            <w:tcW w:w="2691"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L=8万平方米（L3）</w:t>
            </w:r>
          </w:p>
        </w:tc>
        <w:tc>
          <w:tcPr>
            <w:tcW w:w="1888"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42个月（M3）</w:t>
            </w:r>
          </w:p>
        </w:tc>
        <w:tc>
          <w:tcPr>
            <w:tcW w:w="3352" w:type="dxa"/>
            <w:vMerge w:val="continue"/>
            <w:tcBorders>
              <w:top w:val="nil"/>
              <w:left w:val="single" w:color="000000" w:sz="4" w:space="0"/>
              <w:bottom w:val="nil"/>
              <w:right w:val="single" w:color="000000" w:sz="4" w:space="0"/>
              <w:tl2br w:val="nil"/>
              <w:tr2bl w:val="nil"/>
            </w:tcBorders>
            <w:noWrap w:val="0"/>
            <w:tcMar>
              <w:top w:w="15" w:type="dxa"/>
              <w:left w:w="15" w:type="dxa"/>
              <w:right w:w="15" w:type="dxa"/>
            </w:tcMar>
            <w:vAlign w:val="center"/>
          </w:tcPr>
          <w:p>
            <w:pPr>
              <w:spacing w:beforeLines="0" w:afterLines="0" w:line="240" w:lineRule="exact"/>
              <w:rPr>
                <w:rFonts w:hint="eastAsia" w:ascii="宋体" w:hAnsi="宋体" w:cs="宋体"/>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3" w:hRule="atLeast"/>
          <w:jc w:val="center"/>
        </w:trPr>
        <w:tc>
          <w:tcPr>
            <w:tcW w:w="992" w:type="dxa"/>
            <w:vMerge w:val="continue"/>
            <w:tcBorders>
              <w:top w:val="nil"/>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line="240" w:lineRule="exact"/>
              <w:jc w:val="center"/>
              <w:rPr>
                <w:rFonts w:hint="eastAsia" w:ascii="宋体" w:hAnsi="宋体" w:cs="宋体"/>
                <w:color w:val="000000"/>
                <w:sz w:val="21"/>
                <w:szCs w:val="21"/>
              </w:rPr>
            </w:pPr>
          </w:p>
        </w:tc>
        <w:tc>
          <w:tcPr>
            <w:tcW w:w="2691"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line="240" w:lineRule="exact"/>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L＞8万平方米</w:t>
            </w:r>
          </w:p>
        </w:tc>
        <w:tc>
          <w:tcPr>
            <w:tcW w:w="1888"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line="240" w:lineRule="exact"/>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42个月</w:t>
            </w:r>
          </w:p>
        </w:tc>
        <w:tc>
          <w:tcPr>
            <w:tcW w:w="3352" w:type="dxa"/>
            <w:vMerge w:val="continue"/>
            <w:tcBorders>
              <w:top w:val="nil"/>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line="240" w:lineRule="exact"/>
              <w:rPr>
                <w:rFonts w:hint="eastAsia" w:ascii="宋体" w:hAnsi="宋体" w:cs="宋体"/>
                <w:color w:val="000000"/>
                <w:sz w:val="22"/>
                <w:szCs w:val="24"/>
              </w:rPr>
            </w:pPr>
          </w:p>
        </w:tc>
      </w:tr>
    </w:tbl>
    <w:p>
      <w:pPr>
        <w:widowControl/>
        <w:spacing w:beforeLines="0" w:afterLines="0" w:line="600" w:lineRule="exact"/>
        <w:jc w:val="center"/>
        <w:textAlignment w:val="center"/>
        <w:rPr>
          <w:rFonts w:hint="eastAsia" w:ascii="FangSong_GB2312" w:eastAsia="FangSong_GB2312"/>
          <w:sz w:val="21"/>
          <w:szCs w:val="21"/>
          <w:lang w:bidi="ar"/>
        </w:rPr>
      </w:pPr>
      <w:r>
        <w:rPr>
          <w:rFonts w:hint="eastAsia" w:ascii="黑体" w:hAnsi="黑体" w:eastAsia="黑体" w:cs="黑体"/>
          <w:color w:val="1D1D1D"/>
          <w:kern w:val="0"/>
          <w:sz w:val="21"/>
          <w:szCs w:val="21"/>
          <w:lang w:bidi="ar"/>
        </w:rPr>
        <w:t>表1 竣工期限表</w:t>
      </w:r>
    </w:p>
    <w:p>
      <w:pPr>
        <w:keepNext w:val="0"/>
        <w:keepLines w:val="0"/>
        <w:pageBreakBefore w:val="0"/>
        <w:widowControl/>
        <w:kinsoku/>
        <w:wordWrap/>
        <w:overflowPunct/>
        <w:topLinePunct w:val="0"/>
        <w:autoSpaceDE/>
        <w:autoSpaceDN/>
        <w:bidi w:val="0"/>
        <w:adjustRightInd/>
        <w:snapToGrid/>
        <w:spacing w:beforeLines="0" w:afterLines="0" w:line="579" w:lineRule="exact"/>
        <w:ind w:firstLine="640" w:firstLineChars="200"/>
        <w:jc w:val="left"/>
        <w:textAlignment w:val="auto"/>
        <w:rPr>
          <w:rFonts w:hint="eastAsia" w:ascii="FangSong_GB2312" w:eastAsia="FangSong_GB2312"/>
          <w:sz w:val="32"/>
          <w:szCs w:val="32"/>
          <w:lang w:bidi="ar"/>
        </w:rPr>
      </w:pPr>
      <w:r>
        <w:rPr>
          <w:rFonts w:hint="eastAsia" w:ascii="FangSong_GB2312" w:eastAsia="FangSong_GB2312"/>
          <w:sz w:val="32"/>
          <w:szCs w:val="32"/>
          <w:lang w:bidi="ar"/>
        </w:rPr>
        <w:t>（二）建设用地项目建有地下空间的，根据单个地下室占地最大面积和地下室层数，在表</w:t>
      </w:r>
      <w:r>
        <w:rPr>
          <w:rFonts w:hint="eastAsia" w:ascii="FangSong_GB2312" w:eastAsia="PMingLiU"/>
          <w:sz w:val="32"/>
          <w:szCs w:val="32"/>
          <w:lang w:eastAsia="zh-HK" w:bidi="ar"/>
        </w:rPr>
        <w:t>1</w:t>
      </w:r>
      <w:r>
        <w:rPr>
          <w:rFonts w:hint="eastAsia" w:ascii="FangSong_GB2312" w:eastAsia="FangSong_GB2312"/>
          <w:sz w:val="32"/>
          <w:szCs w:val="32"/>
          <w:lang w:bidi="ar"/>
        </w:rPr>
        <w:t>的基础上再增加竣工期限（详见表2、表3），同时存在单个地下室占地面积≥2万平方米和地下室层数≥2层情形的，增加的竣工期限可以累加计算。</w:t>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610"/>
        <w:gridCol w:w="2629"/>
        <w:gridCol w:w="1710"/>
        <w:gridCol w:w="29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161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line="240" w:lineRule="exact"/>
              <w:jc w:val="center"/>
              <w:textAlignment w:val="center"/>
              <w:rPr>
                <w:rFonts w:hint="eastAsia" w:ascii="宋体" w:hAnsi="宋体" w:cs="宋体"/>
                <w:b/>
                <w:color w:val="000000"/>
                <w:kern w:val="0"/>
                <w:sz w:val="21"/>
                <w:szCs w:val="21"/>
                <w:lang w:bidi="ar"/>
              </w:rPr>
            </w:pPr>
            <w:r>
              <w:rPr>
                <w:rFonts w:hint="eastAsia" w:ascii="宋体" w:hAnsi="宋体" w:cs="宋体"/>
                <w:b/>
                <w:color w:val="000000"/>
                <w:kern w:val="0"/>
                <w:sz w:val="21"/>
                <w:szCs w:val="21"/>
                <w:lang w:bidi="ar"/>
              </w:rPr>
              <w:t>地下室层数（N）</w:t>
            </w:r>
          </w:p>
        </w:tc>
        <w:tc>
          <w:tcPr>
            <w:tcW w:w="2629"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line="240" w:lineRule="exact"/>
              <w:jc w:val="center"/>
              <w:textAlignment w:val="center"/>
              <w:rPr>
                <w:rFonts w:hint="eastAsia" w:ascii="宋体" w:hAnsi="宋体" w:cs="宋体"/>
                <w:b/>
                <w:color w:val="000000"/>
                <w:kern w:val="0"/>
                <w:sz w:val="21"/>
                <w:szCs w:val="21"/>
                <w:lang w:bidi="ar"/>
              </w:rPr>
            </w:pPr>
            <w:r>
              <w:rPr>
                <w:rFonts w:hint="eastAsia" w:ascii="宋体" w:hAnsi="宋体" w:cs="宋体"/>
                <w:b/>
                <w:color w:val="000000"/>
                <w:kern w:val="0"/>
                <w:sz w:val="21"/>
                <w:szCs w:val="21"/>
                <w:lang w:bidi="ar"/>
              </w:rPr>
              <w:t>单个地下室最大占地面积（S）</w:t>
            </w:r>
          </w:p>
        </w:tc>
        <w:tc>
          <w:tcPr>
            <w:tcW w:w="171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line="240" w:lineRule="exact"/>
              <w:jc w:val="center"/>
              <w:textAlignment w:val="center"/>
              <w:rPr>
                <w:rFonts w:hint="eastAsia" w:ascii="宋体" w:hAnsi="宋体" w:cs="宋体"/>
                <w:b/>
                <w:color w:val="000000"/>
                <w:kern w:val="0"/>
                <w:sz w:val="21"/>
                <w:szCs w:val="21"/>
                <w:lang w:bidi="ar"/>
              </w:rPr>
            </w:pPr>
            <w:r>
              <w:rPr>
                <w:rFonts w:hint="eastAsia" w:ascii="宋体" w:hAnsi="宋体" w:cs="宋体"/>
                <w:b/>
                <w:color w:val="000000"/>
                <w:kern w:val="0"/>
                <w:sz w:val="21"/>
                <w:szCs w:val="21"/>
                <w:lang w:bidi="ar"/>
              </w:rPr>
              <w:t>增加期限（月）</w:t>
            </w:r>
          </w:p>
        </w:tc>
        <w:tc>
          <w:tcPr>
            <w:tcW w:w="294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line="240" w:lineRule="exact"/>
              <w:jc w:val="center"/>
              <w:textAlignment w:val="center"/>
              <w:rPr>
                <w:rFonts w:hint="eastAsia" w:ascii="宋体" w:hAnsi="宋体" w:cs="宋体"/>
                <w:b/>
                <w:color w:val="000000"/>
                <w:kern w:val="0"/>
                <w:sz w:val="21"/>
                <w:szCs w:val="21"/>
                <w:lang w:bidi="ar"/>
              </w:rPr>
            </w:pPr>
            <w:r>
              <w:rPr>
                <w:rFonts w:hint="eastAsia" w:ascii="宋体" w:hAnsi="宋体" w:cs="宋体"/>
                <w:b/>
                <w:color w:val="000000"/>
                <w:kern w:val="0"/>
                <w:sz w:val="21"/>
                <w:szCs w:val="21"/>
                <w:lang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161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line="240" w:lineRule="exact"/>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N=1层</w:t>
            </w:r>
          </w:p>
        </w:tc>
        <w:tc>
          <w:tcPr>
            <w:tcW w:w="2629"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line="240" w:lineRule="exact"/>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2万平方米≤S＜5万平方米</w:t>
            </w:r>
          </w:p>
        </w:tc>
        <w:tc>
          <w:tcPr>
            <w:tcW w:w="171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line="240" w:lineRule="exact"/>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3</w:t>
            </w:r>
          </w:p>
        </w:tc>
        <w:tc>
          <w:tcPr>
            <w:tcW w:w="2940"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line="240" w:lineRule="exact"/>
              <w:jc w:val="left"/>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多个地下室的，以面积最大的地下室占地面积为准，多个地下室面积不作累加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1610"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line="240" w:lineRule="exact"/>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N≥2层</w:t>
            </w:r>
          </w:p>
        </w:tc>
        <w:tc>
          <w:tcPr>
            <w:tcW w:w="2629"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line="240" w:lineRule="exact"/>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2万平方米≤S＜3万平方米</w:t>
            </w:r>
          </w:p>
        </w:tc>
        <w:tc>
          <w:tcPr>
            <w:tcW w:w="171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line="240" w:lineRule="exact"/>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4</w:t>
            </w:r>
          </w:p>
        </w:tc>
        <w:tc>
          <w:tcPr>
            <w:tcW w:w="2940"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line="240" w:lineRule="exact"/>
              <w:jc w:val="center"/>
              <w:textAlignment w:val="center"/>
              <w:rPr>
                <w:rFonts w:hint="eastAsia" w:ascii="宋体" w:hAnsi="宋体" w:cs="宋体"/>
                <w:color w:val="000000"/>
                <w:kern w:val="0"/>
                <w:sz w:val="21"/>
                <w:szCs w:val="21"/>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1610"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line="240" w:lineRule="exact"/>
              <w:jc w:val="center"/>
              <w:textAlignment w:val="center"/>
              <w:rPr>
                <w:rFonts w:hint="eastAsia" w:ascii="宋体" w:hAnsi="宋体" w:cs="宋体"/>
                <w:color w:val="000000"/>
                <w:kern w:val="0"/>
                <w:sz w:val="21"/>
                <w:szCs w:val="21"/>
                <w:lang w:bidi="ar"/>
              </w:rPr>
            </w:pPr>
          </w:p>
        </w:tc>
        <w:tc>
          <w:tcPr>
            <w:tcW w:w="2629"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line="240" w:lineRule="exact"/>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3万平方米≤S＜4万平方米</w:t>
            </w:r>
          </w:p>
        </w:tc>
        <w:tc>
          <w:tcPr>
            <w:tcW w:w="171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line="240" w:lineRule="exact"/>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5</w:t>
            </w:r>
          </w:p>
        </w:tc>
        <w:tc>
          <w:tcPr>
            <w:tcW w:w="2940"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line="240" w:lineRule="exact"/>
              <w:jc w:val="center"/>
              <w:textAlignment w:val="center"/>
              <w:rPr>
                <w:rFonts w:hint="eastAsia" w:ascii="宋体" w:hAnsi="宋体" w:cs="宋体"/>
                <w:color w:val="000000"/>
                <w:kern w:val="0"/>
                <w:sz w:val="21"/>
                <w:szCs w:val="21"/>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1610"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line="240" w:lineRule="exact"/>
              <w:jc w:val="center"/>
              <w:textAlignment w:val="center"/>
              <w:rPr>
                <w:rFonts w:hint="eastAsia" w:ascii="宋体" w:hAnsi="宋体" w:cs="宋体"/>
                <w:color w:val="000000"/>
                <w:kern w:val="0"/>
                <w:sz w:val="21"/>
                <w:szCs w:val="21"/>
                <w:lang w:bidi="ar"/>
              </w:rPr>
            </w:pPr>
          </w:p>
        </w:tc>
        <w:tc>
          <w:tcPr>
            <w:tcW w:w="2629"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line="240" w:lineRule="exact"/>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4万平方米≤S＜5万平方米</w:t>
            </w:r>
          </w:p>
        </w:tc>
        <w:tc>
          <w:tcPr>
            <w:tcW w:w="171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line="240" w:lineRule="exact"/>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6</w:t>
            </w:r>
          </w:p>
        </w:tc>
        <w:tc>
          <w:tcPr>
            <w:tcW w:w="2940"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line="240" w:lineRule="exact"/>
              <w:jc w:val="center"/>
              <w:textAlignment w:val="center"/>
              <w:rPr>
                <w:rFonts w:hint="eastAsia" w:ascii="宋体" w:hAnsi="宋体" w:cs="宋体"/>
                <w:color w:val="000000"/>
                <w:kern w:val="0"/>
                <w:sz w:val="21"/>
                <w:szCs w:val="21"/>
                <w:lang w:bidi="ar"/>
              </w:rPr>
            </w:pPr>
          </w:p>
        </w:tc>
      </w:tr>
    </w:tbl>
    <w:p>
      <w:pPr>
        <w:widowControl/>
        <w:spacing w:beforeLines="0" w:afterLines="0" w:line="600" w:lineRule="exact"/>
        <w:jc w:val="center"/>
        <w:textAlignment w:val="center"/>
        <w:rPr>
          <w:rFonts w:hint="eastAsia" w:ascii="黑体" w:hAnsi="黑体" w:eastAsia="黑体" w:cs="黑体"/>
          <w:color w:val="1D1D1D"/>
          <w:spacing w:val="-6"/>
          <w:kern w:val="0"/>
          <w:sz w:val="21"/>
          <w:szCs w:val="21"/>
          <w:lang w:bidi="ar"/>
        </w:rPr>
      </w:pPr>
      <w:r>
        <w:rPr>
          <w:rFonts w:hint="eastAsia" w:ascii="黑体" w:hAnsi="黑体" w:eastAsia="黑体" w:cs="黑体"/>
          <w:color w:val="1D1D1D"/>
          <w:spacing w:val="-6"/>
          <w:kern w:val="0"/>
          <w:sz w:val="21"/>
          <w:szCs w:val="21"/>
          <w:lang w:bidi="ar"/>
        </w:rPr>
        <w:t>表2  单个地下室占地面积超过2万平方米的额外增加竣工期限表</w:t>
      </w:r>
    </w:p>
    <w:p>
      <w:pPr>
        <w:pStyle w:val="2"/>
        <w:spacing w:beforeLines="0" w:afterLines="0"/>
        <w:rPr>
          <w:rFonts w:hint="eastAsia"/>
          <w:sz w:val="21"/>
          <w:szCs w:val="22"/>
        </w:rPr>
      </w:pP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629"/>
        <w:gridCol w:w="2263"/>
        <w:gridCol w:w="39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2629"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line="240" w:lineRule="exact"/>
              <w:jc w:val="center"/>
              <w:textAlignment w:val="center"/>
              <w:rPr>
                <w:rFonts w:hint="eastAsia" w:ascii="宋体" w:hAnsi="宋体" w:cs="宋体"/>
                <w:b/>
                <w:color w:val="000000"/>
                <w:kern w:val="0"/>
                <w:sz w:val="21"/>
                <w:szCs w:val="21"/>
                <w:lang w:bidi="ar"/>
              </w:rPr>
            </w:pPr>
            <w:r>
              <w:rPr>
                <w:rFonts w:hint="eastAsia" w:ascii="宋体" w:hAnsi="宋体" w:cs="宋体"/>
                <w:b/>
                <w:color w:val="000000"/>
                <w:kern w:val="0"/>
                <w:sz w:val="21"/>
                <w:szCs w:val="21"/>
                <w:lang w:bidi="ar"/>
              </w:rPr>
              <w:t>地下室层数（N）</w:t>
            </w:r>
          </w:p>
        </w:tc>
        <w:tc>
          <w:tcPr>
            <w:tcW w:w="2263"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line="240" w:lineRule="exact"/>
              <w:jc w:val="center"/>
              <w:textAlignment w:val="center"/>
              <w:rPr>
                <w:rFonts w:hint="eastAsia" w:ascii="宋体" w:hAnsi="宋体" w:cs="宋体"/>
                <w:b/>
                <w:color w:val="000000"/>
                <w:kern w:val="0"/>
                <w:sz w:val="21"/>
                <w:szCs w:val="21"/>
                <w:lang w:bidi="ar"/>
              </w:rPr>
            </w:pPr>
            <w:r>
              <w:rPr>
                <w:rFonts w:hint="eastAsia" w:ascii="宋体" w:hAnsi="宋体" w:cs="宋体"/>
                <w:b/>
                <w:color w:val="000000"/>
                <w:kern w:val="0"/>
                <w:sz w:val="21"/>
                <w:szCs w:val="21"/>
                <w:lang w:bidi="ar"/>
              </w:rPr>
              <w:t>增加期限（月）</w:t>
            </w:r>
          </w:p>
        </w:tc>
        <w:tc>
          <w:tcPr>
            <w:tcW w:w="3947"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line="240" w:lineRule="exact"/>
              <w:jc w:val="center"/>
              <w:textAlignment w:val="center"/>
              <w:rPr>
                <w:rFonts w:hint="eastAsia" w:ascii="宋体" w:hAnsi="宋体" w:cs="宋体"/>
                <w:b/>
                <w:color w:val="000000"/>
                <w:kern w:val="0"/>
                <w:sz w:val="21"/>
                <w:szCs w:val="21"/>
                <w:lang w:bidi="ar"/>
              </w:rPr>
            </w:pPr>
            <w:r>
              <w:rPr>
                <w:rFonts w:hint="eastAsia" w:ascii="宋体" w:hAnsi="宋体" w:cs="宋体"/>
                <w:b/>
                <w:color w:val="000000"/>
                <w:kern w:val="0"/>
                <w:sz w:val="21"/>
                <w:szCs w:val="21"/>
                <w:lang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jc w:val="center"/>
        </w:trPr>
        <w:tc>
          <w:tcPr>
            <w:tcW w:w="2629"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N≥2层</w:t>
            </w:r>
          </w:p>
        </w:tc>
        <w:tc>
          <w:tcPr>
            <w:tcW w:w="2263"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3×（N-1）</w:t>
            </w:r>
          </w:p>
        </w:tc>
        <w:tc>
          <w:tcPr>
            <w:tcW w:w="3947"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line="240" w:lineRule="exact"/>
              <w:jc w:val="left"/>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仅一层地下结构的，坑深≥8米的视作2层、≥12米的视作3层</w:t>
            </w:r>
          </w:p>
        </w:tc>
      </w:tr>
    </w:tbl>
    <w:p>
      <w:pPr>
        <w:spacing w:beforeLines="0" w:afterLines="0" w:line="600" w:lineRule="exact"/>
        <w:ind w:firstLine="420" w:firstLineChars="200"/>
        <w:jc w:val="center"/>
        <w:rPr>
          <w:rFonts w:hint="eastAsia" w:ascii="黑体" w:hAnsi="黑体" w:eastAsia="黑体" w:cs="黑体"/>
          <w:sz w:val="32"/>
          <w:szCs w:val="32"/>
        </w:rPr>
      </w:pPr>
      <w:r>
        <w:rPr>
          <w:rFonts w:hint="eastAsia" w:ascii="黑体" w:hAnsi="黑体" w:eastAsia="黑体" w:cs="黑体"/>
          <w:sz w:val="21"/>
          <w:szCs w:val="21"/>
        </w:rPr>
        <w:t>表3地下室层数≥2层的额外增加竣工期限表</w:t>
      </w:r>
    </w:p>
    <w:p>
      <w:pPr>
        <w:pageBreakBefore w:val="0"/>
        <w:widowControl w:val="0"/>
        <w:numPr>
          <w:ilvl w:val="0"/>
          <w:numId w:val="1"/>
        </w:numPr>
        <w:kinsoku/>
        <w:wordWrap/>
        <w:overflowPunct/>
        <w:topLinePunct w:val="0"/>
        <w:autoSpaceDE/>
        <w:autoSpaceDN/>
        <w:bidi w:val="0"/>
        <w:adjustRightInd/>
        <w:snapToGrid/>
        <w:spacing w:beforeLines="0" w:afterLines="0" w:line="579" w:lineRule="exact"/>
        <w:ind w:firstLine="640" w:firstLineChars="200"/>
        <w:textAlignment w:val="auto"/>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建有建筑高度≥200米、大跨度场馆（跨度≥75米的）、</w:t>
      </w:r>
      <w:r>
        <w:rPr>
          <w:rFonts w:hint="eastAsia" w:ascii="FangSong_GB2312" w:eastAsia="FangSong_GB2312"/>
          <w:sz w:val="32"/>
          <w:szCs w:val="32"/>
        </w:rPr>
        <w:t>单个</w:t>
      </w:r>
      <w:r>
        <w:rPr>
          <w:rFonts w:hint="eastAsia" w:ascii="FangSong_GB2312" w:hAnsi="FangSong_GB2312" w:eastAsia="FangSong_GB2312" w:cs="FangSong_GB2312"/>
          <w:sz w:val="32"/>
          <w:szCs w:val="32"/>
        </w:rPr>
        <w:t>地下室占地面积≥5万平方米等具有特殊难度的建设用地项目，和采用新技术、新工艺、新材料、新设备的建设用地项目，以及特大型产业项目，可通过专家论证确定合理的建设期限。</w:t>
      </w:r>
    </w:p>
    <w:p>
      <w:pPr>
        <w:pageBreakBefore w:val="0"/>
        <w:widowControl w:val="0"/>
        <w:kinsoku/>
        <w:wordWrap/>
        <w:overflowPunct/>
        <w:topLinePunct w:val="0"/>
        <w:autoSpaceDE/>
        <w:autoSpaceDN/>
        <w:bidi w:val="0"/>
        <w:adjustRightInd/>
        <w:snapToGrid/>
        <w:spacing w:beforeLines="0" w:afterLines="0" w:line="579" w:lineRule="exact"/>
        <w:jc w:val="center"/>
        <w:textAlignment w:val="auto"/>
        <w:rPr>
          <w:rFonts w:hint="eastAsia" w:ascii="黑体" w:hAnsi="黑体" w:eastAsia="黑体" w:cs="黑体"/>
          <w:color w:val="1D1D1D"/>
          <w:kern w:val="0"/>
          <w:sz w:val="21"/>
          <w:szCs w:val="21"/>
          <w:lang w:bidi="ar"/>
        </w:rPr>
      </w:pPr>
      <w:r>
        <w:rPr>
          <w:rFonts w:hint="eastAsia" w:ascii="FangSong_GB2312" w:eastAsia="FangSong_GB2312" w:cs="FangSong_GB2312"/>
          <w:sz w:val="32"/>
          <w:szCs w:val="32"/>
        </w:rPr>
        <w:t xml:space="preserve">         </w:t>
      </w:r>
    </w:p>
    <w:p>
      <w:pPr>
        <w:pageBreakBefore w:val="0"/>
        <w:widowControl w:val="0"/>
        <w:kinsoku/>
        <w:wordWrap/>
        <w:overflowPunct/>
        <w:topLinePunct w:val="0"/>
        <w:autoSpaceDE/>
        <w:autoSpaceDN/>
        <w:bidi w:val="0"/>
        <w:adjustRightInd/>
        <w:snapToGrid/>
        <w:spacing w:beforeLines="0" w:afterLines="0" w:line="579"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第六条 </w:t>
      </w:r>
    </w:p>
    <w:p>
      <w:pPr>
        <w:pageBreakBefore w:val="0"/>
        <w:widowControl w:val="0"/>
        <w:kinsoku/>
        <w:wordWrap/>
        <w:overflowPunct/>
        <w:topLinePunct w:val="0"/>
        <w:autoSpaceDE/>
        <w:autoSpaceDN/>
        <w:bidi w:val="0"/>
        <w:adjustRightInd/>
        <w:snapToGrid/>
        <w:spacing w:beforeLines="0" w:afterLines="0" w:line="579"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综合用地建设期限的设定标准</w:t>
      </w:r>
    </w:p>
    <w:p>
      <w:pPr>
        <w:pStyle w:val="3"/>
        <w:pageBreakBefore w:val="0"/>
        <w:widowControl w:val="0"/>
        <w:kinsoku/>
        <w:wordWrap/>
        <w:overflowPunct/>
        <w:topLinePunct w:val="0"/>
        <w:autoSpaceDE/>
        <w:autoSpaceDN/>
        <w:bidi w:val="0"/>
        <w:adjustRightInd/>
        <w:snapToGrid/>
        <w:spacing w:beforeLines="0" w:afterLines="0" w:line="579" w:lineRule="exact"/>
        <w:textAlignment w:val="auto"/>
        <w:rPr>
          <w:rFonts w:hint="eastAsia"/>
          <w:sz w:val="32"/>
          <w:szCs w:val="24"/>
        </w:rPr>
      </w:pPr>
    </w:p>
    <w:p>
      <w:pPr>
        <w:pageBreakBefore w:val="0"/>
        <w:widowControl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出让用地同时包含住宅用途和其他用途的，按该宗出让用地的主要用途分别适用第四条或者第五条规定。</w:t>
      </w:r>
    </w:p>
    <w:p>
      <w:pPr>
        <w:pStyle w:val="2"/>
        <w:pageBreakBefore w:val="0"/>
        <w:widowControl w:val="0"/>
        <w:kinsoku/>
        <w:wordWrap/>
        <w:overflowPunct/>
        <w:topLinePunct w:val="0"/>
        <w:autoSpaceDE/>
        <w:autoSpaceDN/>
        <w:bidi w:val="0"/>
        <w:adjustRightInd/>
        <w:snapToGrid/>
        <w:spacing w:beforeLines="0" w:afterLines="0" w:line="579" w:lineRule="exact"/>
        <w:ind w:firstLine="640"/>
        <w:textAlignment w:val="auto"/>
        <w:rPr>
          <w:rFonts w:hint="eastAsia" w:ascii="FangSong_GB2312" w:eastAsia="FangSong_GB2312" w:cs="FangSong_GB2312"/>
          <w:sz w:val="32"/>
          <w:szCs w:val="32"/>
        </w:rPr>
      </w:pPr>
      <w:r>
        <w:rPr>
          <w:rFonts w:hint="eastAsia" w:ascii="FangSong_GB2312" w:eastAsia="FangSong_GB2312" w:cs="FangSong_GB2312"/>
          <w:sz w:val="32"/>
          <w:szCs w:val="32"/>
        </w:rPr>
        <w:t xml:space="preserve">     </w:t>
      </w:r>
    </w:p>
    <w:p>
      <w:pPr>
        <w:pStyle w:val="2"/>
        <w:pageBreakBefore w:val="0"/>
        <w:widowControl w:val="0"/>
        <w:kinsoku/>
        <w:wordWrap/>
        <w:overflowPunct/>
        <w:topLinePunct w:val="0"/>
        <w:autoSpaceDE/>
        <w:autoSpaceDN/>
        <w:bidi w:val="0"/>
        <w:adjustRightInd/>
        <w:snapToGrid/>
        <w:spacing w:beforeLines="0" w:afterLines="0" w:line="579" w:lineRule="exact"/>
        <w:ind w:firstLine="4160" w:firstLineChars="1300"/>
        <w:textAlignment w:val="auto"/>
        <w:rPr>
          <w:rFonts w:hint="eastAsia" w:ascii="黑体" w:hAnsi="黑体" w:eastAsia="黑体" w:cs="黑体"/>
          <w:sz w:val="32"/>
          <w:szCs w:val="32"/>
        </w:rPr>
      </w:pPr>
      <w:r>
        <w:rPr>
          <w:rFonts w:hint="eastAsia" w:ascii="黑体" w:hAnsi="黑体" w:eastAsia="黑体" w:cs="黑体"/>
          <w:sz w:val="32"/>
          <w:szCs w:val="32"/>
        </w:rPr>
        <w:t xml:space="preserve">第七条 </w:t>
      </w:r>
    </w:p>
    <w:p>
      <w:pPr>
        <w:pStyle w:val="2"/>
        <w:pageBreakBefore w:val="0"/>
        <w:widowControl w:val="0"/>
        <w:kinsoku/>
        <w:wordWrap/>
        <w:overflowPunct/>
        <w:topLinePunct w:val="0"/>
        <w:autoSpaceDE/>
        <w:autoSpaceDN/>
        <w:bidi w:val="0"/>
        <w:adjustRightInd/>
        <w:snapToGrid/>
        <w:spacing w:beforeLines="0" w:afterLines="0" w:line="579" w:lineRule="exact"/>
        <w:ind w:firstLine="2560" w:firstLineChars="800"/>
        <w:textAlignment w:val="auto"/>
        <w:rPr>
          <w:rFonts w:hint="eastAsia" w:ascii="黑体" w:hAnsi="黑体" w:eastAsia="黑体" w:cs="黑体"/>
          <w:sz w:val="32"/>
          <w:szCs w:val="32"/>
        </w:rPr>
      </w:pPr>
      <w:r>
        <w:rPr>
          <w:rFonts w:hint="eastAsia" w:ascii="黑体" w:hAnsi="黑体" w:eastAsia="黑体" w:cs="黑体"/>
          <w:sz w:val="32"/>
          <w:szCs w:val="32"/>
        </w:rPr>
        <w:t>软基处理工程可增加的建设期限</w:t>
      </w:r>
    </w:p>
    <w:p>
      <w:pPr>
        <w:pStyle w:val="2"/>
        <w:pageBreakBefore w:val="0"/>
        <w:widowControl w:val="0"/>
        <w:kinsoku/>
        <w:wordWrap/>
        <w:overflowPunct/>
        <w:topLinePunct w:val="0"/>
        <w:autoSpaceDE/>
        <w:autoSpaceDN/>
        <w:bidi w:val="0"/>
        <w:adjustRightInd/>
        <w:snapToGrid/>
        <w:spacing w:beforeLines="0" w:afterLines="0" w:line="579" w:lineRule="exact"/>
        <w:ind w:firstLine="640"/>
        <w:textAlignment w:val="auto"/>
        <w:rPr>
          <w:rFonts w:hint="eastAsia" w:ascii="FangSong_GB2312" w:eastAsia="FangSong_GB2312"/>
          <w:sz w:val="32"/>
          <w:szCs w:val="32"/>
        </w:rPr>
      </w:pPr>
      <w:r>
        <w:rPr>
          <w:rFonts w:hint="eastAsia" w:ascii="FangSong_GB2312" w:eastAsia="FangSong_GB2312" w:cs="FangSong_GB2312"/>
          <w:sz w:val="32"/>
          <w:szCs w:val="32"/>
        </w:rPr>
        <w:t>因地质条件复杂，已进行软基处理的，经土地使用权人申请，可按以下标准增加建设期限。</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009"/>
        <w:gridCol w:w="2241"/>
        <w:gridCol w:w="3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300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line="240" w:lineRule="exact"/>
              <w:jc w:val="center"/>
              <w:textAlignment w:val="center"/>
              <w:rPr>
                <w:rFonts w:hint="eastAsia" w:ascii="宋体" w:hAnsi="宋体" w:cs="宋体"/>
                <w:b/>
                <w:color w:val="000000"/>
                <w:sz w:val="21"/>
                <w:szCs w:val="21"/>
              </w:rPr>
            </w:pPr>
            <w:r>
              <w:rPr>
                <w:rFonts w:hint="eastAsia" w:ascii="宋体" w:hAnsi="宋体" w:cs="宋体"/>
                <w:b/>
                <w:color w:val="000000"/>
                <w:kern w:val="0"/>
                <w:sz w:val="21"/>
                <w:szCs w:val="21"/>
                <w:lang w:bidi="ar"/>
              </w:rPr>
              <w:t>软基处理用地面积（S）</w:t>
            </w:r>
          </w:p>
        </w:tc>
        <w:tc>
          <w:tcPr>
            <w:tcW w:w="2241"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line="240" w:lineRule="exact"/>
              <w:jc w:val="center"/>
              <w:textAlignment w:val="center"/>
              <w:rPr>
                <w:rFonts w:hint="eastAsia" w:ascii="宋体" w:hAnsi="宋体" w:cs="宋体"/>
                <w:b/>
                <w:color w:val="000000"/>
                <w:sz w:val="21"/>
                <w:szCs w:val="21"/>
              </w:rPr>
            </w:pPr>
            <w:r>
              <w:rPr>
                <w:rFonts w:hint="eastAsia" w:ascii="宋体" w:hAnsi="宋体" w:cs="宋体"/>
                <w:b/>
                <w:color w:val="000000"/>
                <w:kern w:val="0"/>
                <w:sz w:val="21"/>
                <w:szCs w:val="21"/>
                <w:lang w:bidi="ar"/>
              </w:rPr>
              <w:t>增加期限</w:t>
            </w:r>
          </w:p>
        </w:tc>
        <w:tc>
          <w:tcPr>
            <w:tcW w:w="377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line="240" w:lineRule="exact"/>
              <w:jc w:val="center"/>
              <w:textAlignment w:val="center"/>
              <w:rPr>
                <w:rFonts w:hint="eastAsia" w:ascii="宋体" w:hAnsi="宋体" w:cs="宋体"/>
                <w:b/>
                <w:color w:val="000000"/>
                <w:kern w:val="0"/>
                <w:sz w:val="21"/>
                <w:szCs w:val="21"/>
                <w:lang w:bidi="ar"/>
              </w:rPr>
            </w:pPr>
            <w:r>
              <w:rPr>
                <w:rFonts w:hint="eastAsia" w:ascii="宋体" w:hAnsi="宋体" w:cs="宋体"/>
                <w:b/>
                <w:color w:val="000000"/>
                <w:kern w:val="0"/>
                <w:sz w:val="21"/>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300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line="240" w:lineRule="exact"/>
              <w:jc w:val="center"/>
              <w:textAlignment w:val="center"/>
              <w:rPr>
                <w:rFonts w:hint="eastAsia" w:ascii="宋体" w:hAnsi="宋体" w:cs="宋体"/>
                <w:b/>
                <w:color w:val="000000"/>
                <w:kern w:val="0"/>
                <w:sz w:val="21"/>
                <w:szCs w:val="21"/>
                <w:lang w:bidi="ar"/>
              </w:rPr>
            </w:pPr>
            <w:r>
              <w:rPr>
                <w:rFonts w:hint="eastAsia" w:ascii="宋体" w:hAnsi="宋体" w:cs="宋体"/>
                <w:b/>
                <w:color w:val="000000"/>
                <w:kern w:val="0"/>
                <w:sz w:val="21"/>
                <w:szCs w:val="21"/>
                <w:lang w:bidi="ar"/>
              </w:rPr>
              <w:t>S</w:t>
            </w:r>
            <w:r>
              <w:rPr>
                <w:rFonts w:hint="eastAsia" w:ascii="宋体" w:hAnsi="宋体" w:cs="宋体"/>
                <w:color w:val="000000"/>
                <w:kern w:val="0"/>
                <w:sz w:val="21"/>
                <w:szCs w:val="21"/>
                <w:lang w:bidi="ar"/>
              </w:rPr>
              <w:t>＜3万平方米</w:t>
            </w:r>
          </w:p>
        </w:tc>
        <w:tc>
          <w:tcPr>
            <w:tcW w:w="2241"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line="240" w:lineRule="exact"/>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4个月</w:t>
            </w:r>
          </w:p>
        </w:tc>
        <w:tc>
          <w:tcPr>
            <w:tcW w:w="3777" w:type="dxa"/>
            <w:vMerge w:val="restar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numPr>
                <w:ilvl w:val="0"/>
                <w:numId w:val="0"/>
              </w:numPr>
              <w:spacing w:beforeLines="0" w:afterLines="0" w:line="240" w:lineRule="exact"/>
              <w:jc w:val="left"/>
              <w:textAlignment w:val="center"/>
              <w:rPr>
                <w:rFonts w:hint="eastAsia"/>
                <w:sz w:val="21"/>
                <w:szCs w:val="24"/>
              </w:rPr>
            </w:pPr>
            <w:r>
              <w:rPr>
                <w:rFonts w:hint="eastAsia"/>
                <w:sz w:val="21"/>
                <w:szCs w:val="24"/>
              </w:rPr>
              <w:t>1.整宗用地仅部分用地作软基处理，可延长时间按已作软基处理工程用地占总用地面积的比例计算。</w:t>
            </w:r>
          </w:p>
          <w:p>
            <w:pPr>
              <w:pStyle w:val="2"/>
              <w:numPr>
                <w:ilvl w:val="0"/>
                <w:numId w:val="0"/>
              </w:numPr>
              <w:spacing w:beforeLines="0" w:afterLines="0" w:line="240" w:lineRule="exact"/>
              <w:ind w:firstLine="0" w:firstLineChars="0"/>
              <w:rPr>
                <w:rFonts w:hint="eastAsia"/>
                <w:sz w:val="21"/>
                <w:szCs w:val="22"/>
              </w:rPr>
            </w:pPr>
            <w:r>
              <w:rPr>
                <w:rFonts w:hint="eastAsia"/>
                <w:sz w:val="21"/>
                <w:szCs w:val="22"/>
              </w:rPr>
              <w:t>2.由土地使用权人按附件2要求提供软基处理相关施工证明文件申请增加期限。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jc w:val="center"/>
        </w:trPr>
        <w:tc>
          <w:tcPr>
            <w:tcW w:w="300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3万平方米≤</w:t>
            </w:r>
            <w:r>
              <w:rPr>
                <w:rFonts w:hint="eastAsia" w:ascii="宋体" w:hAnsi="宋体" w:cs="宋体"/>
                <w:b/>
                <w:color w:val="000000"/>
                <w:kern w:val="0"/>
                <w:sz w:val="21"/>
                <w:szCs w:val="21"/>
                <w:lang w:bidi="ar"/>
              </w:rPr>
              <w:t>S</w:t>
            </w:r>
            <w:r>
              <w:rPr>
                <w:rFonts w:hint="eastAsia" w:ascii="宋体" w:hAnsi="宋体" w:cs="宋体"/>
                <w:color w:val="000000"/>
                <w:kern w:val="0"/>
                <w:sz w:val="21"/>
                <w:szCs w:val="21"/>
                <w:lang w:bidi="ar"/>
              </w:rPr>
              <w:t>＜8万平方米</w:t>
            </w:r>
          </w:p>
        </w:tc>
        <w:tc>
          <w:tcPr>
            <w:tcW w:w="2241"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5个月</w:t>
            </w:r>
          </w:p>
        </w:tc>
        <w:tc>
          <w:tcPr>
            <w:tcW w:w="3777"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line="240" w:lineRule="exact"/>
              <w:jc w:val="center"/>
              <w:textAlignment w:val="center"/>
              <w:rPr>
                <w:rFonts w:hint="eastAsia" w:ascii="宋体" w:hAnsi="宋体" w:cs="宋体"/>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jc w:val="center"/>
        </w:trPr>
        <w:tc>
          <w:tcPr>
            <w:tcW w:w="300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line="240" w:lineRule="exact"/>
              <w:jc w:val="center"/>
              <w:textAlignment w:val="center"/>
              <w:rPr>
                <w:rFonts w:hint="eastAsia" w:ascii="宋体" w:hAnsi="宋体" w:cs="宋体"/>
                <w:color w:val="000000"/>
                <w:sz w:val="21"/>
                <w:szCs w:val="21"/>
              </w:rPr>
            </w:pPr>
            <w:r>
              <w:rPr>
                <w:rFonts w:hint="eastAsia" w:ascii="宋体" w:hAnsi="宋体" w:cs="宋体"/>
                <w:b/>
                <w:color w:val="000000"/>
                <w:kern w:val="0"/>
                <w:sz w:val="21"/>
                <w:szCs w:val="21"/>
                <w:lang w:bidi="ar"/>
              </w:rPr>
              <w:t>S</w:t>
            </w:r>
            <w:r>
              <w:rPr>
                <w:rFonts w:hint="eastAsia" w:ascii="宋体" w:hAnsi="宋体" w:cs="宋体"/>
                <w:color w:val="000000"/>
                <w:kern w:val="0"/>
                <w:sz w:val="21"/>
                <w:szCs w:val="21"/>
                <w:lang w:bidi="ar"/>
              </w:rPr>
              <w:t>≥8万平方米</w:t>
            </w:r>
          </w:p>
        </w:tc>
        <w:tc>
          <w:tcPr>
            <w:tcW w:w="2241"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6个月</w:t>
            </w:r>
          </w:p>
        </w:tc>
        <w:tc>
          <w:tcPr>
            <w:tcW w:w="3777"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line="240" w:lineRule="exact"/>
              <w:jc w:val="center"/>
              <w:textAlignment w:val="center"/>
              <w:rPr>
                <w:rFonts w:hint="eastAsia" w:ascii="宋体" w:hAnsi="宋体" w:cs="宋体"/>
                <w:color w:val="000000"/>
                <w:kern w:val="0"/>
                <w:sz w:val="21"/>
                <w:szCs w:val="21"/>
                <w:lang w:bidi="ar"/>
              </w:rPr>
            </w:pPr>
          </w:p>
        </w:tc>
      </w:tr>
    </w:tbl>
    <w:p>
      <w:pPr>
        <w:spacing w:beforeLines="0" w:afterLines="0" w:line="600" w:lineRule="exact"/>
        <w:jc w:val="center"/>
        <w:rPr>
          <w:rFonts w:hint="eastAsia" w:ascii="黑体" w:hAnsi="黑体" w:eastAsia="黑体" w:cs="黑体"/>
          <w:color w:val="1D1D1D"/>
          <w:kern w:val="0"/>
          <w:sz w:val="21"/>
          <w:szCs w:val="21"/>
          <w:lang w:bidi="ar"/>
        </w:rPr>
      </w:pPr>
      <w:r>
        <w:rPr>
          <w:rFonts w:hint="eastAsia" w:ascii="黑体" w:hAnsi="黑体" w:eastAsia="黑体" w:cs="黑体"/>
          <w:color w:val="1D1D1D"/>
          <w:kern w:val="0"/>
          <w:sz w:val="21"/>
          <w:szCs w:val="21"/>
          <w:lang w:bidi="ar"/>
        </w:rPr>
        <w:t>表4 软基处理可增加的建设期限</w:t>
      </w:r>
    </w:p>
    <w:p>
      <w:pPr>
        <w:pStyle w:val="2"/>
        <w:spacing w:beforeLines="0" w:afterLines="0"/>
        <w:rPr>
          <w:rFonts w:hint="eastAsia"/>
          <w:sz w:val="21"/>
          <w:szCs w:val="22"/>
        </w:rPr>
      </w:pPr>
    </w:p>
    <w:p>
      <w:pPr>
        <w:pStyle w:val="3"/>
        <w:spacing w:beforeLines="0" w:afterLines="0" w:line="600" w:lineRule="exact"/>
        <w:rPr>
          <w:rFonts w:hint="eastAsia"/>
          <w:sz w:val="32"/>
          <w:szCs w:val="24"/>
        </w:rPr>
      </w:pPr>
    </w:p>
    <w:p>
      <w:pPr>
        <w:pageBreakBefore w:val="0"/>
        <w:kinsoku/>
        <w:wordWrap/>
        <w:overflowPunct/>
        <w:topLinePunct w:val="0"/>
        <w:autoSpaceDE/>
        <w:autoSpaceDN/>
        <w:bidi w:val="0"/>
        <w:adjustRightInd/>
        <w:snapToGrid/>
        <w:spacing w:beforeLines="0" w:afterLines="0" w:line="579"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第八条 </w:t>
      </w:r>
    </w:p>
    <w:p>
      <w:pPr>
        <w:pageBreakBefore w:val="0"/>
        <w:kinsoku/>
        <w:wordWrap/>
        <w:overflowPunct/>
        <w:topLinePunct w:val="0"/>
        <w:autoSpaceDE/>
        <w:autoSpaceDN/>
        <w:bidi w:val="0"/>
        <w:adjustRightInd/>
        <w:snapToGrid/>
        <w:spacing w:beforeLines="0" w:afterLines="0" w:line="579"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土地使用权人的开发义务</w:t>
      </w:r>
    </w:p>
    <w:p>
      <w:pPr>
        <w:pStyle w:val="3"/>
        <w:pageBreakBefore w:val="0"/>
        <w:kinsoku/>
        <w:wordWrap/>
        <w:overflowPunct/>
        <w:topLinePunct w:val="0"/>
        <w:autoSpaceDE/>
        <w:autoSpaceDN/>
        <w:bidi w:val="0"/>
        <w:adjustRightInd/>
        <w:snapToGrid/>
        <w:spacing w:beforeLines="0" w:afterLines="0" w:line="579" w:lineRule="exact"/>
        <w:textAlignment w:val="auto"/>
        <w:rPr>
          <w:rFonts w:hint="eastAsia"/>
          <w:sz w:val="32"/>
          <w:szCs w:val="24"/>
        </w:rPr>
      </w:pPr>
    </w:p>
    <w:p>
      <w:pPr>
        <w:pageBreakBefore w:val="0"/>
        <w:kinsoku/>
        <w:wordWrap/>
        <w:overflowPunct/>
        <w:topLinePunct w:val="0"/>
        <w:autoSpaceDE/>
        <w:autoSpaceDN/>
        <w:bidi w:val="0"/>
        <w:adjustRightInd/>
        <w:snapToGrid/>
        <w:spacing w:beforeLines="0" w:afterLines="0" w:line="579" w:lineRule="exact"/>
        <w:ind w:firstLine="640" w:firstLineChars="200"/>
        <w:textAlignment w:val="auto"/>
        <w:rPr>
          <w:rFonts w:hint="default"/>
          <w:sz w:val="21"/>
          <w:szCs w:val="24"/>
        </w:rPr>
      </w:pPr>
      <w:r>
        <w:rPr>
          <w:rFonts w:hint="eastAsia" w:ascii="FangSong_GB2312" w:hAnsi="FangSong_GB2312" w:eastAsia="FangSong_GB2312" w:cs="FangSong_GB2312"/>
          <w:sz w:val="32"/>
          <w:szCs w:val="32"/>
        </w:rPr>
        <w:t>土地使用权人应当按土地供应合同或者划拨决定书载明的开工、竣工期限开发建设，并及时向合作区城市规划和建设局申报项目开工、竣工等</w:t>
      </w:r>
      <w:r>
        <w:rPr>
          <w:rFonts w:hint="eastAsia" w:ascii="FangSong_GB2312" w:hAnsi="FangSong_GB2312" w:eastAsia="FangSong_GB2312" w:cs="FangSong_GB2312"/>
          <w:color w:val="auto"/>
          <w:sz w:val="32"/>
          <w:szCs w:val="32"/>
        </w:rPr>
        <w:t>建设进度</w:t>
      </w:r>
      <w:r>
        <w:rPr>
          <w:rFonts w:hint="eastAsia" w:ascii="FangSong_GB2312" w:hAnsi="FangSong_GB2312" w:eastAsia="FangSong_GB2312" w:cs="FangSong_GB2312"/>
          <w:sz w:val="32"/>
          <w:szCs w:val="32"/>
        </w:rPr>
        <w:t>。合作区城市规划和建设局根据土地使用权人的申报情况以及现场巡查情况，必要时在合作区城市规划和建设局门户网站公示项目的建设进度。</w:t>
      </w:r>
    </w:p>
    <w:p>
      <w:pPr>
        <w:pStyle w:val="3"/>
        <w:pageBreakBefore w:val="0"/>
        <w:kinsoku/>
        <w:wordWrap/>
        <w:overflowPunct/>
        <w:topLinePunct w:val="0"/>
        <w:autoSpaceDE/>
        <w:autoSpaceDN/>
        <w:bidi w:val="0"/>
        <w:adjustRightInd/>
        <w:snapToGrid/>
        <w:spacing w:beforeLines="0" w:afterLines="0" w:line="579" w:lineRule="exact"/>
        <w:textAlignment w:val="auto"/>
        <w:rPr>
          <w:rFonts w:hint="eastAsia"/>
          <w:sz w:val="32"/>
          <w:szCs w:val="24"/>
        </w:rPr>
      </w:pPr>
    </w:p>
    <w:p>
      <w:pPr>
        <w:pageBreakBefore w:val="0"/>
        <w:kinsoku/>
        <w:wordWrap/>
        <w:overflowPunct/>
        <w:topLinePunct w:val="0"/>
        <w:autoSpaceDE/>
        <w:autoSpaceDN/>
        <w:bidi w:val="0"/>
        <w:adjustRightInd/>
        <w:snapToGrid/>
        <w:spacing w:beforeLines="0" w:afterLines="0" w:line="579"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第九条 </w:t>
      </w:r>
    </w:p>
    <w:p>
      <w:pPr>
        <w:pageBreakBefore w:val="0"/>
        <w:kinsoku/>
        <w:wordWrap/>
        <w:overflowPunct/>
        <w:topLinePunct w:val="0"/>
        <w:autoSpaceDE/>
        <w:autoSpaceDN/>
        <w:bidi w:val="0"/>
        <w:adjustRightInd/>
        <w:snapToGrid/>
        <w:spacing w:beforeLines="0" w:afterLines="0" w:line="579"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出让用地延期条件</w:t>
      </w:r>
    </w:p>
    <w:p>
      <w:pPr>
        <w:pStyle w:val="3"/>
        <w:pageBreakBefore w:val="0"/>
        <w:kinsoku/>
        <w:wordWrap/>
        <w:overflowPunct/>
        <w:topLinePunct w:val="0"/>
        <w:autoSpaceDE/>
        <w:autoSpaceDN/>
        <w:bidi w:val="0"/>
        <w:adjustRightInd/>
        <w:snapToGrid/>
        <w:spacing w:beforeLines="0" w:afterLines="0" w:line="579" w:lineRule="exact"/>
        <w:textAlignment w:val="auto"/>
        <w:rPr>
          <w:rFonts w:hint="default"/>
          <w:sz w:val="32"/>
          <w:szCs w:val="24"/>
        </w:rPr>
      </w:pPr>
    </w:p>
    <w:p>
      <w:pPr>
        <w:pageBreakBefore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楷体" w:hAnsi="楷体" w:eastAsia="楷体" w:cs="楷体"/>
          <w:sz w:val="32"/>
          <w:szCs w:val="32"/>
        </w:rPr>
      </w:pPr>
      <w:r>
        <w:rPr>
          <w:rFonts w:hint="eastAsia" w:ascii="FangSong_GB2312" w:eastAsia="FangSong_GB2312" w:cs="FangSong_GB2312"/>
          <w:sz w:val="32"/>
          <w:szCs w:val="32"/>
        </w:rPr>
        <w:t>土地出让合同约定的开发期限与本办法规定不一致的，从其约定，但土地使用权人按土地出让合同约定期限不足以按期开工或者竣工且符合本办法第四条、第五条和第七条规定情形的，可根据本办法规定申请调整建设期限。</w:t>
      </w:r>
    </w:p>
    <w:p>
      <w:pPr>
        <w:pageBreakBefore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FangSong_GB2312" w:eastAsia="FangSong_GB2312" w:cs="FangSong_GB2312"/>
          <w:sz w:val="32"/>
          <w:szCs w:val="32"/>
        </w:rPr>
      </w:pPr>
      <w:r>
        <w:rPr>
          <w:rFonts w:hint="eastAsia" w:ascii="FangSong_GB2312" w:eastAsia="FangSong_GB2312"/>
          <w:sz w:val="32"/>
          <w:szCs w:val="32"/>
        </w:rPr>
        <w:t>除前款规定外，土地使用权人由于下列原因导致出让用地不能按期开工或者竣工，且不属于闲置土地的，</w:t>
      </w:r>
      <w:r>
        <w:rPr>
          <w:rFonts w:hint="eastAsia" w:ascii="FangSong_GB2312" w:eastAsia="FangSong_GB2312" w:cs="FangSong_GB2312"/>
          <w:sz w:val="32"/>
          <w:szCs w:val="32"/>
        </w:rPr>
        <w:t>可以申请办理延期：</w:t>
      </w:r>
    </w:p>
    <w:p>
      <w:pPr>
        <w:pageBreakBefore w:val="0"/>
        <w:kinsoku/>
        <w:wordWrap/>
        <w:overflowPunct/>
        <w:topLinePunct w:val="0"/>
        <w:autoSpaceDE/>
        <w:autoSpaceDN/>
        <w:bidi w:val="0"/>
        <w:adjustRightInd/>
        <w:snapToGrid/>
        <w:spacing w:line="579" w:lineRule="exact"/>
        <w:ind w:firstLine="640" w:firstLineChars="200"/>
        <w:jc w:val="left"/>
        <w:textAlignment w:val="auto"/>
        <w:rPr>
          <w:rFonts w:hint="eastAsia" w:ascii="FangSong_GB2312" w:hAnsi="FangSong_GB2312" w:eastAsia="FangSong_GB2312"/>
          <w:sz w:val="32"/>
          <w:szCs w:val="24"/>
        </w:rPr>
      </w:pPr>
      <w:r>
        <w:rPr>
          <w:rFonts w:hint="eastAsia" w:ascii="FangSong_GB2312" w:hAnsi="FangSong_GB2312" w:eastAsia="FangSong_GB2312"/>
          <w:sz w:val="32"/>
          <w:szCs w:val="24"/>
        </w:rPr>
        <w:t>（一）因出让人未按照土地出让合同约定期限、条件将土地交付给土地使用权人，致使项目开工建设条件受影响的；</w:t>
      </w:r>
    </w:p>
    <w:p>
      <w:pPr>
        <w:pageBreakBefore w:val="0"/>
        <w:kinsoku/>
        <w:wordWrap/>
        <w:overflowPunct/>
        <w:topLinePunct w:val="0"/>
        <w:autoSpaceDE/>
        <w:autoSpaceDN/>
        <w:bidi w:val="0"/>
        <w:adjustRightInd/>
        <w:snapToGrid/>
        <w:spacing w:line="579" w:lineRule="exact"/>
        <w:ind w:firstLine="640" w:firstLineChars="200"/>
        <w:jc w:val="left"/>
        <w:textAlignment w:val="auto"/>
        <w:rPr>
          <w:rFonts w:hint="eastAsia" w:ascii="FangSong_GB2312" w:hAnsi="FangSong_GB2312" w:eastAsia="FangSong_GB2312"/>
          <w:sz w:val="32"/>
          <w:szCs w:val="24"/>
        </w:rPr>
      </w:pPr>
      <w:r>
        <w:rPr>
          <w:rFonts w:hint="eastAsia" w:ascii="FangSong_GB2312" w:hAnsi="FangSong_GB2312" w:eastAsia="FangSong_GB2312"/>
          <w:sz w:val="32"/>
          <w:szCs w:val="24"/>
        </w:rPr>
        <w:t>（二）</w:t>
      </w:r>
      <w:r>
        <w:rPr>
          <w:rFonts w:hint="eastAsia" w:ascii="FangSong_GB2312" w:eastAsia="FangSong_GB2312"/>
          <w:sz w:val="32"/>
          <w:szCs w:val="32"/>
        </w:rPr>
        <w:t>因土地利用总体规划、城乡规划或者国土空间规划等依法修改，需要对建设用地项目土地用途、规划条件进行修改的</w:t>
      </w:r>
      <w:r>
        <w:rPr>
          <w:rFonts w:hint="eastAsia" w:ascii="FangSong_GB2312" w:hAnsi="FangSong_GB2312" w:eastAsia="FangSong_GB2312"/>
          <w:sz w:val="32"/>
          <w:szCs w:val="24"/>
        </w:rPr>
        <w:t>；</w:t>
      </w:r>
    </w:p>
    <w:p>
      <w:pPr>
        <w:pageBreakBefore w:val="0"/>
        <w:kinsoku/>
        <w:wordWrap/>
        <w:overflowPunct/>
        <w:topLinePunct w:val="0"/>
        <w:autoSpaceDE/>
        <w:autoSpaceDN/>
        <w:bidi w:val="0"/>
        <w:adjustRightInd/>
        <w:snapToGrid/>
        <w:spacing w:line="579" w:lineRule="exact"/>
        <w:ind w:firstLine="640" w:firstLineChars="200"/>
        <w:jc w:val="left"/>
        <w:textAlignment w:val="auto"/>
        <w:rPr>
          <w:rFonts w:hint="eastAsia" w:ascii="FangSong_GB2312" w:hAnsi="FangSong_GB2312" w:eastAsia="FangSong_GB2312"/>
          <w:sz w:val="32"/>
          <w:szCs w:val="24"/>
        </w:rPr>
      </w:pPr>
      <w:r>
        <w:rPr>
          <w:rFonts w:hint="eastAsia" w:ascii="FangSong_GB2312" w:hAnsi="FangSong_GB2312" w:eastAsia="FangSong_GB2312"/>
          <w:sz w:val="32"/>
          <w:szCs w:val="24"/>
        </w:rPr>
        <w:t>（三）因有权机关出台相关政策，需要对约定的规划和建设条件进行修改或者增加行政审批时间的；</w:t>
      </w:r>
    </w:p>
    <w:p>
      <w:pPr>
        <w:pageBreakBefore w:val="0"/>
        <w:kinsoku/>
        <w:wordWrap/>
        <w:overflowPunct/>
        <w:topLinePunct w:val="0"/>
        <w:autoSpaceDE/>
        <w:autoSpaceDN/>
        <w:bidi w:val="0"/>
        <w:adjustRightInd/>
        <w:snapToGrid/>
        <w:spacing w:line="579" w:lineRule="exact"/>
        <w:ind w:firstLine="640" w:firstLineChars="200"/>
        <w:jc w:val="left"/>
        <w:textAlignment w:val="auto"/>
        <w:rPr>
          <w:rFonts w:hint="eastAsia" w:ascii="FangSong_GB2312" w:hAnsi="FangSong_GB2312" w:eastAsia="FangSong_GB2312"/>
          <w:sz w:val="32"/>
          <w:szCs w:val="24"/>
        </w:rPr>
      </w:pPr>
      <w:r>
        <w:rPr>
          <w:rFonts w:hint="eastAsia" w:ascii="FangSong_GB2312" w:hAnsi="FangSong_GB2312" w:eastAsia="FangSong_GB2312"/>
          <w:sz w:val="32"/>
          <w:szCs w:val="24"/>
        </w:rPr>
        <w:t>（四）因军事管制、文物保护等造成开工延迟或者停工的；</w:t>
      </w:r>
    </w:p>
    <w:p>
      <w:pPr>
        <w:pageBreakBefore w:val="0"/>
        <w:kinsoku/>
        <w:wordWrap/>
        <w:overflowPunct/>
        <w:topLinePunct w:val="0"/>
        <w:autoSpaceDE/>
        <w:autoSpaceDN/>
        <w:bidi w:val="0"/>
        <w:adjustRightInd/>
        <w:snapToGrid/>
        <w:spacing w:line="579" w:lineRule="exact"/>
        <w:ind w:firstLine="640" w:firstLineChars="200"/>
        <w:jc w:val="left"/>
        <w:textAlignment w:val="auto"/>
        <w:rPr>
          <w:rFonts w:hint="eastAsia" w:ascii="FangSong_GB2312" w:hAnsi="FangSong_GB2312" w:eastAsia="FangSong_GB2312"/>
          <w:sz w:val="32"/>
          <w:szCs w:val="24"/>
        </w:rPr>
      </w:pPr>
      <w:r>
        <w:rPr>
          <w:rFonts w:hint="eastAsia" w:ascii="FangSong_GB2312" w:hAnsi="FangSong_GB2312" w:eastAsia="FangSong_GB2312"/>
          <w:sz w:val="32"/>
          <w:szCs w:val="24"/>
        </w:rPr>
        <w:t>（五）涉及收地、调地及其他有权机关行为影响的；</w:t>
      </w:r>
    </w:p>
    <w:p>
      <w:pPr>
        <w:pageBreakBefore w:val="0"/>
        <w:kinsoku/>
        <w:wordWrap/>
        <w:overflowPunct/>
        <w:topLinePunct w:val="0"/>
        <w:autoSpaceDE/>
        <w:autoSpaceDN/>
        <w:bidi w:val="0"/>
        <w:adjustRightInd/>
        <w:snapToGrid/>
        <w:spacing w:line="579" w:lineRule="exact"/>
        <w:ind w:firstLine="640" w:firstLineChars="200"/>
        <w:jc w:val="left"/>
        <w:textAlignment w:val="auto"/>
        <w:rPr>
          <w:rFonts w:hint="eastAsia" w:ascii="FangSong_GB2312" w:hAnsi="FangSong_GB2312" w:eastAsia="FangSong_GB2312"/>
          <w:sz w:val="32"/>
          <w:szCs w:val="24"/>
        </w:rPr>
      </w:pPr>
      <w:r>
        <w:rPr>
          <w:rFonts w:hint="eastAsia" w:ascii="FangSong_GB2312" w:hAnsi="FangSong_GB2312" w:eastAsia="FangSong_GB2312"/>
          <w:sz w:val="32"/>
          <w:szCs w:val="24"/>
        </w:rPr>
        <w:t>（六）</w:t>
      </w:r>
      <w:r>
        <w:rPr>
          <w:rFonts w:hint="eastAsia" w:ascii="FangSong_GB2312" w:eastAsia="FangSong_GB2312" w:cs="FangSong_GB2312"/>
          <w:sz w:val="32"/>
          <w:szCs w:val="32"/>
        </w:rPr>
        <w:t>因重大赛事、会议、活动或者特殊节假日期间的交通限行或者停工，以及非企业自身原因的安全生产停工检查影响的</w:t>
      </w:r>
      <w:r>
        <w:rPr>
          <w:rFonts w:hint="eastAsia" w:ascii="FangSong_GB2312" w:hAnsi="FangSong_GB2312" w:eastAsia="FangSong_GB2312"/>
          <w:sz w:val="32"/>
          <w:szCs w:val="24"/>
        </w:rPr>
        <w:t>；</w:t>
      </w:r>
    </w:p>
    <w:p>
      <w:pPr>
        <w:pageBreakBefore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FangSong_GB2312" w:eastAsia="FangSong_GB2312" w:cs="FangSong_GB2312"/>
          <w:sz w:val="32"/>
          <w:szCs w:val="32"/>
        </w:rPr>
      </w:pPr>
      <w:r>
        <w:rPr>
          <w:rFonts w:hint="eastAsia" w:ascii="FangSong_GB2312" w:eastAsia="FangSong_GB2312" w:cs="FangSong_GB2312"/>
          <w:sz w:val="32"/>
          <w:szCs w:val="32"/>
        </w:rPr>
        <w:t>（七）因相邻的</w:t>
      </w:r>
      <w:r>
        <w:rPr>
          <w:rFonts w:hint="eastAsia" w:ascii="FangSong_GB2312" w:eastAsia="FangSong_GB2312"/>
          <w:sz w:val="32"/>
          <w:szCs w:val="32"/>
        </w:rPr>
        <w:t>工程施工行为</w:t>
      </w:r>
      <w:r>
        <w:rPr>
          <w:rFonts w:hint="eastAsia" w:ascii="FangSong_GB2312" w:eastAsia="FangSong_GB2312" w:cs="FangSong_GB2312"/>
          <w:sz w:val="32"/>
          <w:szCs w:val="32"/>
        </w:rPr>
        <w:t>直接导致建设用地项目施工暂停影响的；</w:t>
      </w:r>
    </w:p>
    <w:p>
      <w:pPr>
        <w:pageBreakBefore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FangSong_GB2312" w:eastAsia="FangSong_GB2312" w:cs="FangSong_GB2312"/>
          <w:sz w:val="32"/>
          <w:szCs w:val="32"/>
        </w:rPr>
      </w:pPr>
      <w:r>
        <w:rPr>
          <w:rFonts w:hint="eastAsia" w:ascii="FangSong_GB2312" w:eastAsia="FangSong_GB2312" w:cs="FangSong_GB2312"/>
          <w:sz w:val="32"/>
          <w:szCs w:val="32"/>
        </w:rPr>
        <w:t>（八）特大型产业项目受区域产业发展政策导向、行业开发特性影响的；</w:t>
      </w:r>
    </w:p>
    <w:p>
      <w:pPr>
        <w:pStyle w:val="2"/>
        <w:pageBreakBefore w:val="0"/>
        <w:kinsoku/>
        <w:wordWrap/>
        <w:overflowPunct/>
        <w:topLinePunct w:val="0"/>
        <w:autoSpaceDE/>
        <w:autoSpaceDN/>
        <w:bidi w:val="0"/>
        <w:adjustRightInd/>
        <w:snapToGrid/>
        <w:spacing w:beforeLines="0" w:afterLines="0" w:line="579" w:lineRule="exact"/>
        <w:textAlignment w:val="auto"/>
        <w:rPr>
          <w:rFonts w:hint="eastAsia" w:ascii="FangSong_GB2312" w:hAnsi="FangSong_GB2312" w:eastAsia="FangSong_GB2312"/>
          <w:sz w:val="32"/>
          <w:szCs w:val="22"/>
        </w:rPr>
      </w:pPr>
      <w:r>
        <w:rPr>
          <w:rFonts w:hint="eastAsia" w:ascii="FangSong_GB2312" w:hAnsi="FangSong_GB2312" w:eastAsia="FangSong_GB2312"/>
          <w:sz w:val="32"/>
          <w:szCs w:val="22"/>
        </w:rPr>
        <w:t>（九）因自然灾害等不可抗力、司法查封造成开工延迟或者停工的；</w:t>
      </w:r>
    </w:p>
    <w:p>
      <w:pPr>
        <w:pStyle w:val="2"/>
        <w:pageBreakBefore w:val="0"/>
        <w:kinsoku/>
        <w:wordWrap/>
        <w:overflowPunct/>
        <w:topLinePunct w:val="0"/>
        <w:autoSpaceDE/>
        <w:autoSpaceDN/>
        <w:bidi w:val="0"/>
        <w:adjustRightInd/>
        <w:snapToGrid/>
        <w:spacing w:beforeLines="0" w:afterLines="0" w:line="579" w:lineRule="exact"/>
        <w:ind w:firstLine="640"/>
        <w:textAlignment w:val="auto"/>
        <w:rPr>
          <w:rFonts w:hint="eastAsia" w:ascii="FangSong_GB2312" w:eastAsia="FangSong_GB2312" w:cs="FangSong_GB2312"/>
          <w:color w:val="auto"/>
          <w:sz w:val="32"/>
          <w:szCs w:val="32"/>
        </w:rPr>
      </w:pPr>
      <w:r>
        <w:rPr>
          <w:rFonts w:hint="eastAsia" w:ascii="FangSong_GB2312" w:eastAsia="FangSong_GB2312" w:cs="FangSong_GB2312"/>
          <w:color w:val="auto"/>
          <w:sz w:val="32"/>
          <w:szCs w:val="32"/>
        </w:rPr>
        <w:t>（十）其他合法可予以延期的情形。</w:t>
      </w:r>
    </w:p>
    <w:p>
      <w:pPr>
        <w:pageBreakBefore w:val="0"/>
        <w:kinsoku/>
        <w:wordWrap/>
        <w:overflowPunct/>
        <w:topLinePunct w:val="0"/>
        <w:autoSpaceDE/>
        <w:autoSpaceDN/>
        <w:bidi w:val="0"/>
        <w:adjustRightInd/>
        <w:snapToGrid/>
        <w:spacing w:beforeLines="0" w:afterLines="0" w:line="579" w:lineRule="exact"/>
        <w:ind w:firstLine="640"/>
        <w:jc w:val="center"/>
        <w:textAlignment w:val="auto"/>
        <w:rPr>
          <w:rFonts w:hint="eastAsia" w:ascii="黑体" w:hAnsi="黑体" w:eastAsia="黑体" w:cs="黑体"/>
          <w:sz w:val="32"/>
          <w:szCs w:val="32"/>
        </w:rPr>
      </w:pPr>
    </w:p>
    <w:p>
      <w:pPr>
        <w:pageBreakBefore w:val="0"/>
        <w:kinsoku/>
        <w:wordWrap/>
        <w:overflowPunct/>
        <w:topLinePunct w:val="0"/>
        <w:autoSpaceDE/>
        <w:autoSpaceDN/>
        <w:bidi w:val="0"/>
        <w:adjustRightInd/>
        <w:snapToGrid/>
        <w:spacing w:beforeLines="0" w:afterLines="0" w:line="579" w:lineRule="exact"/>
        <w:ind w:firstLine="640"/>
        <w:jc w:val="center"/>
        <w:textAlignment w:val="auto"/>
        <w:rPr>
          <w:rFonts w:hint="eastAsia" w:ascii="黑体" w:hAnsi="黑体" w:eastAsia="黑体" w:cs="黑体"/>
          <w:sz w:val="32"/>
          <w:szCs w:val="32"/>
        </w:rPr>
      </w:pPr>
      <w:r>
        <w:rPr>
          <w:rFonts w:hint="eastAsia" w:ascii="黑体" w:hAnsi="黑体" w:eastAsia="黑体" w:cs="黑体"/>
          <w:sz w:val="32"/>
          <w:szCs w:val="32"/>
        </w:rPr>
        <w:t>第十条</w:t>
      </w:r>
    </w:p>
    <w:p>
      <w:pPr>
        <w:pageBreakBefore w:val="0"/>
        <w:kinsoku/>
        <w:wordWrap/>
        <w:overflowPunct/>
        <w:topLinePunct w:val="0"/>
        <w:autoSpaceDE/>
        <w:autoSpaceDN/>
        <w:bidi w:val="0"/>
        <w:adjustRightInd/>
        <w:snapToGrid/>
        <w:spacing w:beforeLines="0" w:afterLines="0" w:line="579" w:lineRule="exact"/>
        <w:ind w:firstLine="640"/>
        <w:jc w:val="center"/>
        <w:textAlignment w:val="auto"/>
        <w:rPr>
          <w:rFonts w:hint="eastAsia" w:ascii="黑体" w:hAnsi="黑体" w:eastAsia="黑体" w:cs="黑体"/>
          <w:sz w:val="32"/>
          <w:szCs w:val="32"/>
        </w:rPr>
      </w:pPr>
      <w:r>
        <w:rPr>
          <w:rFonts w:hint="eastAsia" w:ascii="黑体" w:hAnsi="黑体" w:eastAsia="黑体" w:cs="黑体"/>
          <w:sz w:val="32"/>
          <w:szCs w:val="32"/>
        </w:rPr>
        <w:t>出让用地延期申请</w:t>
      </w:r>
    </w:p>
    <w:p>
      <w:pPr>
        <w:pStyle w:val="3"/>
        <w:pageBreakBefore w:val="0"/>
        <w:kinsoku/>
        <w:wordWrap/>
        <w:overflowPunct/>
        <w:topLinePunct w:val="0"/>
        <w:autoSpaceDE/>
        <w:autoSpaceDN/>
        <w:bidi w:val="0"/>
        <w:adjustRightInd/>
        <w:snapToGrid/>
        <w:spacing w:beforeLines="0" w:afterLines="0" w:line="579" w:lineRule="exact"/>
        <w:textAlignment w:val="auto"/>
        <w:rPr>
          <w:rFonts w:hint="eastAsia"/>
          <w:sz w:val="32"/>
          <w:szCs w:val="24"/>
        </w:rPr>
      </w:pPr>
    </w:p>
    <w:p>
      <w:pPr>
        <w:pageBreakBefore w:val="0"/>
        <w:kinsoku/>
        <w:wordWrap/>
        <w:overflowPunct/>
        <w:topLinePunct w:val="0"/>
        <w:autoSpaceDE/>
        <w:autoSpaceDN/>
        <w:bidi w:val="0"/>
        <w:adjustRightInd/>
        <w:snapToGrid/>
        <w:spacing w:beforeLines="0" w:afterLines="0" w:line="579" w:lineRule="exact"/>
        <w:ind w:firstLine="640"/>
        <w:textAlignment w:val="auto"/>
        <w:rPr>
          <w:rFonts w:hint="eastAsia" w:ascii="FangSong_GB2312" w:eastAsia="FangSong_GB2312" w:cs="FangSong_GB2312"/>
          <w:sz w:val="32"/>
          <w:szCs w:val="32"/>
        </w:rPr>
      </w:pPr>
      <w:r>
        <w:rPr>
          <w:rFonts w:hint="eastAsia" w:ascii="FangSong_GB2312" w:eastAsia="FangSong_GB2312" w:cs="FangSong_GB2312"/>
          <w:sz w:val="32"/>
          <w:szCs w:val="32"/>
        </w:rPr>
        <w:t>出让用地符合本办法第九条规定情形，不能按期开工、竣工的，土地使用权人应于开工、竣工期限届满前3个月内向合作区城市规划和建设局提出延期申请，并提供相应的证明材料。土地使用权人超过开工、竣工期限才提交延期申请，经审核后符合延期条件的，延长期限须扣减违约之日起至延期申请正式送达合作区城市规划和建设局之日止的时间。</w:t>
      </w:r>
    </w:p>
    <w:p>
      <w:pPr>
        <w:pageBreakBefore w:val="0"/>
        <w:kinsoku/>
        <w:wordWrap/>
        <w:overflowPunct/>
        <w:topLinePunct w:val="0"/>
        <w:autoSpaceDE/>
        <w:autoSpaceDN/>
        <w:bidi w:val="0"/>
        <w:adjustRightInd/>
        <w:snapToGrid/>
        <w:spacing w:beforeLines="0" w:afterLines="0" w:line="579" w:lineRule="exact"/>
        <w:ind w:firstLine="640" w:firstLineChars="200"/>
        <w:jc w:val="center"/>
        <w:textAlignment w:val="auto"/>
        <w:rPr>
          <w:rFonts w:hint="eastAsia" w:ascii="黑体" w:hAnsi="黑体" w:eastAsia="黑体" w:cs="黑体"/>
          <w:sz w:val="32"/>
          <w:szCs w:val="32"/>
        </w:rPr>
      </w:pPr>
    </w:p>
    <w:p>
      <w:pPr>
        <w:pageBreakBefore w:val="0"/>
        <w:kinsoku/>
        <w:wordWrap/>
        <w:overflowPunct/>
        <w:topLinePunct w:val="0"/>
        <w:autoSpaceDE/>
        <w:autoSpaceDN/>
        <w:bidi w:val="0"/>
        <w:adjustRightInd/>
        <w:snapToGrid/>
        <w:spacing w:beforeLines="0" w:afterLines="0" w:line="579"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第十一条</w:t>
      </w:r>
    </w:p>
    <w:p>
      <w:pPr>
        <w:pageBreakBefore w:val="0"/>
        <w:kinsoku/>
        <w:wordWrap/>
        <w:overflowPunct/>
        <w:topLinePunct w:val="0"/>
        <w:autoSpaceDE/>
        <w:autoSpaceDN/>
        <w:bidi w:val="0"/>
        <w:adjustRightInd/>
        <w:snapToGrid/>
        <w:spacing w:beforeLines="0" w:afterLines="0" w:line="579"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出让用地延期审查</w:t>
      </w:r>
    </w:p>
    <w:p>
      <w:pPr>
        <w:pageBreakBefore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FangSong_GB2312" w:eastAsia="FangSong_GB2312"/>
          <w:sz w:val="32"/>
          <w:szCs w:val="32"/>
        </w:rPr>
      </w:pPr>
    </w:p>
    <w:p>
      <w:pPr>
        <w:pageBreakBefore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FangSong_GB2312" w:eastAsia="FangSong_GB2312"/>
          <w:sz w:val="32"/>
          <w:szCs w:val="32"/>
        </w:rPr>
      </w:pPr>
      <w:r>
        <w:rPr>
          <w:rFonts w:hint="eastAsia" w:ascii="FangSong_GB2312" w:eastAsia="FangSong_GB2312"/>
          <w:sz w:val="32"/>
          <w:szCs w:val="32"/>
        </w:rPr>
        <w:t>合作区城市规划和建设局根据本办法规定负责对土地使用权人提出的事实情况和延期理由进行审查。必要时组织召开专家会，以专家意见作为事实认定和延长建设期限的参考依据。</w:t>
      </w:r>
    </w:p>
    <w:p>
      <w:pPr>
        <w:pageBreakBefore w:val="0"/>
        <w:kinsoku/>
        <w:wordWrap/>
        <w:overflowPunct/>
        <w:topLinePunct w:val="0"/>
        <w:autoSpaceDE/>
        <w:autoSpaceDN/>
        <w:bidi w:val="0"/>
        <w:adjustRightInd/>
        <w:snapToGrid/>
        <w:spacing w:beforeLines="0" w:afterLines="0" w:line="579" w:lineRule="exact"/>
        <w:ind w:firstLine="640" w:firstLineChars="200"/>
        <w:textAlignment w:val="auto"/>
        <w:rPr>
          <w:rFonts w:hint="eastAsia"/>
          <w:sz w:val="21"/>
          <w:szCs w:val="24"/>
        </w:rPr>
      </w:pPr>
      <w:r>
        <w:rPr>
          <w:rFonts w:hint="eastAsia" w:ascii="FangSong_GB2312" w:eastAsia="FangSong_GB2312"/>
          <w:sz w:val="32"/>
          <w:szCs w:val="32"/>
        </w:rPr>
        <w:t>属于本办法第五条第（三）项中特大型产业项目和符合第九条第二款第（八）项情形的，需由合作区城市规划和建设局会同特大型产业的行业主管部门共同组织专家会论证，以专家意见作为延长建设期限的参考依据。</w:t>
      </w:r>
    </w:p>
    <w:p>
      <w:pPr>
        <w:pStyle w:val="3"/>
        <w:pageBreakBefore w:val="0"/>
        <w:kinsoku/>
        <w:wordWrap/>
        <w:overflowPunct/>
        <w:topLinePunct w:val="0"/>
        <w:autoSpaceDE/>
        <w:autoSpaceDN/>
        <w:bidi w:val="0"/>
        <w:adjustRightInd/>
        <w:snapToGrid/>
        <w:spacing w:beforeLines="0" w:afterLines="0" w:line="579" w:lineRule="exact"/>
        <w:textAlignment w:val="auto"/>
        <w:rPr>
          <w:rFonts w:hint="eastAsia"/>
          <w:sz w:val="32"/>
          <w:szCs w:val="24"/>
        </w:rPr>
      </w:pPr>
    </w:p>
    <w:p>
      <w:pPr>
        <w:pageBreakBefore w:val="0"/>
        <w:kinsoku/>
        <w:wordWrap/>
        <w:overflowPunct/>
        <w:topLinePunct w:val="0"/>
        <w:autoSpaceDE/>
        <w:autoSpaceDN/>
        <w:bidi w:val="0"/>
        <w:adjustRightInd/>
        <w:snapToGrid/>
        <w:spacing w:beforeLines="0" w:afterLines="0" w:line="579"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第十二条</w:t>
      </w:r>
    </w:p>
    <w:p>
      <w:pPr>
        <w:pageBreakBefore w:val="0"/>
        <w:kinsoku/>
        <w:wordWrap/>
        <w:overflowPunct/>
        <w:topLinePunct w:val="0"/>
        <w:autoSpaceDE/>
        <w:autoSpaceDN/>
        <w:bidi w:val="0"/>
        <w:adjustRightInd/>
        <w:snapToGrid/>
        <w:spacing w:beforeLines="0" w:afterLines="0" w:line="579"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出让用地延期审批</w:t>
      </w:r>
    </w:p>
    <w:p>
      <w:pPr>
        <w:pageBreakBefore w:val="0"/>
        <w:kinsoku/>
        <w:wordWrap/>
        <w:overflowPunct/>
        <w:topLinePunct w:val="0"/>
        <w:autoSpaceDE/>
        <w:autoSpaceDN/>
        <w:bidi w:val="0"/>
        <w:adjustRightInd/>
        <w:snapToGrid/>
        <w:spacing w:beforeLines="0" w:afterLines="0" w:line="579" w:lineRule="exact"/>
        <w:ind w:firstLine="420" w:firstLineChars="200"/>
        <w:jc w:val="center"/>
        <w:textAlignment w:val="auto"/>
        <w:rPr>
          <w:rFonts w:hint="eastAsia"/>
          <w:sz w:val="21"/>
          <w:szCs w:val="24"/>
        </w:rPr>
      </w:pPr>
    </w:p>
    <w:p>
      <w:pPr>
        <w:pageBreakBefore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FangSong_GB2312" w:eastAsia="FangSong_GB2312"/>
          <w:sz w:val="32"/>
          <w:szCs w:val="32"/>
        </w:rPr>
      </w:pPr>
      <w:r>
        <w:rPr>
          <w:rFonts w:hint="eastAsia" w:ascii="FangSong_GB2312" w:eastAsia="FangSong_GB2312"/>
          <w:sz w:val="32"/>
          <w:szCs w:val="32"/>
        </w:rPr>
        <w:t>土地使用权人申请延期的，由合作区城市规划和建设局审查核实并完成内部审批后，将延期结果书面告知土地使用权人或者与土地使用权人签订土地出让合同补充协议。</w:t>
      </w:r>
    </w:p>
    <w:p>
      <w:pPr>
        <w:pageBreakBefore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FangSong_GB2312" w:eastAsia="FangSong_GB2312"/>
          <w:sz w:val="32"/>
          <w:szCs w:val="32"/>
        </w:rPr>
      </w:pPr>
      <w:r>
        <w:rPr>
          <w:rFonts w:hint="eastAsia" w:ascii="FangSong_GB2312" w:eastAsia="FangSong_GB2312"/>
          <w:sz w:val="32"/>
          <w:szCs w:val="32"/>
        </w:rPr>
        <w:t>出让用地经批准同意开工延期的，其竣工期限作相应顺延。</w:t>
      </w:r>
    </w:p>
    <w:p>
      <w:pPr>
        <w:pStyle w:val="3"/>
        <w:pageBreakBefore w:val="0"/>
        <w:kinsoku/>
        <w:wordWrap/>
        <w:overflowPunct/>
        <w:topLinePunct w:val="0"/>
        <w:autoSpaceDE/>
        <w:autoSpaceDN/>
        <w:bidi w:val="0"/>
        <w:adjustRightInd/>
        <w:snapToGrid/>
        <w:spacing w:beforeLines="0" w:afterLines="0" w:line="579" w:lineRule="exact"/>
        <w:textAlignment w:val="auto"/>
        <w:rPr>
          <w:rFonts w:hint="eastAsia"/>
          <w:sz w:val="32"/>
          <w:szCs w:val="24"/>
        </w:rPr>
      </w:pPr>
    </w:p>
    <w:p>
      <w:pPr>
        <w:pageBreakBefore w:val="0"/>
        <w:kinsoku/>
        <w:wordWrap/>
        <w:overflowPunct/>
        <w:topLinePunct w:val="0"/>
        <w:autoSpaceDE/>
        <w:autoSpaceDN/>
        <w:bidi w:val="0"/>
        <w:adjustRightInd/>
        <w:snapToGrid/>
        <w:spacing w:beforeLines="0" w:afterLines="0" w:line="579"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第十三条</w:t>
      </w:r>
    </w:p>
    <w:p>
      <w:pPr>
        <w:pageBreakBefore w:val="0"/>
        <w:kinsoku/>
        <w:wordWrap/>
        <w:overflowPunct/>
        <w:topLinePunct w:val="0"/>
        <w:autoSpaceDE/>
        <w:autoSpaceDN/>
        <w:bidi w:val="0"/>
        <w:adjustRightInd/>
        <w:snapToGrid/>
        <w:spacing w:beforeLines="0" w:afterLines="0" w:line="579"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违约金制度</w:t>
      </w:r>
    </w:p>
    <w:p>
      <w:pPr>
        <w:pStyle w:val="3"/>
        <w:pageBreakBefore w:val="0"/>
        <w:kinsoku/>
        <w:wordWrap/>
        <w:overflowPunct/>
        <w:topLinePunct w:val="0"/>
        <w:autoSpaceDE/>
        <w:autoSpaceDN/>
        <w:bidi w:val="0"/>
        <w:adjustRightInd/>
        <w:snapToGrid/>
        <w:spacing w:beforeLines="0" w:afterLines="0" w:line="579" w:lineRule="exact"/>
        <w:textAlignment w:val="auto"/>
        <w:rPr>
          <w:rFonts w:hint="eastAsia"/>
          <w:sz w:val="32"/>
          <w:szCs w:val="24"/>
        </w:rPr>
      </w:pPr>
    </w:p>
    <w:p>
      <w:pPr>
        <w:pageBreakBefore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FangSong_GB2312" w:eastAsia="FangSong_GB2312" w:cs="FangSong_GB2312"/>
          <w:sz w:val="32"/>
          <w:szCs w:val="32"/>
        </w:rPr>
      </w:pPr>
      <w:r>
        <w:rPr>
          <w:rFonts w:hint="eastAsia" w:ascii="FangSong_GB2312" w:eastAsia="FangSong_GB2312" w:cs="FangSong_GB2312"/>
          <w:sz w:val="32"/>
          <w:szCs w:val="32"/>
        </w:rPr>
        <w:t>除符合本办法第九条规定情形以外，出让用地土地使用权人不能按期开工或者竣工的，每延迟1日，土地使用权人应按照土地出让合同（协议）载明总地价款的0.5‰缴纳违约金。</w:t>
      </w:r>
    </w:p>
    <w:p>
      <w:pPr>
        <w:pageBreakBefore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FangSong_GB2312" w:eastAsia="FangSong_GB2312" w:cs="FangSong_GB2312"/>
          <w:sz w:val="32"/>
          <w:szCs w:val="32"/>
        </w:rPr>
      </w:pPr>
      <w:r>
        <w:rPr>
          <w:rFonts w:hint="eastAsia" w:ascii="FangSong_GB2312" w:eastAsia="FangSong_GB2312" w:cs="FangSong_GB2312"/>
          <w:sz w:val="32"/>
          <w:szCs w:val="32"/>
        </w:rPr>
        <w:t>分期开发建设的出让用地，土地使用权人未按期竣工的，按照未按期竣工计容积率建筑面积占应竣工计容积率总建筑面积的比例、违约天数和前款规定标准缴纳违约金。</w:t>
      </w:r>
    </w:p>
    <w:p>
      <w:pPr>
        <w:pageBreakBefore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FangSong_GB2312" w:eastAsia="FangSong_GB2312" w:cs="FangSong_GB2312"/>
          <w:sz w:val="32"/>
          <w:szCs w:val="32"/>
        </w:rPr>
      </w:pPr>
      <w:r>
        <w:rPr>
          <w:rFonts w:hint="eastAsia" w:ascii="FangSong_GB2312" w:eastAsia="FangSong_GB2312" w:cs="FangSong_GB2312"/>
          <w:sz w:val="32"/>
          <w:szCs w:val="32"/>
        </w:rPr>
        <w:t>已建计容积率建筑面积未达到土地出让合同（协议）约定的允许最大计容积率建筑面积，经土地使用权人申请，已认定竣工的，土地使用权人再申请剩余未使用建设指标建设并获批准，但新建建设项目超过土地出让合同约定期限或者本办法规定的期限竣工的，应按前款规定缴纳竣工违约金。</w:t>
      </w:r>
    </w:p>
    <w:p>
      <w:pPr>
        <w:pageBreakBefore w:val="0"/>
        <w:kinsoku/>
        <w:wordWrap/>
        <w:overflowPunct/>
        <w:topLinePunct w:val="0"/>
        <w:autoSpaceDE/>
        <w:autoSpaceDN/>
        <w:bidi w:val="0"/>
        <w:adjustRightInd/>
        <w:snapToGrid/>
        <w:spacing w:beforeLines="0" w:afterLines="0" w:line="579" w:lineRule="exact"/>
        <w:ind w:firstLine="420" w:firstLineChars="200"/>
        <w:textAlignment w:val="auto"/>
        <w:rPr>
          <w:rFonts w:hint="eastAsia" w:ascii="FangSong_GB2312" w:eastAsia="FangSong_GB2312" w:cs="FangSong_GB2312"/>
          <w:sz w:val="32"/>
          <w:szCs w:val="32"/>
        </w:rPr>
      </w:pPr>
      <w:r>
        <w:rPr>
          <w:rFonts w:hint="eastAsia"/>
          <w:sz w:val="21"/>
          <w:szCs w:val="24"/>
        </w:rPr>
        <w:t xml:space="preserve">  </w:t>
      </w:r>
      <w:r>
        <w:rPr>
          <w:rFonts w:hint="eastAsia" w:ascii="FangSong_GB2312" w:eastAsia="FangSong_GB2312" w:cs="FangSong_GB2312"/>
          <w:sz w:val="32"/>
          <w:szCs w:val="32"/>
        </w:rPr>
        <w:t>土地使用权人开工逾期、竣工逾期的，违约金按土地出让合同约定标准执行；土地出让合同及其补充协议未具体约定的，按照本办法规定标准执行。</w:t>
      </w:r>
    </w:p>
    <w:p>
      <w:pPr>
        <w:pageBreakBefore w:val="0"/>
        <w:kinsoku/>
        <w:wordWrap/>
        <w:overflowPunct/>
        <w:topLinePunct w:val="0"/>
        <w:autoSpaceDE/>
        <w:autoSpaceDN/>
        <w:bidi w:val="0"/>
        <w:adjustRightInd/>
        <w:snapToGrid/>
        <w:spacing w:beforeLines="0" w:afterLines="0" w:line="579" w:lineRule="exact"/>
        <w:textAlignment w:val="auto"/>
        <w:rPr>
          <w:rFonts w:hint="default"/>
          <w:sz w:val="21"/>
          <w:szCs w:val="24"/>
        </w:rPr>
      </w:pPr>
    </w:p>
    <w:p>
      <w:pPr>
        <w:pageBreakBefore w:val="0"/>
        <w:kinsoku/>
        <w:wordWrap/>
        <w:overflowPunct/>
        <w:topLinePunct w:val="0"/>
        <w:autoSpaceDE/>
        <w:autoSpaceDN/>
        <w:bidi w:val="0"/>
        <w:adjustRightInd/>
        <w:snapToGrid/>
        <w:spacing w:beforeLines="0" w:afterLines="0" w:line="579"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第十四条</w:t>
      </w:r>
    </w:p>
    <w:p>
      <w:pPr>
        <w:pageBreakBefore w:val="0"/>
        <w:kinsoku/>
        <w:wordWrap/>
        <w:overflowPunct/>
        <w:topLinePunct w:val="0"/>
        <w:autoSpaceDE/>
        <w:autoSpaceDN/>
        <w:bidi w:val="0"/>
        <w:adjustRightInd/>
        <w:snapToGrid/>
        <w:spacing w:beforeLines="0" w:afterLines="0" w:line="579"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违约审查处置</w:t>
      </w:r>
    </w:p>
    <w:p>
      <w:pPr>
        <w:pStyle w:val="3"/>
        <w:pageBreakBefore w:val="0"/>
        <w:kinsoku/>
        <w:wordWrap/>
        <w:overflowPunct/>
        <w:topLinePunct w:val="0"/>
        <w:autoSpaceDE/>
        <w:autoSpaceDN/>
        <w:bidi w:val="0"/>
        <w:adjustRightInd/>
        <w:snapToGrid/>
        <w:spacing w:beforeLines="0" w:afterLines="0" w:line="579" w:lineRule="exact"/>
        <w:textAlignment w:val="auto"/>
        <w:rPr>
          <w:rFonts w:hint="eastAsia"/>
          <w:sz w:val="32"/>
          <w:szCs w:val="24"/>
        </w:rPr>
      </w:pPr>
    </w:p>
    <w:p>
      <w:pPr>
        <w:pageBreakBefore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FangSong_GB2312" w:eastAsia="FangSong_GB2312" w:cs="FangSong_GB2312"/>
          <w:color w:val="FF0000"/>
          <w:sz w:val="32"/>
          <w:szCs w:val="32"/>
        </w:rPr>
      </w:pPr>
      <w:r>
        <w:rPr>
          <w:rFonts w:hint="eastAsia" w:ascii="FangSong_GB2312" w:eastAsia="FangSong_GB2312" w:cs="FangSong_GB2312"/>
          <w:sz w:val="32"/>
          <w:szCs w:val="32"/>
        </w:rPr>
        <w:t>除本办法第九条规定可以延期的情形以外，出让用地土地使用权人</w:t>
      </w:r>
      <w:r>
        <w:rPr>
          <w:rFonts w:hint="eastAsia" w:ascii="FangSong_GB2312" w:eastAsia="FangSong_GB2312"/>
          <w:sz w:val="32"/>
          <w:szCs w:val="32"/>
        </w:rPr>
        <w:t>因自身原因未能按期开工或者竣工的</w:t>
      </w:r>
      <w:r>
        <w:rPr>
          <w:rFonts w:hint="eastAsia" w:ascii="FangSong_GB2312" w:eastAsia="FangSong_GB2312" w:cs="FangSong_GB2312"/>
          <w:sz w:val="32"/>
          <w:szCs w:val="32"/>
        </w:rPr>
        <w:t>，合作区城市规划和建设局根据土地出让合同约定和本办法第十三条规定计算违约金，追究土地使用</w:t>
      </w:r>
      <w:r>
        <w:rPr>
          <w:rFonts w:hint="eastAsia" w:ascii="FangSong_GB2312" w:eastAsia="FangSong_GB2312"/>
          <w:sz w:val="32"/>
          <w:szCs w:val="32"/>
        </w:rPr>
        <w:t>权人的违约责任。</w:t>
      </w:r>
    </w:p>
    <w:p>
      <w:pPr>
        <w:pageBreakBefore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FangSong_GB2312" w:eastAsia="FangSong_GB2312" w:cs="FangSong_GB2312"/>
          <w:sz w:val="32"/>
          <w:szCs w:val="32"/>
        </w:rPr>
      </w:pPr>
      <w:r>
        <w:rPr>
          <w:rFonts w:hint="eastAsia" w:ascii="FangSong_GB2312" w:eastAsia="FangSong_GB2312" w:cs="FangSong_GB2312"/>
          <w:sz w:val="32"/>
          <w:szCs w:val="32"/>
        </w:rPr>
        <w:t>土地使用权人按期足额缴纳开工违约金后，由合作区城市规划和建设局延长出让用地与开工违约天数相当的开工期限，竣工期限顺延。竣工违约的，土地使用权人足额缴纳竣工违约金后，由合作区城市规划和建设局延长出让用地与竣工违约天数相当的竣工期限。</w:t>
      </w:r>
    </w:p>
    <w:p>
      <w:pPr>
        <w:pStyle w:val="3"/>
        <w:pageBreakBefore w:val="0"/>
        <w:kinsoku/>
        <w:wordWrap/>
        <w:overflowPunct/>
        <w:topLinePunct w:val="0"/>
        <w:autoSpaceDE/>
        <w:autoSpaceDN/>
        <w:bidi w:val="0"/>
        <w:adjustRightInd/>
        <w:snapToGrid/>
        <w:spacing w:beforeLines="0" w:afterLines="0" w:line="579" w:lineRule="exact"/>
        <w:textAlignment w:val="auto"/>
        <w:rPr>
          <w:rFonts w:hint="default"/>
          <w:sz w:val="32"/>
          <w:szCs w:val="24"/>
        </w:rPr>
      </w:pPr>
    </w:p>
    <w:p>
      <w:pPr>
        <w:pageBreakBefore w:val="0"/>
        <w:kinsoku/>
        <w:wordWrap/>
        <w:overflowPunct/>
        <w:topLinePunct w:val="0"/>
        <w:autoSpaceDE/>
        <w:autoSpaceDN/>
        <w:bidi w:val="0"/>
        <w:adjustRightInd/>
        <w:snapToGrid/>
        <w:spacing w:beforeLines="0" w:afterLines="0" w:line="579"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第十五条</w:t>
      </w:r>
    </w:p>
    <w:p>
      <w:pPr>
        <w:pageBreakBefore w:val="0"/>
        <w:kinsoku/>
        <w:wordWrap/>
        <w:overflowPunct/>
        <w:topLinePunct w:val="0"/>
        <w:autoSpaceDE/>
        <w:autoSpaceDN/>
        <w:bidi w:val="0"/>
        <w:adjustRightInd/>
        <w:snapToGrid/>
        <w:spacing w:beforeLines="0" w:afterLines="0" w:line="579"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划拨用地延期管理</w:t>
      </w:r>
    </w:p>
    <w:p>
      <w:pPr>
        <w:pStyle w:val="3"/>
        <w:pageBreakBefore w:val="0"/>
        <w:kinsoku/>
        <w:wordWrap/>
        <w:overflowPunct/>
        <w:topLinePunct w:val="0"/>
        <w:autoSpaceDE/>
        <w:autoSpaceDN/>
        <w:bidi w:val="0"/>
        <w:adjustRightInd/>
        <w:snapToGrid/>
        <w:spacing w:beforeLines="0" w:afterLines="0" w:line="579" w:lineRule="exact"/>
        <w:textAlignment w:val="auto"/>
        <w:rPr>
          <w:rFonts w:hint="eastAsia"/>
          <w:sz w:val="32"/>
          <w:szCs w:val="24"/>
        </w:rPr>
      </w:pPr>
    </w:p>
    <w:p>
      <w:pPr>
        <w:pageBreakBefore w:val="0"/>
        <w:kinsoku/>
        <w:wordWrap/>
        <w:overflowPunct/>
        <w:topLinePunct w:val="0"/>
        <w:autoSpaceDE/>
        <w:autoSpaceDN/>
        <w:bidi w:val="0"/>
        <w:adjustRightInd/>
        <w:snapToGrid/>
        <w:spacing w:beforeLines="0" w:afterLines="0" w:line="579" w:lineRule="exact"/>
        <w:textAlignment w:val="auto"/>
        <w:rPr>
          <w:rFonts w:hint="eastAsia"/>
          <w:sz w:val="21"/>
          <w:szCs w:val="24"/>
        </w:rPr>
      </w:pPr>
      <w:r>
        <w:rPr>
          <w:rFonts w:hint="eastAsia"/>
          <w:sz w:val="21"/>
          <w:szCs w:val="24"/>
        </w:rPr>
        <w:t xml:space="preserve">    </w:t>
      </w:r>
      <w:r>
        <w:rPr>
          <w:rFonts w:hint="eastAsia" w:ascii="FangSong_GB2312" w:eastAsia="FangSong_GB2312" w:cs="FangSong_GB2312"/>
          <w:sz w:val="32"/>
          <w:szCs w:val="32"/>
        </w:rPr>
        <w:t>以划拨方式供应的国有建设用地不能按期开工、竣工的，由土地使用权人向合作区城市规划和建设局提交延期申请，合作区城市规划和建设局可以参照本办法第九条第二款规定原因办理延期。</w:t>
      </w:r>
    </w:p>
    <w:p>
      <w:pPr>
        <w:pageBreakBefore w:val="0"/>
        <w:kinsoku/>
        <w:wordWrap/>
        <w:overflowPunct/>
        <w:topLinePunct w:val="0"/>
        <w:autoSpaceDE/>
        <w:autoSpaceDN/>
        <w:bidi w:val="0"/>
        <w:adjustRightInd/>
        <w:snapToGrid/>
        <w:spacing w:beforeLines="0" w:afterLines="0" w:line="579" w:lineRule="exact"/>
        <w:ind w:firstLine="640" w:firstLineChars="200"/>
        <w:jc w:val="center"/>
        <w:textAlignment w:val="auto"/>
        <w:rPr>
          <w:rFonts w:hint="eastAsia" w:ascii="黑体" w:hAnsi="黑体" w:eastAsia="黑体" w:cs="黑体"/>
          <w:sz w:val="32"/>
          <w:szCs w:val="32"/>
        </w:rPr>
      </w:pPr>
    </w:p>
    <w:p>
      <w:pPr>
        <w:pageBreakBefore w:val="0"/>
        <w:kinsoku/>
        <w:wordWrap/>
        <w:overflowPunct/>
        <w:topLinePunct w:val="0"/>
        <w:autoSpaceDE/>
        <w:autoSpaceDN/>
        <w:bidi w:val="0"/>
        <w:adjustRightInd/>
        <w:snapToGrid/>
        <w:spacing w:beforeLines="0" w:afterLines="0" w:line="579"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第十六条</w:t>
      </w:r>
    </w:p>
    <w:p>
      <w:pPr>
        <w:pageBreakBefore w:val="0"/>
        <w:kinsoku/>
        <w:wordWrap/>
        <w:overflowPunct/>
        <w:topLinePunct w:val="0"/>
        <w:autoSpaceDE/>
        <w:autoSpaceDN/>
        <w:bidi w:val="0"/>
        <w:adjustRightInd/>
        <w:snapToGrid/>
        <w:spacing w:beforeLines="0" w:afterLines="0" w:line="579"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其他方式供应土地的延期管理</w:t>
      </w:r>
    </w:p>
    <w:p>
      <w:pPr>
        <w:pStyle w:val="3"/>
        <w:pageBreakBefore w:val="0"/>
        <w:kinsoku/>
        <w:wordWrap/>
        <w:overflowPunct/>
        <w:topLinePunct w:val="0"/>
        <w:autoSpaceDE/>
        <w:autoSpaceDN/>
        <w:bidi w:val="0"/>
        <w:adjustRightInd/>
        <w:snapToGrid/>
        <w:spacing w:beforeLines="0" w:afterLines="0" w:line="579" w:lineRule="exact"/>
        <w:textAlignment w:val="auto"/>
        <w:rPr>
          <w:rFonts w:hint="eastAsia"/>
          <w:sz w:val="32"/>
          <w:szCs w:val="24"/>
        </w:rPr>
      </w:pPr>
    </w:p>
    <w:p>
      <w:pPr>
        <w:pageBreakBefore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FangSong_GB2312" w:eastAsia="FangSong_GB2312" w:cs="FangSong_GB2312"/>
          <w:sz w:val="32"/>
          <w:szCs w:val="32"/>
        </w:rPr>
      </w:pPr>
      <w:r>
        <w:rPr>
          <w:rFonts w:hint="eastAsia" w:ascii="FangSong_GB2312" w:eastAsia="FangSong_GB2312" w:cs="FangSong_GB2312"/>
          <w:sz w:val="32"/>
          <w:szCs w:val="32"/>
        </w:rPr>
        <w:t>以其他有偿方式供应的国有建设用地，需要办理延期或者涉及违约处置的，参照本办法出让用地的相关条款执行，以其他无偿方式供应的国有建设用地，需要办理延期的，参照本办法划拨用地的相关条款执行。</w:t>
      </w:r>
    </w:p>
    <w:p>
      <w:pPr>
        <w:pStyle w:val="3"/>
        <w:pageBreakBefore w:val="0"/>
        <w:kinsoku/>
        <w:wordWrap/>
        <w:overflowPunct/>
        <w:topLinePunct w:val="0"/>
        <w:autoSpaceDE/>
        <w:autoSpaceDN/>
        <w:bidi w:val="0"/>
        <w:adjustRightInd/>
        <w:snapToGrid/>
        <w:spacing w:beforeLines="0" w:afterLines="0" w:line="579" w:lineRule="exact"/>
        <w:textAlignment w:val="auto"/>
        <w:rPr>
          <w:rFonts w:hint="eastAsia"/>
          <w:sz w:val="32"/>
          <w:szCs w:val="24"/>
        </w:rPr>
      </w:pPr>
    </w:p>
    <w:p>
      <w:pPr>
        <w:pageBreakBefore w:val="0"/>
        <w:kinsoku/>
        <w:wordWrap/>
        <w:overflowPunct/>
        <w:topLinePunct w:val="0"/>
        <w:autoSpaceDE/>
        <w:autoSpaceDN/>
        <w:bidi w:val="0"/>
        <w:adjustRightInd/>
        <w:snapToGrid/>
        <w:spacing w:beforeLines="0" w:afterLines="0" w:line="579"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第十七条</w:t>
      </w:r>
    </w:p>
    <w:p>
      <w:pPr>
        <w:pageBreakBefore w:val="0"/>
        <w:kinsoku/>
        <w:wordWrap/>
        <w:overflowPunct/>
        <w:topLinePunct w:val="0"/>
        <w:autoSpaceDE/>
        <w:autoSpaceDN/>
        <w:bidi w:val="0"/>
        <w:adjustRightInd/>
        <w:snapToGrid/>
        <w:spacing w:beforeLines="0" w:afterLines="0" w:line="579"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闲置土地处置</w:t>
      </w:r>
    </w:p>
    <w:p>
      <w:pPr>
        <w:pStyle w:val="3"/>
        <w:pageBreakBefore w:val="0"/>
        <w:kinsoku/>
        <w:wordWrap/>
        <w:overflowPunct/>
        <w:topLinePunct w:val="0"/>
        <w:autoSpaceDE/>
        <w:autoSpaceDN/>
        <w:bidi w:val="0"/>
        <w:adjustRightInd/>
        <w:snapToGrid/>
        <w:spacing w:beforeLines="0" w:afterLines="0" w:line="579" w:lineRule="exact"/>
        <w:textAlignment w:val="auto"/>
        <w:rPr>
          <w:rFonts w:hint="eastAsia"/>
          <w:sz w:val="32"/>
          <w:szCs w:val="24"/>
        </w:rPr>
      </w:pPr>
    </w:p>
    <w:p>
      <w:pPr>
        <w:pageBreakBefore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FangSong_GB2312" w:eastAsia="FangSong_GB2312" w:cs="FangSong_GB2312"/>
          <w:sz w:val="32"/>
          <w:szCs w:val="32"/>
        </w:rPr>
      </w:pPr>
      <w:r>
        <w:rPr>
          <w:rFonts w:hint="eastAsia" w:ascii="FangSong_GB2312" w:eastAsia="FangSong_GB2312" w:cs="FangSong_GB2312"/>
          <w:sz w:val="32"/>
          <w:szCs w:val="32"/>
        </w:rPr>
        <w:t>土地使用权人未按土地供应合同或划拨决定书载明的期限动工开发，涉嫌构成闲置土地的，按闲置土地相关法律法规、规章及规范性文件规定处置。</w:t>
      </w:r>
    </w:p>
    <w:p>
      <w:pPr>
        <w:pStyle w:val="3"/>
        <w:pageBreakBefore w:val="0"/>
        <w:kinsoku/>
        <w:wordWrap/>
        <w:overflowPunct/>
        <w:topLinePunct w:val="0"/>
        <w:autoSpaceDE/>
        <w:autoSpaceDN/>
        <w:bidi w:val="0"/>
        <w:adjustRightInd/>
        <w:snapToGrid/>
        <w:spacing w:beforeLines="0" w:afterLines="0" w:line="579" w:lineRule="exact"/>
        <w:textAlignment w:val="auto"/>
        <w:rPr>
          <w:rFonts w:hint="eastAsia"/>
          <w:sz w:val="32"/>
          <w:szCs w:val="24"/>
        </w:rPr>
      </w:pPr>
    </w:p>
    <w:p>
      <w:pPr>
        <w:pStyle w:val="5"/>
        <w:pageBreakBefore w:val="0"/>
        <w:kinsoku/>
        <w:wordWrap/>
        <w:overflowPunct/>
        <w:topLinePunct w:val="0"/>
        <w:autoSpaceDE/>
        <w:autoSpaceDN/>
        <w:bidi w:val="0"/>
        <w:adjustRightInd/>
        <w:snapToGrid/>
        <w:spacing w:before="0" w:beforeAutospacing="0" w:after="0" w:afterAutospacing="0" w:line="579" w:lineRule="exact"/>
        <w:ind w:firstLine="640" w:firstLineChars="200"/>
        <w:jc w:val="center"/>
        <w:textAlignment w:val="auto"/>
        <w:rPr>
          <w:rFonts w:hint="eastAsia" w:ascii="黑体" w:hAnsi="黑体" w:eastAsia="黑体" w:cs="黑体"/>
          <w:sz w:val="32"/>
          <w:szCs w:val="32"/>
        </w:rPr>
      </w:pPr>
    </w:p>
    <w:p>
      <w:pPr>
        <w:pStyle w:val="5"/>
        <w:pageBreakBefore w:val="0"/>
        <w:kinsoku/>
        <w:wordWrap/>
        <w:overflowPunct/>
        <w:topLinePunct w:val="0"/>
        <w:autoSpaceDE/>
        <w:autoSpaceDN/>
        <w:bidi w:val="0"/>
        <w:adjustRightInd/>
        <w:snapToGrid/>
        <w:spacing w:before="0" w:beforeAutospacing="0" w:after="0" w:afterAutospacing="0" w:line="579"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第十八条</w:t>
      </w:r>
    </w:p>
    <w:p>
      <w:pPr>
        <w:pStyle w:val="5"/>
        <w:pageBreakBefore w:val="0"/>
        <w:kinsoku/>
        <w:wordWrap/>
        <w:overflowPunct/>
        <w:topLinePunct w:val="0"/>
        <w:autoSpaceDE/>
        <w:autoSpaceDN/>
        <w:bidi w:val="0"/>
        <w:adjustRightInd/>
        <w:snapToGrid/>
        <w:spacing w:before="0" w:beforeAutospacing="0" w:after="0" w:afterAutospacing="0" w:line="579"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解释权</w:t>
      </w:r>
    </w:p>
    <w:p>
      <w:pPr>
        <w:pStyle w:val="5"/>
        <w:pageBreakBefore w:val="0"/>
        <w:kinsoku/>
        <w:wordWrap/>
        <w:overflowPunct/>
        <w:topLinePunct w:val="0"/>
        <w:autoSpaceDE/>
        <w:autoSpaceDN/>
        <w:bidi w:val="0"/>
        <w:adjustRightInd/>
        <w:snapToGrid/>
        <w:spacing w:before="0" w:beforeAutospacing="0" w:after="0" w:afterAutospacing="0" w:line="579" w:lineRule="exact"/>
        <w:ind w:firstLine="640" w:firstLineChars="200"/>
        <w:jc w:val="center"/>
        <w:textAlignment w:val="auto"/>
        <w:rPr>
          <w:rFonts w:hint="eastAsia" w:ascii="FangSong_GB2312" w:hAnsi="Calibri" w:eastAsia="FangSong_GB2312" w:cs="FangSong_GB2312"/>
          <w:color w:val="auto"/>
          <w:kern w:val="2"/>
          <w:sz w:val="32"/>
          <w:szCs w:val="32"/>
        </w:rPr>
      </w:pPr>
    </w:p>
    <w:p>
      <w:pPr>
        <w:pStyle w:val="5"/>
        <w:pageBreakBefore w:val="0"/>
        <w:shd w:val="clear" w:color="auto" w:fill="FFFFFF"/>
        <w:kinsoku/>
        <w:wordWrap/>
        <w:overflowPunct/>
        <w:topLinePunct w:val="0"/>
        <w:autoSpaceDE/>
        <w:autoSpaceDN/>
        <w:bidi w:val="0"/>
        <w:adjustRightInd/>
        <w:snapToGrid/>
        <w:spacing w:before="0" w:beforeAutospacing="0" w:after="340" w:afterAutospacing="0" w:line="579" w:lineRule="exact"/>
        <w:ind w:firstLine="640" w:firstLineChars="200"/>
        <w:jc w:val="both"/>
        <w:textAlignment w:val="auto"/>
        <w:rPr>
          <w:rFonts w:hint="eastAsia" w:ascii="FangSong_GB2312" w:hAnsi="Calibri" w:eastAsia="FangSong_GB2312" w:cs="FangSong_GB2312"/>
          <w:color w:val="auto"/>
          <w:kern w:val="2"/>
          <w:sz w:val="32"/>
          <w:szCs w:val="32"/>
        </w:rPr>
      </w:pPr>
      <w:r>
        <w:rPr>
          <w:rFonts w:hint="eastAsia" w:ascii="FangSong_GB2312" w:hAnsi="Calibri" w:eastAsia="FangSong_GB2312" w:cs="FangSong_GB2312"/>
          <w:color w:val="auto"/>
          <w:kern w:val="2"/>
          <w:sz w:val="32"/>
          <w:szCs w:val="32"/>
        </w:rPr>
        <w:t>本办法由合作区城市规划和建设局负责解释。</w:t>
      </w:r>
    </w:p>
    <w:p>
      <w:pPr>
        <w:pStyle w:val="5"/>
        <w:pageBreakBefore w:val="0"/>
        <w:kinsoku/>
        <w:wordWrap/>
        <w:overflowPunct/>
        <w:topLinePunct w:val="0"/>
        <w:autoSpaceDE/>
        <w:autoSpaceDN/>
        <w:bidi w:val="0"/>
        <w:adjustRightInd/>
        <w:snapToGrid/>
        <w:spacing w:before="0" w:beforeAutospacing="0" w:after="0" w:afterAutospacing="0" w:line="579"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  第十九条</w:t>
      </w:r>
    </w:p>
    <w:p>
      <w:pPr>
        <w:pStyle w:val="5"/>
        <w:pageBreakBefore w:val="0"/>
        <w:kinsoku/>
        <w:wordWrap/>
        <w:overflowPunct/>
        <w:topLinePunct w:val="0"/>
        <w:autoSpaceDE/>
        <w:autoSpaceDN/>
        <w:bidi w:val="0"/>
        <w:adjustRightInd/>
        <w:snapToGrid/>
        <w:spacing w:before="0" w:beforeAutospacing="0" w:after="0" w:afterAutospacing="0" w:line="579"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衔接</w:t>
      </w:r>
    </w:p>
    <w:p>
      <w:pPr>
        <w:pageBreakBefore w:val="0"/>
        <w:kinsoku/>
        <w:wordWrap/>
        <w:overflowPunct/>
        <w:topLinePunct w:val="0"/>
        <w:autoSpaceDE/>
        <w:autoSpaceDN/>
        <w:bidi w:val="0"/>
        <w:adjustRightInd/>
        <w:snapToGrid/>
        <w:spacing w:beforeLines="0" w:after="340" w:afterLines="0" w:line="579" w:lineRule="exact"/>
        <w:ind w:firstLine="640" w:firstLineChars="200"/>
        <w:textAlignment w:val="auto"/>
        <w:rPr>
          <w:rFonts w:hint="eastAsia" w:ascii="FangSong_GB2312" w:eastAsia="FangSong_GB2312" w:cs="FangSong_GB2312"/>
          <w:color w:val="000000"/>
          <w:sz w:val="32"/>
          <w:szCs w:val="32"/>
        </w:rPr>
      </w:pPr>
      <w:r>
        <w:rPr>
          <w:rFonts w:hint="eastAsia" w:ascii="FangSong_GB2312" w:eastAsia="FangSong_GB2312" w:cs="FangSong_GB2312"/>
          <w:color w:val="000000"/>
          <w:sz w:val="32"/>
          <w:szCs w:val="32"/>
        </w:rPr>
        <w:t>土地使用权人在《横琴新区及一体化新拓展区域出让用地建设期限监管办法（试行）》有效期内申请开工或者竣工延期的，合作区城市规划和建设局已受理且仍在办理的，按《横琴新区及一体化新拓展区域出让用地建设期限监管办法（试行）》规定</w:t>
      </w:r>
      <w:r>
        <w:rPr>
          <w:rFonts w:hint="eastAsia" w:ascii="FangSong_GB2312" w:eastAsia="FangSong_GB2312" w:cs="FangSong_GB2312"/>
          <w:sz w:val="32"/>
          <w:szCs w:val="32"/>
        </w:rPr>
        <w:t>执行；</w:t>
      </w:r>
      <w:r>
        <w:rPr>
          <w:rFonts w:hint="eastAsia" w:ascii="FangSong_GB2312" w:eastAsia="FangSong_GB2312" w:cs="FangSong_GB2312"/>
          <w:color w:val="000000"/>
          <w:sz w:val="32"/>
          <w:szCs w:val="32"/>
        </w:rPr>
        <w:t>土地使用权人在《横琴新区及一体化新拓展区域出让用地建设期限监管办法（试行）》失效后，</w:t>
      </w:r>
      <w:r>
        <w:rPr>
          <w:rFonts w:hint="eastAsia" w:ascii="FangSong_GB2312" w:eastAsia="FangSong_GB2312" w:cs="FangSong_GB2312"/>
          <w:sz w:val="32"/>
          <w:szCs w:val="32"/>
        </w:rPr>
        <w:t>本办法施行前</w:t>
      </w:r>
      <w:r>
        <w:rPr>
          <w:rFonts w:hint="eastAsia" w:ascii="FangSong_GB2312" w:eastAsia="FangSong_GB2312" w:cs="FangSong_GB2312"/>
          <w:color w:val="000000"/>
          <w:sz w:val="32"/>
          <w:szCs w:val="32"/>
        </w:rPr>
        <w:t>申请开工或竣工延期的，合作区城市规划和建设局已受理且仍在办理的，按本办法规定</w:t>
      </w:r>
      <w:r>
        <w:rPr>
          <w:rFonts w:hint="eastAsia" w:ascii="FangSong_GB2312" w:eastAsia="FangSong_GB2312" w:cs="FangSong_GB2312"/>
          <w:sz w:val="32"/>
          <w:szCs w:val="32"/>
        </w:rPr>
        <w:t>执行</w:t>
      </w:r>
      <w:r>
        <w:rPr>
          <w:rFonts w:hint="eastAsia" w:ascii="FangSong_GB2312" w:eastAsia="FangSong_GB2312" w:cs="FangSong_GB2312"/>
          <w:color w:val="000000"/>
          <w:sz w:val="32"/>
          <w:szCs w:val="32"/>
        </w:rPr>
        <w:t>。</w:t>
      </w:r>
    </w:p>
    <w:p>
      <w:pPr>
        <w:pageBreakBefore w:val="0"/>
        <w:kinsoku/>
        <w:wordWrap/>
        <w:overflowPunct/>
        <w:topLinePunct w:val="0"/>
        <w:autoSpaceDE/>
        <w:autoSpaceDN/>
        <w:bidi w:val="0"/>
        <w:adjustRightInd/>
        <w:snapToGrid/>
        <w:spacing w:beforeLines="0" w:after="340" w:afterLines="0" w:line="579" w:lineRule="exact"/>
        <w:ind w:firstLine="640" w:firstLineChars="200"/>
        <w:textAlignment w:val="auto"/>
        <w:rPr>
          <w:rFonts w:hint="eastAsia" w:ascii="FangSong_GB2312" w:eastAsia="FangSong_GB2312" w:cs="FangSong_GB2312"/>
          <w:color w:val="666666"/>
          <w:sz w:val="32"/>
          <w:szCs w:val="32"/>
        </w:rPr>
      </w:pPr>
      <w:r>
        <w:rPr>
          <w:rFonts w:hint="eastAsia" w:ascii="FangSong_GB2312" w:eastAsia="FangSong_GB2312" w:cs="FangSong_GB2312"/>
          <w:color w:val="000000"/>
          <w:sz w:val="32"/>
          <w:szCs w:val="32"/>
        </w:rPr>
        <w:t>本办法未尽事宜，按有关法律法规及相关政策执行。</w:t>
      </w:r>
    </w:p>
    <w:p>
      <w:pPr>
        <w:pStyle w:val="5"/>
        <w:pageBreakBefore w:val="0"/>
        <w:kinsoku/>
        <w:wordWrap/>
        <w:overflowPunct/>
        <w:topLinePunct w:val="0"/>
        <w:autoSpaceDE/>
        <w:autoSpaceDN/>
        <w:bidi w:val="0"/>
        <w:adjustRightInd/>
        <w:snapToGrid/>
        <w:spacing w:before="0" w:beforeAutospacing="0" w:after="0" w:afterAutospacing="0" w:line="579" w:lineRule="exact"/>
        <w:textAlignment w:val="auto"/>
        <w:rPr>
          <w:rFonts w:hint="eastAsia" w:ascii="FangSong_GB2312" w:eastAsia="FangSong_GB2312"/>
          <w:sz w:val="32"/>
          <w:szCs w:val="32"/>
        </w:rPr>
      </w:pPr>
    </w:p>
    <w:p>
      <w:pPr>
        <w:pStyle w:val="5"/>
        <w:pageBreakBefore w:val="0"/>
        <w:kinsoku/>
        <w:wordWrap/>
        <w:overflowPunct/>
        <w:topLinePunct w:val="0"/>
        <w:autoSpaceDE/>
        <w:autoSpaceDN/>
        <w:bidi w:val="0"/>
        <w:adjustRightInd/>
        <w:snapToGrid/>
        <w:spacing w:before="0" w:beforeAutospacing="0" w:after="0" w:afterAutospacing="0" w:line="579"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第二十条</w:t>
      </w:r>
    </w:p>
    <w:p>
      <w:pPr>
        <w:pStyle w:val="5"/>
        <w:pageBreakBefore w:val="0"/>
        <w:kinsoku/>
        <w:wordWrap/>
        <w:overflowPunct/>
        <w:topLinePunct w:val="0"/>
        <w:autoSpaceDE/>
        <w:autoSpaceDN/>
        <w:bidi w:val="0"/>
        <w:adjustRightInd/>
        <w:snapToGrid/>
        <w:spacing w:before="0" w:beforeAutospacing="0" w:after="0" w:afterAutospacing="0" w:line="579"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实施日期</w:t>
      </w:r>
    </w:p>
    <w:p>
      <w:pPr>
        <w:pStyle w:val="5"/>
        <w:pageBreakBefore w:val="0"/>
        <w:kinsoku/>
        <w:wordWrap/>
        <w:overflowPunct/>
        <w:topLinePunct w:val="0"/>
        <w:autoSpaceDE/>
        <w:autoSpaceDN/>
        <w:bidi w:val="0"/>
        <w:adjustRightInd/>
        <w:snapToGrid/>
        <w:spacing w:before="0" w:beforeAutospacing="0" w:after="0" w:afterAutospacing="0" w:line="579" w:lineRule="exact"/>
        <w:ind w:firstLine="640" w:firstLineChars="200"/>
        <w:jc w:val="center"/>
        <w:textAlignment w:val="auto"/>
        <w:rPr>
          <w:rFonts w:hint="eastAsia" w:ascii="黑体" w:hAnsi="黑体" w:eastAsia="黑体" w:cs="黑体"/>
          <w:sz w:val="32"/>
          <w:szCs w:val="32"/>
        </w:rPr>
      </w:pPr>
    </w:p>
    <w:p>
      <w:pPr>
        <w:pStyle w:val="5"/>
        <w:pageBreakBefore w:val="0"/>
        <w:kinsoku/>
        <w:wordWrap/>
        <w:overflowPunct/>
        <w:topLinePunct w:val="0"/>
        <w:autoSpaceDE/>
        <w:autoSpaceDN/>
        <w:bidi w:val="0"/>
        <w:adjustRightInd/>
        <w:snapToGrid/>
        <w:spacing w:before="0" w:beforeAutospacing="0" w:after="0" w:afterAutospacing="0" w:line="579" w:lineRule="exact"/>
        <w:ind w:firstLine="640" w:firstLineChars="200"/>
        <w:textAlignment w:val="auto"/>
        <w:rPr>
          <w:rFonts w:hint="eastAsia" w:ascii="FangSong_GB2312" w:eastAsia="FangSong_GB2312"/>
          <w:sz w:val="32"/>
          <w:szCs w:val="32"/>
        </w:rPr>
      </w:pPr>
      <w:r>
        <w:rPr>
          <w:rFonts w:hint="eastAsia" w:ascii="FangSong_GB2312" w:eastAsia="FangSong_GB2312"/>
          <w:sz w:val="32"/>
          <w:szCs w:val="32"/>
        </w:rPr>
        <w:t>本办法自2023年  月 日起施行，有效期5年。</w:t>
      </w:r>
    </w:p>
    <w:p>
      <w:pPr>
        <w:pStyle w:val="5"/>
        <w:pageBreakBefore w:val="0"/>
        <w:kinsoku/>
        <w:wordWrap/>
        <w:overflowPunct/>
        <w:topLinePunct w:val="0"/>
        <w:autoSpaceDE/>
        <w:autoSpaceDN/>
        <w:bidi w:val="0"/>
        <w:adjustRightInd/>
        <w:snapToGrid/>
        <w:spacing w:before="0" w:beforeAutospacing="0" w:after="0" w:afterAutospacing="0" w:line="579" w:lineRule="exact"/>
        <w:ind w:firstLine="640" w:firstLineChars="200"/>
        <w:textAlignment w:val="auto"/>
        <w:rPr>
          <w:rFonts w:hint="eastAsia" w:ascii="FangSong_GB2312" w:eastAsia="FangSong_GB2312"/>
          <w:sz w:val="32"/>
          <w:szCs w:val="32"/>
        </w:rPr>
      </w:pPr>
    </w:p>
    <w:p>
      <w:pPr>
        <w:pStyle w:val="5"/>
        <w:pageBreakBefore w:val="0"/>
        <w:kinsoku/>
        <w:wordWrap/>
        <w:overflowPunct/>
        <w:topLinePunct w:val="0"/>
        <w:autoSpaceDE/>
        <w:autoSpaceDN/>
        <w:bidi w:val="0"/>
        <w:adjustRightInd/>
        <w:snapToGrid/>
        <w:spacing w:before="0" w:beforeAutospacing="0" w:after="0" w:afterAutospacing="0" w:line="579" w:lineRule="exact"/>
        <w:ind w:firstLine="640" w:firstLineChars="200"/>
        <w:textAlignment w:val="auto"/>
        <w:rPr>
          <w:rFonts w:hint="eastAsia" w:ascii="FangSong_GB2312" w:eastAsia="FangSong_GB2312"/>
          <w:sz w:val="32"/>
          <w:szCs w:val="32"/>
        </w:rPr>
      </w:pPr>
      <w:r>
        <w:rPr>
          <w:rFonts w:hint="eastAsia" w:ascii="FangSong_GB2312" w:eastAsia="FangSong_GB2312"/>
          <w:sz w:val="32"/>
          <w:szCs w:val="32"/>
        </w:rPr>
        <w:t>附件：1.建设项目用地跟踪管理卡</w:t>
      </w:r>
    </w:p>
    <w:p>
      <w:pPr>
        <w:pStyle w:val="5"/>
        <w:pageBreakBefore w:val="0"/>
        <w:kinsoku/>
        <w:wordWrap/>
        <w:overflowPunct/>
        <w:topLinePunct w:val="0"/>
        <w:autoSpaceDE/>
        <w:autoSpaceDN/>
        <w:bidi w:val="0"/>
        <w:adjustRightInd/>
        <w:snapToGrid/>
        <w:spacing w:before="0" w:beforeAutospacing="0" w:after="0" w:afterAutospacing="0" w:line="579" w:lineRule="exact"/>
        <w:ind w:firstLine="1600" w:firstLineChars="500"/>
        <w:textAlignment w:val="auto"/>
        <w:rPr>
          <w:rFonts w:hint="eastAsia" w:ascii="FangSong_GB2312" w:eastAsia="FangSong_GB2312"/>
          <w:sz w:val="32"/>
          <w:szCs w:val="32"/>
        </w:rPr>
      </w:pPr>
      <w:r>
        <w:rPr>
          <w:rFonts w:hint="eastAsia" w:ascii="FangSong_GB2312" w:eastAsia="FangSong_GB2312"/>
          <w:sz w:val="32"/>
          <w:szCs w:val="32"/>
        </w:rPr>
        <w:t>2.建设项目用地延期申请表</w:t>
      </w:r>
    </w:p>
    <w:p>
      <w:pPr>
        <w:pStyle w:val="5"/>
        <w:pageBreakBefore w:val="0"/>
        <w:kinsoku/>
        <w:wordWrap/>
        <w:overflowPunct/>
        <w:topLinePunct w:val="0"/>
        <w:autoSpaceDE/>
        <w:autoSpaceDN/>
        <w:bidi w:val="0"/>
        <w:adjustRightInd/>
        <w:snapToGrid/>
        <w:spacing w:before="0" w:beforeAutospacing="0" w:after="0" w:afterAutospacing="0" w:line="579" w:lineRule="exact"/>
        <w:ind w:left="1916" w:leftChars="760" w:hanging="320" w:hangingChars="100"/>
        <w:textAlignment w:val="auto"/>
        <w:rPr>
          <w:rFonts w:hint="eastAsia" w:ascii="FangSong_GB2312" w:eastAsia="FangSong_GB2312"/>
          <w:sz w:val="32"/>
          <w:szCs w:val="32"/>
        </w:rPr>
      </w:pPr>
      <w:r>
        <w:rPr>
          <w:rFonts w:hint="eastAsia" w:ascii="FangSong_GB2312" w:eastAsia="FangSong_GB2312"/>
          <w:sz w:val="32"/>
          <w:szCs w:val="32"/>
        </w:rPr>
        <w:t>3.横琴粤澳深度合作区国有建设用地建设期限监管</w:t>
      </w:r>
    </w:p>
    <w:p>
      <w:pPr>
        <w:pStyle w:val="5"/>
        <w:pageBreakBefore w:val="0"/>
        <w:kinsoku/>
        <w:wordWrap/>
        <w:overflowPunct/>
        <w:topLinePunct w:val="0"/>
        <w:autoSpaceDE/>
        <w:autoSpaceDN/>
        <w:bidi w:val="0"/>
        <w:adjustRightInd/>
        <w:snapToGrid/>
        <w:spacing w:before="0" w:beforeAutospacing="0" w:after="0" w:afterAutospacing="0" w:line="579" w:lineRule="exact"/>
        <w:ind w:left="1916" w:leftChars="760" w:hanging="320" w:hangingChars="100"/>
        <w:textAlignment w:val="auto"/>
        <w:rPr>
          <w:rFonts w:hint="eastAsia" w:ascii="FangSong_GB2312" w:eastAsia="FangSong_GB2312"/>
          <w:sz w:val="32"/>
          <w:szCs w:val="32"/>
        </w:rPr>
      </w:pPr>
      <w:r>
        <w:rPr>
          <w:rFonts w:hint="eastAsia" w:ascii="FangSong_GB2312" w:eastAsia="FangSong_GB2312"/>
          <w:sz w:val="32"/>
          <w:szCs w:val="32"/>
        </w:rPr>
        <w:t>专家会议管理制度</w:t>
      </w:r>
    </w:p>
    <w:p>
      <w:pPr>
        <w:widowControl/>
        <w:spacing w:beforeLines="0" w:afterLines="0" w:line="600" w:lineRule="exact"/>
        <w:jc w:val="left"/>
        <w:rPr>
          <w:rFonts w:hint="eastAsia" w:ascii="FangSong_GB2312" w:eastAsia="FangSong_GB2312"/>
          <w:sz w:val="32"/>
          <w:szCs w:val="32"/>
        </w:rPr>
      </w:pPr>
    </w:p>
    <w:p>
      <w:pPr>
        <w:widowControl/>
        <w:spacing w:beforeLines="0" w:afterLines="0" w:line="600" w:lineRule="exact"/>
        <w:jc w:val="left"/>
        <w:rPr>
          <w:rFonts w:hint="eastAsia" w:ascii="黑体" w:hAnsi="黑体" w:eastAsia="黑体" w:cs="黑体"/>
          <w:sz w:val="32"/>
          <w:szCs w:val="32"/>
        </w:rPr>
      </w:pPr>
      <w:r>
        <w:rPr>
          <w:rFonts w:hint="eastAsia" w:ascii="FangSong_GB2312" w:eastAsia="FangSong_GB2312"/>
          <w:sz w:val="32"/>
          <w:szCs w:val="32"/>
        </w:rPr>
        <w:br w:type="page"/>
      </w:r>
      <w:r>
        <w:rPr>
          <w:rFonts w:hint="eastAsia" w:ascii="黑体" w:hAnsi="黑体" w:eastAsia="黑体" w:cs="黑体"/>
          <w:sz w:val="32"/>
          <w:szCs w:val="32"/>
        </w:rPr>
        <w:t>附件1</w:t>
      </w:r>
    </w:p>
    <w:p>
      <w:pPr>
        <w:spacing w:beforeLines="0" w:afterLines="0"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kern w:val="0"/>
          <w:sz w:val="44"/>
          <w:szCs w:val="44"/>
        </w:rPr>
        <w:t>建设项目用地跟踪管理卡</w:t>
      </w:r>
    </w:p>
    <w:tbl>
      <w:tblPr>
        <w:tblStyle w:val="6"/>
        <w:tblpPr w:leftFromText="180" w:rightFromText="180" w:vertAnchor="text" w:horzAnchor="margin" w:tblpXSpec="center" w:tblpY="27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8"/>
        <w:gridCol w:w="1709"/>
        <w:gridCol w:w="1866"/>
        <w:gridCol w:w="1928"/>
        <w:gridCol w:w="1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600" w:lineRule="exact"/>
              <w:jc w:val="center"/>
              <w:rPr>
                <w:rFonts w:hint="default"/>
                <w:b/>
                <w:sz w:val="21"/>
                <w:szCs w:val="21"/>
              </w:rPr>
            </w:pPr>
            <w:r>
              <w:rPr>
                <w:rFonts w:hint="eastAsia" w:ascii="宋体" w:hAnsi="宋体" w:cs="宋体"/>
                <w:kern w:val="0"/>
                <w:sz w:val="21"/>
                <w:szCs w:val="21"/>
              </w:rPr>
              <w:t>土地使用权人：</w:t>
            </w:r>
          </w:p>
        </w:tc>
        <w:tc>
          <w:tcPr>
            <w:tcW w:w="734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600" w:lineRule="exact"/>
              <w:jc w:val="left"/>
              <w:rPr>
                <w:rFonts w:hint="defaul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600" w:lineRule="exact"/>
              <w:jc w:val="center"/>
              <w:rPr>
                <w:rFonts w:hint="default"/>
                <w:b/>
                <w:sz w:val="21"/>
                <w:szCs w:val="21"/>
              </w:rPr>
            </w:pPr>
            <w:r>
              <w:rPr>
                <w:rFonts w:hint="eastAsia" w:ascii="宋体" w:hAnsi="宋体" w:cs="宋体"/>
                <w:kern w:val="0"/>
                <w:sz w:val="21"/>
                <w:szCs w:val="21"/>
              </w:rPr>
              <w:t>土地座落：</w:t>
            </w:r>
          </w:p>
        </w:tc>
        <w:tc>
          <w:tcPr>
            <w:tcW w:w="734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600" w:lineRule="exact"/>
              <w:jc w:val="left"/>
              <w:rPr>
                <w:rFonts w:hint="defaul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600" w:lineRule="exact"/>
              <w:jc w:val="center"/>
              <w:rPr>
                <w:rFonts w:hint="default"/>
                <w:b/>
                <w:sz w:val="21"/>
                <w:szCs w:val="21"/>
              </w:rPr>
            </w:pPr>
            <w:r>
              <w:rPr>
                <w:rFonts w:hint="eastAsia" w:ascii="宋体" w:hAnsi="宋体" w:cs="宋体"/>
                <w:kern w:val="0"/>
                <w:sz w:val="21"/>
                <w:szCs w:val="21"/>
              </w:rPr>
              <w:t>批准文号：</w:t>
            </w:r>
          </w:p>
        </w:tc>
        <w:tc>
          <w:tcPr>
            <w:tcW w:w="35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600" w:lineRule="exact"/>
              <w:jc w:val="left"/>
              <w:rPr>
                <w:rFonts w:hint="default"/>
                <w:b/>
                <w:sz w:val="21"/>
                <w:szCs w:val="21"/>
              </w:rPr>
            </w:pPr>
          </w:p>
        </w:tc>
        <w:tc>
          <w:tcPr>
            <w:tcW w:w="192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600" w:lineRule="exact"/>
              <w:jc w:val="center"/>
              <w:rPr>
                <w:rFonts w:hint="default"/>
                <w:b/>
                <w:sz w:val="21"/>
                <w:szCs w:val="21"/>
              </w:rPr>
            </w:pPr>
            <w:r>
              <w:rPr>
                <w:rFonts w:hint="eastAsia" w:ascii="宋体" w:hAnsi="宋体" w:cs="宋体"/>
                <w:kern w:val="0"/>
                <w:sz w:val="21"/>
                <w:szCs w:val="21"/>
              </w:rPr>
              <w:t>合同号：</w:t>
            </w:r>
          </w:p>
        </w:tc>
        <w:tc>
          <w:tcPr>
            <w:tcW w:w="183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600" w:lineRule="exact"/>
              <w:jc w:val="left"/>
              <w:rPr>
                <w:rFonts w:hint="default"/>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8" w:type="dxa"/>
            <w:vMerge w:val="restart"/>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spacing w:beforeLines="0" w:afterLines="0" w:line="600" w:lineRule="exact"/>
              <w:ind w:left="113" w:right="113"/>
              <w:jc w:val="center"/>
              <w:rPr>
                <w:rFonts w:hint="default"/>
                <w:sz w:val="21"/>
                <w:szCs w:val="21"/>
              </w:rPr>
            </w:pPr>
            <w:r>
              <w:rPr>
                <w:rFonts w:hint="eastAsia"/>
                <w:sz w:val="21"/>
                <w:szCs w:val="21"/>
              </w:rPr>
              <w:t>到场记录</w:t>
            </w:r>
          </w:p>
        </w:tc>
        <w:tc>
          <w:tcPr>
            <w:tcW w:w="170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600" w:lineRule="exact"/>
              <w:jc w:val="left"/>
              <w:rPr>
                <w:rFonts w:hint="default"/>
                <w:b/>
                <w:sz w:val="21"/>
                <w:szCs w:val="21"/>
              </w:rPr>
            </w:pPr>
          </w:p>
        </w:tc>
        <w:tc>
          <w:tcPr>
            <w:tcW w:w="18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600" w:lineRule="exact"/>
              <w:jc w:val="center"/>
              <w:rPr>
                <w:rFonts w:hint="default"/>
                <w:b/>
                <w:sz w:val="21"/>
                <w:szCs w:val="21"/>
              </w:rPr>
            </w:pPr>
            <w:r>
              <w:rPr>
                <w:rFonts w:hint="eastAsia" w:ascii="宋体" w:hAnsi="宋体" w:cs="宋体"/>
                <w:kern w:val="0"/>
                <w:sz w:val="21"/>
                <w:szCs w:val="21"/>
              </w:rPr>
              <w:t>到 场 时 间</w:t>
            </w:r>
          </w:p>
        </w:tc>
        <w:tc>
          <w:tcPr>
            <w:tcW w:w="192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600" w:lineRule="exact"/>
              <w:jc w:val="center"/>
              <w:rPr>
                <w:rFonts w:hint="default"/>
                <w:b/>
                <w:sz w:val="21"/>
                <w:szCs w:val="21"/>
              </w:rPr>
            </w:pPr>
            <w:r>
              <w:rPr>
                <w:rFonts w:hint="eastAsia" w:ascii="宋体" w:hAnsi="宋体" w:cs="宋体"/>
                <w:kern w:val="0"/>
                <w:sz w:val="21"/>
                <w:szCs w:val="21"/>
              </w:rPr>
              <w:t>开发建设情况</w:t>
            </w:r>
          </w:p>
        </w:tc>
        <w:tc>
          <w:tcPr>
            <w:tcW w:w="183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600" w:lineRule="exact"/>
              <w:jc w:val="center"/>
              <w:rPr>
                <w:rFonts w:hint="default"/>
                <w:b/>
                <w:sz w:val="21"/>
                <w:szCs w:val="21"/>
              </w:rPr>
            </w:pPr>
            <w:r>
              <w:rPr>
                <w:rFonts w:hint="eastAsia" w:ascii="宋体" w:hAnsi="宋体" w:cs="宋体"/>
                <w:kern w:val="0"/>
                <w:sz w:val="21"/>
                <w:szCs w:val="21"/>
              </w:rPr>
              <w:t>到场人签字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7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600" w:lineRule="exact"/>
              <w:jc w:val="center"/>
              <w:rPr>
                <w:rFonts w:hint="default"/>
                <w:b/>
                <w:sz w:val="21"/>
                <w:szCs w:val="21"/>
              </w:rPr>
            </w:pPr>
          </w:p>
        </w:tc>
        <w:tc>
          <w:tcPr>
            <w:tcW w:w="170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600" w:lineRule="exact"/>
              <w:jc w:val="center"/>
              <w:rPr>
                <w:rFonts w:hint="eastAsia" w:ascii="黑体" w:hAnsi="黑体" w:eastAsia="黑体"/>
                <w:b/>
                <w:sz w:val="21"/>
                <w:szCs w:val="21"/>
              </w:rPr>
            </w:pPr>
            <w:r>
              <w:rPr>
                <w:rFonts w:hint="eastAsia" w:ascii="黑体" w:hAnsi="黑体" w:eastAsia="黑体" w:cs="宋体"/>
                <w:kern w:val="0"/>
                <w:sz w:val="21"/>
                <w:szCs w:val="21"/>
              </w:rPr>
              <w:t>开工</w:t>
            </w:r>
          </w:p>
        </w:tc>
        <w:tc>
          <w:tcPr>
            <w:tcW w:w="18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600" w:lineRule="exact"/>
              <w:jc w:val="left"/>
              <w:rPr>
                <w:rFonts w:hint="default"/>
                <w:b/>
                <w:sz w:val="21"/>
                <w:szCs w:val="21"/>
              </w:rPr>
            </w:pPr>
          </w:p>
        </w:tc>
        <w:tc>
          <w:tcPr>
            <w:tcW w:w="192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600" w:lineRule="exact"/>
              <w:jc w:val="left"/>
              <w:rPr>
                <w:rFonts w:hint="default"/>
                <w:b/>
                <w:sz w:val="21"/>
                <w:szCs w:val="21"/>
              </w:rPr>
            </w:pPr>
          </w:p>
        </w:tc>
        <w:tc>
          <w:tcPr>
            <w:tcW w:w="183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600" w:lineRule="exact"/>
              <w:jc w:val="left"/>
              <w:rPr>
                <w:rFonts w:hint="default"/>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600" w:lineRule="exact"/>
              <w:jc w:val="center"/>
              <w:rPr>
                <w:rFonts w:hint="default"/>
                <w:b/>
                <w:sz w:val="21"/>
                <w:szCs w:val="21"/>
              </w:rPr>
            </w:pPr>
          </w:p>
        </w:tc>
        <w:tc>
          <w:tcPr>
            <w:tcW w:w="170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600" w:lineRule="exact"/>
              <w:jc w:val="center"/>
              <w:rPr>
                <w:rFonts w:hint="default"/>
                <w:b/>
                <w:sz w:val="21"/>
                <w:szCs w:val="21"/>
              </w:rPr>
            </w:pPr>
            <w:r>
              <w:rPr>
                <w:rFonts w:hint="eastAsia" w:ascii="宋体" w:hAnsi="宋体" w:cs="宋体"/>
                <w:kern w:val="0"/>
                <w:sz w:val="21"/>
                <w:szCs w:val="21"/>
              </w:rPr>
              <w:t>日常巡查</w:t>
            </w:r>
          </w:p>
        </w:tc>
        <w:tc>
          <w:tcPr>
            <w:tcW w:w="18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600" w:lineRule="exact"/>
              <w:jc w:val="left"/>
              <w:rPr>
                <w:rFonts w:hint="default"/>
                <w:b/>
                <w:sz w:val="21"/>
                <w:szCs w:val="21"/>
              </w:rPr>
            </w:pPr>
          </w:p>
        </w:tc>
        <w:tc>
          <w:tcPr>
            <w:tcW w:w="192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600" w:lineRule="exact"/>
              <w:jc w:val="left"/>
              <w:rPr>
                <w:rFonts w:hint="default"/>
                <w:b/>
                <w:sz w:val="21"/>
                <w:szCs w:val="21"/>
              </w:rPr>
            </w:pPr>
          </w:p>
        </w:tc>
        <w:tc>
          <w:tcPr>
            <w:tcW w:w="183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600" w:lineRule="exact"/>
              <w:jc w:val="left"/>
              <w:rPr>
                <w:rFonts w:hint="default"/>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7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600" w:lineRule="exact"/>
              <w:jc w:val="center"/>
              <w:rPr>
                <w:rFonts w:hint="default"/>
                <w:b/>
                <w:sz w:val="21"/>
                <w:szCs w:val="21"/>
              </w:rPr>
            </w:pPr>
          </w:p>
        </w:tc>
        <w:tc>
          <w:tcPr>
            <w:tcW w:w="170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600" w:lineRule="exact"/>
              <w:jc w:val="center"/>
              <w:rPr>
                <w:rFonts w:hint="eastAsia" w:ascii="宋体" w:hAnsi="宋体" w:cs="宋体"/>
                <w:kern w:val="0"/>
                <w:sz w:val="21"/>
                <w:szCs w:val="21"/>
              </w:rPr>
            </w:pPr>
          </w:p>
        </w:tc>
        <w:tc>
          <w:tcPr>
            <w:tcW w:w="18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600" w:lineRule="exact"/>
              <w:jc w:val="left"/>
              <w:rPr>
                <w:rFonts w:hint="default"/>
                <w:b/>
                <w:sz w:val="21"/>
                <w:szCs w:val="21"/>
              </w:rPr>
            </w:pPr>
          </w:p>
        </w:tc>
        <w:tc>
          <w:tcPr>
            <w:tcW w:w="192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600" w:lineRule="exact"/>
              <w:jc w:val="left"/>
              <w:rPr>
                <w:rFonts w:hint="default"/>
                <w:b/>
                <w:sz w:val="21"/>
                <w:szCs w:val="21"/>
              </w:rPr>
            </w:pPr>
          </w:p>
        </w:tc>
        <w:tc>
          <w:tcPr>
            <w:tcW w:w="183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600" w:lineRule="exact"/>
              <w:jc w:val="left"/>
              <w:rPr>
                <w:rFonts w:hint="default"/>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7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600" w:lineRule="exact"/>
              <w:jc w:val="center"/>
              <w:rPr>
                <w:rFonts w:hint="default"/>
                <w:b/>
                <w:sz w:val="21"/>
                <w:szCs w:val="21"/>
              </w:rPr>
            </w:pPr>
          </w:p>
        </w:tc>
        <w:tc>
          <w:tcPr>
            <w:tcW w:w="170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600" w:lineRule="exact"/>
              <w:jc w:val="center"/>
              <w:rPr>
                <w:rFonts w:hint="eastAsia" w:ascii="宋体" w:hAnsi="宋体" w:cs="宋体"/>
                <w:kern w:val="0"/>
                <w:sz w:val="21"/>
                <w:szCs w:val="21"/>
              </w:rPr>
            </w:pPr>
          </w:p>
        </w:tc>
        <w:tc>
          <w:tcPr>
            <w:tcW w:w="18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600" w:lineRule="exact"/>
              <w:jc w:val="left"/>
              <w:rPr>
                <w:rFonts w:hint="default"/>
                <w:b/>
                <w:sz w:val="21"/>
                <w:szCs w:val="21"/>
              </w:rPr>
            </w:pPr>
          </w:p>
        </w:tc>
        <w:tc>
          <w:tcPr>
            <w:tcW w:w="192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600" w:lineRule="exact"/>
              <w:jc w:val="left"/>
              <w:rPr>
                <w:rFonts w:hint="default"/>
                <w:b/>
                <w:sz w:val="21"/>
                <w:szCs w:val="21"/>
              </w:rPr>
            </w:pPr>
          </w:p>
        </w:tc>
        <w:tc>
          <w:tcPr>
            <w:tcW w:w="183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600" w:lineRule="exact"/>
              <w:jc w:val="left"/>
              <w:rPr>
                <w:rFonts w:hint="default"/>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7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600" w:lineRule="exact"/>
              <w:jc w:val="center"/>
              <w:rPr>
                <w:rFonts w:hint="default"/>
                <w:b/>
                <w:sz w:val="21"/>
                <w:szCs w:val="21"/>
              </w:rPr>
            </w:pPr>
          </w:p>
        </w:tc>
        <w:tc>
          <w:tcPr>
            <w:tcW w:w="170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600" w:lineRule="exact"/>
              <w:jc w:val="center"/>
              <w:rPr>
                <w:rFonts w:hint="default"/>
                <w:b/>
                <w:sz w:val="21"/>
                <w:szCs w:val="21"/>
              </w:rPr>
            </w:pPr>
            <w:r>
              <w:rPr>
                <w:rFonts w:hint="eastAsia" w:ascii="宋体" w:hAnsi="宋体" w:cs="宋体"/>
                <w:kern w:val="0"/>
                <w:sz w:val="21"/>
                <w:szCs w:val="21"/>
              </w:rPr>
              <w:t>竣 工</w:t>
            </w:r>
          </w:p>
        </w:tc>
        <w:tc>
          <w:tcPr>
            <w:tcW w:w="18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600" w:lineRule="exact"/>
              <w:jc w:val="left"/>
              <w:rPr>
                <w:rFonts w:hint="default"/>
                <w:b/>
                <w:sz w:val="21"/>
                <w:szCs w:val="21"/>
              </w:rPr>
            </w:pPr>
          </w:p>
        </w:tc>
        <w:tc>
          <w:tcPr>
            <w:tcW w:w="192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600" w:lineRule="exact"/>
              <w:jc w:val="left"/>
              <w:rPr>
                <w:rFonts w:hint="default"/>
                <w:b/>
                <w:sz w:val="21"/>
                <w:szCs w:val="21"/>
              </w:rPr>
            </w:pPr>
          </w:p>
        </w:tc>
        <w:tc>
          <w:tcPr>
            <w:tcW w:w="183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600" w:lineRule="exact"/>
              <w:jc w:val="left"/>
              <w:rPr>
                <w:rFonts w:hint="default"/>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600" w:lineRule="exact"/>
              <w:jc w:val="center"/>
              <w:rPr>
                <w:rFonts w:hint="default"/>
                <w:b/>
                <w:sz w:val="21"/>
                <w:szCs w:val="21"/>
              </w:rPr>
            </w:pPr>
          </w:p>
        </w:tc>
        <w:tc>
          <w:tcPr>
            <w:tcW w:w="35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600" w:lineRule="exact"/>
              <w:jc w:val="center"/>
              <w:rPr>
                <w:rFonts w:hint="default"/>
                <w:b/>
                <w:sz w:val="21"/>
                <w:szCs w:val="21"/>
              </w:rPr>
            </w:pPr>
            <w:r>
              <w:rPr>
                <w:rFonts w:hint="eastAsia" w:ascii="宋体" w:hAnsi="宋体" w:cs="宋体"/>
                <w:kern w:val="0"/>
                <w:sz w:val="21"/>
                <w:szCs w:val="21"/>
              </w:rPr>
              <w:t>合 同 约 定 信 息</w:t>
            </w:r>
          </w:p>
        </w:tc>
        <w:tc>
          <w:tcPr>
            <w:tcW w:w="376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600" w:lineRule="exact"/>
              <w:jc w:val="center"/>
              <w:rPr>
                <w:rFonts w:hint="default"/>
                <w:b/>
                <w:sz w:val="21"/>
                <w:szCs w:val="21"/>
              </w:rPr>
            </w:pPr>
            <w:r>
              <w:rPr>
                <w:rFonts w:hint="eastAsia" w:ascii="宋体" w:hAnsi="宋体" w:cs="宋体"/>
                <w:kern w:val="0"/>
                <w:sz w:val="21"/>
                <w:szCs w:val="21"/>
              </w:rPr>
              <w:t>实 际 开 发 利 用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600" w:lineRule="exact"/>
              <w:jc w:val="center"/>
              <w:rPr>
                <w:rFonts w:hint="default"/>
                <w:b/>
                <w:sz w:val="21"/>
                <w:szCs w:val="21"/>
              </w:rPr>
            </w:pPr>
            <w:r>
              <w:rPr>
                <w:rFonts w:hint="eastAsia" w:ascii="宋体" w:hAnsi="宋体" w:cs="宋体"/>
                <w:kern w:val="0"/>
                <w:sz w:val="21"/>
                <w:szCs w:val="21"/>
              </w:rPr>
              <w:t>开工时间</w:t>
            </w:r>
          </w:p>
        </w:tc>
        <w:tc>
          <w:tcPr>
            <w:tcW w:w="35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600" w:lineRule="exact"/>
              <w:jc w:val="left"/>
              <w:rPr>
                <w:rFonts w:hint="default"/>
                <w:b/>
                <w:sz w:val="21"/>
                <w:szCs w:val="21"/>
              </w:rPr>
            </w:pPr>
          </w:p>
        </w:tc>
        <w:tc>
          <w:tcPr>
            <w:tcW w:w="376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600" w:lineRule="exact"/>
              <w:jc w:val="left"/>
              <w:rPr>
                <w:rFonts w:hint="default"/>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600" w:lineRule="exact"/>
              <w:jc w:val="center"/>
              <w:rPr>
                <w:rFonts w:hint="default"/>
                <w:b/>
                <w:sz w:val="21"/>
                <w:szCs w:val="21"/>
              </w:rPr>
            </w:pPr>
            <w:r>
              <w:rPr>
                <w:rFonts w:hint="eastAsia" w:ascii="宋体" w:hAnsi="宋体" w:cs="宋体"/>
                <w:kern w:val="0"/>
                <w:sz w:val="21"/>
                <w:szCs w:val="21"/>
              </w:rPr>
              <w:t>竣工时间</w:t>
            </w:r>
          </w:p>
        </w:tc>
        <w:tc>
          <w:tcPr>
            <w:tcW w:w="35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600" w:lineRule="exact"/>
              <w:jc w:val="left"/>
              <w:rPr>
                <w:rFonts w:hint="default"/>
                <w:b/>
                <w:sz w:val="21"/>
                <w:szCs w:val="21"/>
              </w:rPr>
            </w:pPr>
          </w:p>
        </w:tc>
        <w:tc>
          <w:tcPr>
            <w:tcW w:w="376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600" w:lineRule="exact"/>
              <w:jc w:val="left"/>
              <w:rPr>
                <w:rFonts w:hint="default"/>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600" w:lineRule="exact"/>
              <w:jc w:val="center"/>
              <w:rPr>
                <w:rFonts w:hint="default"/>
                <w:b/>
                <w:sz w:val="21"/>
                <w:szCs w:val="21"/>
              </w:rPr>
            </w:pPr>
            <w:r>
              <w:rPr>
                <w:rFonts w:hint="eastAsia" w:ascii="宋体" w:hAnsi="宋体" w:cs="宋体"/>
                <w:kern w:val="0"/>
                <w:sz w:val="21"/>
                <w:szCs w:val="21"/>
              </w:rPr>
              <w:t>用地面积(公顷)</w:t>
            </w:r>
          </w:p>
        </w:tc>
        <w:tc>
          <w:tcPr>
            <w:tcW w:w="35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600" w:lineRule="exact"/>
              <w:jc w:val="left"/>
              <w:rPr>
                <w:rFonts w:hint="default"/>
                <w:b/>
                <w:sz w:val="21"/>
                <w:szCs w:val="21"/>
              </w:rPr>
            </w:pPr>
          </w:p>
        </w:tc>
        <w:tc>
          <w:tcPr>
            <w:tcW w:w="376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600" w:lineRule="exact"/>
              <w:jc w:val="left"/>
              <w:rPr>
                <w:rFonts w:hint="default"/>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600" w:lineRule="exact"/>
              <w:jc w:val="center"/>
              <w:rPr>
                <w:rFonts w:hint="default"/>
                <w:b/>
                <w:sz w:val="21"/>
                <w:szCs w:val="21"/>
              </w:rPr>
            </w:pPr>
            <w:r>
              <w:rPr>
                <w:rFonts w:hint="eastAsia" w:ascii="宋体" w:hAnsi="宋体" w:cs="宋体"/>
                <w:kern w:val="0"/>
                <w:sz w:val="21"/>
                <w:szCs w:val="21"/>
              </w:rPr>
              <w:t>建筑容积率</w:t>
            </w:r>
          </w:p>
        </w:tc>
        <w:tc>
          <w:tcPr>
            <w:tcW w:w="35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600" w:lineRule="exact"/>
              <w:jc w:val="left"/>
              <w:rPr>
                <w:rFonts w:hint="default"/>
                <w:b/>
                <w:sz w:val="21"/>
                <w:szCs w:val="21"/>
              </w:rPr>
            </w:pPr>
          </w:p>
        </w:tc>
        <w:tc>
          <w:tcPr>
            <w:tcW w:w="376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600" w:lineRule="exact"/>
              <w:jc w:val="left"/>
              <w:rPr>
                <w:rFonts w:hint="default"/>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600" w:lineRule="exact"/>
              <w:jc w:val="center"/>
              <w:rPr>
                <w:rFonts w:hint="default"/>
                <w:b/>
                <w:sz w:val="21"/>
                <w:szCs w:val="21"/>
              </w:rPr>
            </w:pPr>
            <w:r>
              <w:rPr>
                <w:rFonts w:hint="eastAsia" w:ascii="宋体" w:hAnsi="宋体" w:cs="宋体"/>
                <w:kern w:val="0"/>
                <w:sz w:val="21"/>
                <w:szCs w:val="21"/>
              </w:rPr>
              <w:t>土地用途</w:t>
            </w:r>
          </w:p>
        </w:tc>
        <w:tc>
          <w:tcPr>
            <w:tcW w:w="35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600" w:lineRule="exact"/>
              <w:jc w:val="left"/>
              <w:rPr>
                <w:rFonts w:hint="default"/>
                <w:b/>
                <w:sz w:val="21"/>
                <w:szCs w:val="21"/>
              </w:rPr>
            </w:pPr>
          </w:p>
        </w:tc>
        <w:tc>
          <w:tcPr>
            <w:tcW w:w="376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600" w:lineRule="exact"/>
              <w:jc w:val="left"/>
              <w:rPr>
                <w:rFonts w:hint="default"/>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default"/>
                <w:b/>
                <w:sz w:val="21"/>
                <w:szCs w:val="21"/>
              </w:rPr>
            </w:pPr>
            <w:r>
              <w:rPr>
                <w:rFonts w:hint="eastAsia" w:ascii="宋体" w:hAnsi="宋体" w:cs="宋体"/>
                <w:kern w:val="0"/>
                <w:sz w:val="21"/>
                <w:szCs w:val="21"/>
              </w:rPr>
              <w:t>投资强度(万元/公顷)</w:t>
            </w:r>
          </w:p>
        </w:tc>
        <w:tc>
          <w:tcPr>
            <w:tcW w:w="35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600" w:lineRule="exact"/>
              <w:jc w:val="left"/>
              <w:rPr>
                <w:rFonts w:hint="default"/>
                <w:b/>
                <w:sz w:val="21"/>
                <w:szCs w:val="21"/>
              </w:rPr>
            </w:pPr>
          </w:p>
        </w:tc>
        <w:tc>
          <w:tcPr>
            <w:tcW w:w="376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600" w:lineRule="exact"/>
              <w:jc w:val="left"/>
              <w:rPr>
                <w:rFonts w:hint="default"/>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71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b/>
                <w:sz w:val="21"/>
                <w:szCs w:val="21"/>
              </w:rPr>
            </w:pPr>
            <w:r>
              <w:rPr>
                <w:rFonts w:hint="eastAsia" w:ascii="宋体" w:hAnsi="宋体" w:cs="宋体"/>
                <w:kern w:val="0"/>
                <w:sz w:val="21"/>
                <w:szCs w:val="21"/>
              </w:rPr>
              <w:t>验收各方主体签字</w:t>
            </w:r>
          </w:p>
        </w:tc>
        <w:tc>
          <w:tcPr>
            <w:tcW w:w="734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600" w:lineRule="exact"/>
              <w:rPr>
                <w:rFonts w:hint="default"/>
                <w:sz w:val="21"/>
                <w:szCs w:val="24"/>
              </w:rPr>
            </w:pPr>
          </w:p>
        </w:tc>
      </w:tr>
    </w:tbl>
    <w:p>
      <w:pPr>
        <w:widowControl/>
        <w:spacing w:beforeLines="0" w:afterLines="0" w:line="600" w:lineRule="exact"/>
        <w:jc w:val="left"/>
        <w:rPr>
          <w:rFonts w:hint="eastAsia" w:ascii="黑体" w:hAnsi="黑体" w:eastAsia="黑体" w:cs="宋体"/>
          <w:kern w:val="0"/>
          <w:sz w:val="32"/>
          <w:szCs w:val="32"/>
        </w:rPr>
      </w:pPr>
      <w:r>
        <w:rPr>
          <w:rFonts w:hint="eastAsia" w:ascii="宋体" w:hAnsi="宋体" w:cs="宋体"/>
          <w:kern w:val="0"/>
          <w:sz w:val="22"/>
          <w:szCs w:val="24"/>
        </w:rPr>
        <w:t>备注：本表用于记录建设项目用地现场巡查情况。</w:t>
      </w:r>
    </w:p>
    <w:p>
      <w:pPr>
        <w:spacing w:beforeLines="0" w:afterLines="0" w:line="600" w:lineRule="exact"/>
        <w:rPr>
          <w:rFonts w:hint="eastAsia" w:ascii="黑体" w:hAnsi="黑体" w:eastAsia="黑体" w:cs="黑体"/>
          <w:sz w:val="32"/>
          <w:szCs w:val="32"/>
        </w:rPr>
      </w:pPr>
      <w:r>
        <w:rPr>
          <w:rFonts w:hint="eastAsia" w:ascii="FangSong_GB2312" w:eastAsia="FangSong_GB2312"/>
          <w:sz w:val="32"/>
          <w:szCs w:val="32"/>
        </w:rPr>
        <w:br w:type="page"/>
      </w:r>
      <w:r>
        <w:rPr>
          <w:rFonts w:hint="eastAsia" w:ascii="黑体" w:hAnsi="黑体" w:eastAsia="黑体" w:cs="黑体"/>
          <w:sz w:val="32"/>
          <w:szCs w:val="32"/>
        </w:rPr>
        <w:t>附件2</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2"/>
        <w:gridCol w:w="1159"/>
        <w:gridCol w:w="1500"/>
        <w:gridCol w:w="660"/>
        <w:gridCol w:w="682"/>
        <w:gridCol w:w="1319"/>
        <w:gridCol w:w="499"/>
        <w:gridCol w:w="1097"/>
        <w:gridCol w:w="10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8645" w:type="dxa"/>
            <w:gridSpan w:val="9"/>
            <w:tcBorders>
              <w:top w:val="nil"/>
              <w:left w:val="nil"/>
              <w:bottom w:val="single" w:color="auto" w:sz="4" w:space="0"/>
              <w:right w:val="nil"/>
              <w:tl2br w:val="nil"/>
              <w:tr2bl w:val="nil"/>
            </w:tcBorders>
            <w:noWrap w:val="0"/>
            <w:vAlign w:val="center"/>
          </w:tcPr>
          <w:p>
            <w:pPr>
              <w:spacing w:beforeLines="0" w:afterLines="0" w:line="600" w:lineRule="exact"/>
              <w:jc w:val="center"/>
              <w:rPr>
                <w:rFonts w:hint="eastAsia" w:ascii="黑体" w:hAnsi="黑体" w:eastAsia="黑体" w:cs="宋体"/>
                <w:kern w:val="0"/>
                <w:sz w:val="32"/>
                <w:szCs w:val="32"/>
              </w:rPr>
            </w:pPr>
            <w:r>
              <w:rPr>
                <w:rFonts w:hint="eastAsia" w:ascii="方正小标宋简体" w:hAnsi="方正小标宋简体" w:eastAsia="方正小标宋简体" w:cs="方正小标宋简体"/>
                <w:color w:val="000000"/>
                <w:kern w:val="0"/>
                <w:sz w:val="44"/>
                <w:szCs w:val="44"/>
                <w:lang w:bidi="ar"/>
              </w:rPr>
              <w:t>建设项目用地延期申请表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8645"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600" w:lineRule="exact"/>
              <w:jc w:val="center"/>
              <w:textAlignment w:val="center"/>
              <w:rPr>
                <w:rFonts w:hint="eastAsia" w:ascii="黑体" w:hAnsi="黑体" w:eastAsia="黑体" w:cs="宋体"/>
                <w:kern w:val="0"/>
                <w:sz w:val="28"/>
                <w:szCs w:val="28"/>
              </w:rPr>
            </w:pPr>
            <w:r>
              <w:rPr>
                <w:rFonts w:hint="eastAsia" w:ascii="黑体" w:hAnsi="宋体" w:eastAsia="黑体" w:cs="黑体"/>
                <w:color w:val="000000"/>
                <w:kern w:val="0"/>
                <w:sz w:val="28"/>
                <w:szCs w:val="28"/>
                <w:lang w:bidi="ar"/>
              </w:rPr>
              <w:t>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86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40" w:lineRule="exact"/>
              <w:jc w:val="center"/>
              <w:textAlignment w:val="center"/>
              <w:rPr>
                <w:rFonts w:hint="eastAsia" w:ascii="宋体" w:hAnsi="宋体" w:cs="宋体"/>
                <w:b/>
                <w:kern w:val="0"/>
                <w:sz w:val="20"/>
                <w:szCs w:val="20"/>
              </w:rPr>
            </w:pPr>
            <w:r>
              <w:rPr>
                <w:rFonts w:hint="eastAsia" w:ascii="宋体" w:hAnsi="宋体" w:cs="宋体"/>
                <w:b/>
                <w:kern w:val="0"/>
                <w:sz w:val="20"/>
                <w:szCs w:val="20"/>
              </w:rPr>
              <w:t>项目名称</w:t>
            </w:r>
          </w:p>
        </w:tc>
        <w:tc>
          <w:tcPr>
            <w:tcW w:w="2160" w:type="dxa"/>
            <w:gridSpan w:val="2"/>
            <w:tcBorders>
              <w:top w:val="nil"/>
              <w:left w:val="nil"/>
              <w:bottom w:val="single" w:color="auto" w:sz="4" w:space="0"/>
              <w:right w:val="single" w:color="auto" w:sz="4" w:space="0"/>
              <w:tl2br w:val="nil"/>
              <w:tr2bl w:val="nil"/>
            </w:tcBorders>
            <w:noWrap w:val="0"/>
            <w:vAlign w:val="center"/>
          </w:tcPr>
          <w:p>
            <w:pPr>
              <w:widowControl/>
              <w:spacing w:beforeLines="0" w:afterLines="0" w:line="240" w:lineRule="exact"/>
              <w:jc w:val="center"/>
              <w:textAlignment w:val="center"/>
              <w:rPr>
                <w:rFonts w:hint="eastAsia" w:ascii="宋体" w:hAnsi="宋体" w:cs="宋体"/>
                <w:b/>
                <w:kern w:val="0"/>
                <w:sz w:val="20"/>
                <w:szCs w:val="20"/>
              </w:rPr>
            </w:pPr>
            <w:r>
              <w:rPr>
                <w:rFonts w:hint="eastAsia" w:ascii="宋体" w:hAnsi="宋体" w:cs="宋体"/>
                <w:b/>
                <w:kern w:val="0"/>
                <w:sz w:val="20"/>
                <w:szCs w:val="20"/>
              </w:rPr>
              <w:t>土地使用权人</w:t>
            </w:r>
          </w:p>
        </w:tc>
        <w:tc>
          <w:tcPr>
            <w:tcW w:w="2001" w:type="dxa"/>
            <w:gridSpan w:val="2"/>
            <w:tcBorders>
              <w:top w:val="nil"/>
              <w:left w:val="nil"/>
              <w:bottom w:val="single" w:color="auto" w:sz="4" w:space="0"/>
              <w:right w:val="single" w:color="auto" w:sz="4" w:space="0"/>
              <w:tl2br w:val="nil"/>
              <w:tr2bl w:val="nil"/>
            </w:tcBorders>
            <w:noWrap w:val="0"/>
            <w:vAlign w:val="center"/>
          </w:tcPr>
          <w:p>
            <w:pPr>
              <w:widowControl/>
              <w:spacing w:beforeLines="0" w:afterLines="0" w:line="240" w:lineRule="exact"/>
              <w:jc w:val="center"/>
              <w:textAlignment w:val="center"/>
              <w:rPr>
                <w:rFonts w:hint="eastAsia" w:ascii="宋体" w:hAnsi="宋体" w:cs="宋体"/>
                <w:b/>
                <w:kern w:val="0"/>
                <w:sz w:val="20"/>
                <w:szCs w:val="20"/>
              </w:rPr>
            </w:pPr>
            <w:r>
              <w:rPr>
                <w:rFonts w:hint="eastAsia" w:ascii="宋体" w:hAnsi="宋体" w:cs="宋体"/>
                <w:b/>
                <w:color w:val="000000"/>
                <w:kern w:val="0"/>
                <w:sz w:val="20"/>
                <w:szCs w:val="20"/>
                <w:lang w:bidi="ar"/>
              </w:rPr>
              <w:t>用地面积（平方米）</w:t>
            </w:r>
          </w:p>
        </w:tc>
        <w:tc>
          <w:tcPr>
            <w:tcW w:w="2623" w:type="dxa"/>
            <w:gridSpan w:val="3"/>
            <w:tcBorders>
              <w:top w:val="single" w:color="auto" w:sz="4" w:space="0"/>
              <w:left w:val="nil"/>
              <w:bottom w:val="single" w:color="auto" w:sz="4" w:space="0"/>
              <w:right w:val="single" w:color="000000" w:sz="4" w:space="0"/>
              <w:tl2br w:val="nil"/>
              <w:tr2bl w:val="nil"/>
            </w:tcBorders>
            <w:noWrap w:val="0"/>
            <w:vAlign w:val="center"/>
          </w:tcPr>
          <w:p>
            <w:pPr>
              <w:widowControl/>
              <w:spacing w:beforeLines="0" w:afterLines="0" w:line="240" w:lineRule="exact"/>
              <w:jc w:val="center"/>
              <w:textAlignment w:val="center"/>
              <w:rPr>
                <w:rFonts w:hint="eastAsia" w:ascii="宋体" w:hAnsi="宋体" w:cs="宋体"/>
                <w:b/>
                <w:kern w:val="0"/>
                <w:sz w:val="20"/>
                <w:szCs w:val="20"/>
              </w:rPr>
            </w:pPr>
            <w:r>
              <w:rPr>
                <w:rFonts w:hint="eastAsia" w:ascii="宋体" w:hAnsi="宋体" w:cs="宋体"/>
                <w:b/>
                <w:color w:val="000000"/>
                <w:kern w:val="0"/>
                <w:sz w:val="20"/>
                <w:szCs w:val="20"/>
                <w:lang w:bidi="ar"/>
              </w:rPr>
              <w:t>现场建设进度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86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宋体"/>
                <w:b/>
                <w:kern w:val="0"/>
                <w:sz w:val="20"/>
                <w:szCs w:val="20"/>
              </w:rPr>
            </w:pPr>
          </w:p>
        </w:tc>
        <w:tc>
          <w:tcPr>
            <w:tcW w:w="2160" w:type="dxa"/>
            <w:gridSpan w:val="2"/>
            <w:tcBorders>
              <w:top w:val="nil"/>
              <w:left w:val="nil"/>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cs="宋体"/>
                <w:kern w:val="0"/>
                <w:sz w:val="20"/>
                <w:szCs w:val="20"/>
              </w:rPr>
            </w:pPr>
          </w:p>
        </w:tc>
        <w:tc>
          <w:tcPr>
            <w:tcW w:w="2001" w:type="dxa"/>
            <w:gridSpan w:val="2"/>
            <w:tcBorders>
              <w:top w:val="nil"/>
              <w:left w:val="nil"/>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cs="宋体"/>
                <w:kern w:val="0"/>
                <w:sz w:val="20"/>
                <w:szCs w:val="20"/>
              </w:rPr>
            </w:pPr>
          </w:p>
        </w:tc>
        <w:tc>
          <w:tcPr>
            <w:tcW w:w="2623" w:type="dxa"/>
            <w:gridSpan w:val="3"/>
            <w:tcBorders>
              <w:top w:val="single" w:color="auto" w:sz="4" w:space="0"/>
              <w:left w:val="nil"/>
              <w:bottom w:val="single" w:color="auto" w:sz="4" w:space="0"/>
              <w:right w:val="single" w:color="000000" w:sz="4" w:space="0"/>
              <w:tl2br w:val="nil"/>
              <w:tr2bl w:val="nil"/>
            </w:tcBorders>
            <w:noWrap w:val="0"/>
            <w:vAlign w:val="center"/>
          </w:tcPr>
          <w:p>
            <w:pPr>
              <w:spacing w:beforeLines="0" w:afterLines="0" w:line="240" w:lineRule="exact"/>
              <w:jc w:val="center"/>
              <w:rPr>
                <w:rFonts w:hint="eastAsia" w:ascii="宋体" w:hAnsi="宋体" w:cs="宋体"/>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186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40" w:lineRule="exact"/>
              <w:jc w:val="center"/>
              <w:textAlignment w:val="center"/>
              <w:rPr>
                <w:rFonts w:hint="eastAsia" w:ascii="黑体" w:hAnsi="黑体" w:eastAsia="黑体" w:cs="宋体"/>
                <w:kern w:val="0"/>
                <w:sz w:val="28"/>
                <w:szCs w:val="28"/>
              </w:rPr>
            </w:pPr>
            <w:r>
              <w:rPr>
                <w:rFonts w:hint="eastAsia" w:ascii="宋体" w:hAnsi="宋体" w:cs="宋体"/>
                <w:b/>
                <w:color w:val="000000"/>
                <w:kern w:val="0"/>
                <w:sz w:val="20"/>
                <w:szCs w:val="20"/>
                <w:lang w:bidi="ar"/>
              </w:rPr>
              <w:t>宗地编号/</w:t>
            </w:r>
            <w:r>
              <w:rPr>
                <w:rFonts w:hint="eastAsia" w:ascii="宋体" w:hAnsi="宋体" w:cs="宋体"/>
                <w:b/>
                <w:color w:val="000000"/>
                <w:kern w:val="0"/>
                <w:sz w:val="20"/>
                <w:szCs w:val="20"/>
                <w:lang w:bidi="ar"/>
              </w:rPr>
              <w:br w:type="textWrapping"/>
            </w:r>
            <w:r>
              <w:rPr>
                <w:rFonts w:hint="eastAsia" w:ascii="宋体" w:hAnsi="宋体" w:cs="宋体"/>
                <w:b/>
                <w:color w:val="000000"/>
                <w:kern w:val="0"/>
                <w:sz w:val="20"/>
                <w:szCs w:val="20"/>
                <w:lang w:bidi="ar"/>
              </w:rPr>
              <w:t>合同编号</w:t>
            </w:r>
          </w:p>
        </w:tc>
        <w:tc>
          <w:tcPr>
            <w:tcW w:w="150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40" w:lineRule="exact"/>
              <w:jc w:val="center"/>
              <w:textAlignment w:val="center"/>
              <w:rPr>
                <w:rFonts w:hint="default"/>
                <w:sz w:val="21"/>
                <w:szCs w:val="24"/>
              </w:rPr>
            </w:pPr>
            <w:r>
              <w:rPr>
                <w:rFonts w:hint="eastAsia" w:ascii="宋体" w:hAnsi="宋体" w:cs="宋体"/>
                <w:b/>
                <w:color w:val="000000"/>
                <w:kern w:val="0"/>
                <w:sz w:val="20"/>
                <w:szCs w:val="20"/>
                <w:lang w:bidi="ar"/>
              </w:rPr>
              <w:t>最高建筑高度（米）</w:t>
            </w:r>
          </w:p>
        </w:tc>
        <w:tc>
          <w:tcPr>
            <w:tcW w:w="134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rPr>
                <w:rFonts w:hint="default"/>
                <w:sz w:val="21"/>
                <w:szCs w:val="24"/>
              </w:rPr>
            </w:pPr>
            <w:r>
              <w:rPr>
                <w:rFonts w:hint="eastAsia" w:ascii="宋体" w:hAnsi="宋体" w:cs="宋体"/>
                <w:b/>
                <w:color w:val="000000"/>
                <w:kern w:val="0"/>
                <w:sz w:val="20"/>
                <w:szCs w:val="20"/>
                <w:lang w:bidi="ar"/>
              </w:rPr>
              <w:t>地下室层数</w:t>
            </w:r>
          </w:p>
          <w:p>
            <w:pPr>
              <w:widowControl/>
              <w:spacing w:beforeLines="0" w:afterLines="0" w:line="240" w:lineRule="exact"/>
              <w:jc w:val="center"/>
              <w:textAlignment w:val="center"/>
              <w:rPr>
                <w:rFonts w:hint="default"/>
                <w:sz w:val="21"/>
                <w:szCs w:val="24"/>
              </w:rPr>
            </w:pPr>
          </w:p>
        </w:tc>
        <w:tc>
          <w:tcPr>
            <w:tcW w:w="181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40" w:lineRule="exact"/>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软基处理面积</w:t>
            </w:r>
          </w:p>
          <w:p>
            <w:pPr>
              <w:widowControl/>
              <w:spacing w:beforeLines="0" w:afterLines="0" w:line="240" w:lineRule="exact"/>
              <w:jc w:val="center"/>
              <w:textAlignment w:val="center"/>
              <w:rPr>
                <w:rFonts w:hint="default"/>
                <w:sz w:val="21"/>
                <w:szCs w:val="24"/>
              </w:rPr>
            </w:pPr>
            <w:r>
              <w:rPr>
                <w:rFonts w:hint="eastAsia" w:ascii="宋体" w:hAnsi="宋体" w:cs="宋体"/>
                <w:b/>
                <w:color w:val="000000"/>
                <w:kern w:val="0"/>
                <w:sz w:val="20"/>
                <w:szCs w:val="20"/>
                <w:lang w:bidi="ar"/>
              </w:rPr>
              <w:t>（平方米）</w:t>
            </w:r>
          </w:p>
        </w:tc>
        <w:tc>
          <w:tcPr>
            <w:tcW w:w="212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40" w:lineRule="exact"/>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单个地下室最大占地面积（平方米）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86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黑体" w:hAnsi="黑体" w:eastAsia="黑体" w:cs="宋体"/>
                <w:b/>
                <w:kern w:val="0"/>
                <w:sz w:val="20"/>
                <w:szCs w:val="20"/>
              </w:rPr>
            </w:pPr>
          </w:p>
        </w:tc>
        <w:tc>
          <w:tcPr>
            <w:tcW w:w="1500" w:type="dxa"/>
            <w:tcBorders>
              <w:top w:val="nil"/>
              <w:left w:val="nil"/>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cs="宋体"/>
                <w:b/>
                <w:kern w:val="0"/>
                <w:sz w:val="20"/>
                <w:szCs w:val="20"/>
              </w:rPr>
            </w:pPr>
          </w:p>
        </w:tc>
        <w:tc>
          <w:tcPr>
            <w:tcW w:w="1342" w:type="dxa"/>
            <w:gridSpan w:val="2"/>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cs="宋体"/>
                <w:b/>
                <w:kern w:val="0"/>
                <w:sz w:val="20"/>
                <w:szCs w:val="20"/>
              </w:rPr>
            </w:pPr>
          </w:p>
        </w:tc>
        <w:tc>
          <w:tcPr>
            <w:tcW w:w="1818" w:type="dxa"/>
            <w:gridSpan w:val="2"/>
            <w:tcBorders>
              <w:top w:val="nil"/>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cs="宋体"/>
                <w:b/>
                <w:kern w:val="0"/>
                <w:sz w:val="20"/>
                <w:szCs w:val="20"/>
              </w:rPr>
            </w:pPr>
          </w:p>
        </w:tc>
        <w:tc>
          <w:tcPr>
            <w:tcW w:w="2124" w:type="dxa"/>
            <w:gridSpan w:val="2"/>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line="240" w:lineRule="exact"/>
              <w:jc w:val="center"/>
              <w:rPr>
                <w:rFonts w:hint="eastAsia" w:ascii="宋体" w:hAnsi="宋体" w:cs="宋体"/>
                <w:b/>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8645"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40" w:lineRule="exact"/>
              <w:jc w:val="center"/>
              <w:textAlignment w:val="center"/>
              <w:rPr>
                <w:rFonts w:hint="eastAsia" w:ascii="宋体" w:hAnsi="宋体" w:cs="宋体"/>
                <w:kern w:val="0"/>
                <w:sz w:val="20"/>
                <w:szCs w:val="20"/>
              </w:rPr>
            </w:pPr>
            <w:r>
              <w:rPr>
                <w:rFonts w:hint="eastAsia" w:ascii="黑体" w:hAnsi="宋体" w:eastAsia="黑体" w:cs="黑体"/>
                <w:color w:val="000000"/>
                <w:kern w:val="0"/>
                <w:sz w:val="28"/>
                <w:szCs w:val="28"/>
                <w:lang w:bidi="ar"/>
              </w:rPr>
              <w:t>建设期限申请情况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186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40" w:lineRule="exact"/>
              <w:jc w:val="center"/>
              <w:textAlignment w:val="center"/>
              <w:rPr>
                <w:rFonts w:hint="eastAsia" w:ascii="宋体" w:hAnsi="宋体" w:cs="宋体"/>
                <w:b/>
                <w:kern w:val="0"/>
                <w:sz w:val="20"/>
                <w:szCs w:val="20"/>
              </w:rPr>
            </w:pPr>
            <w:r>
              <w:rPr>
                <w:rFonts w:hint="eastAsia" w:ascii="宋体" w:hAnsi="宋体" w:cs="宋体"/>
                <w:b/>
                <w:color w:val="000000"/>
                <w:kern w:val="0"/>
                <w:sz w:val="20"/>
                <w:szCs w:val="20"/>
                <w:lang w:bidi="ar"/>
              </w:rPr>
              <w:t>建设节点</w:t>
            </w:r>
          </w:p>
        </w:tc>
        <w:tc>
          <w:tcPr>
            <w:tcW w:w="2160" w:type="dxa"/>
            <w:gridSpan w:val="2"/>
            <w:tcBorders>
              <w:top w:val="nil"/>
              <w:left w:val="nil"/>
              <w:bottom w:val="single" w:color="auto" w:sz="4" w:space="0"/>
              <w:right w:val="single" w:color="auto" w:sz="4" w:space="0"/>
              <w:tl2br w:val="nil"/>
              <w:tr2bl w:val="nil"/>
            </w:tcBorders>
            <w:noWrap w:val="0"/>
            <w:vAlign w:val="center"/>
          </w:tcPr>
          <w:p>
            <w:pPr>
              <w:widowControl/>
              <w:spacing w:beforeLines="0" w:afterLines="0" w:line="240" w:lineRule="exact"/>
              <w:jc w:val="center"/>
              <w:textAlignment w:val="center"/>
              <w:rPr>
                <w:rFonts w:hint="eastAsia" w:ascii="宋体" w:hAnsi="宋体" w:cs="宋体"/>
                <w:kern w:val="0"/>
                <w:sz w:val="20"/>
                <w:szCs w:val="20"/>
              </w:rPr>
            </w:pPr>
            <w:r>
              <w:rPr>
                <w:rFonts w:hint="eastAsia" w:ascii="宋体" w:hAnsi="宋体" w:cs="宋体"/>
                <w:b/>
                <w:color w:val="000000"/>
                <w:kern w:val="0"/>
                <w:sz w:val="20"/>
                <w:szCs w:val="20"/>
                <w:lang w:bidi="ar"/>
              </w:rPr>
              <w:t>合同约定期限</w:t>
            </w:r>
          </w:p>
        </w:tc>
        <w:tc>
          <w:tcPr>
            <w:tcW w:w="2001" w:type="dxa"/>
            <w:gridSpan w:val="2"/>
            <w:tcBorders>
              <w:top w:val="nil"/>
              <w:left w:val="nil"/>
              <w:bottom w:val="single" w:color="auto" w:sz="4" w:space="0"/>
              <w:right w:val="single" w:color="auto" w:sz="4" w:space="0"/>
              <w:tl2br w:val="nil"/>
              <w:tr2bl w:val="nil"/>
            </w:tcBorders>
            <w:noWrap w:val="0"/>
            <w:vAlign w:val="center"/>
          </w:tcPr>
          <w:p>
            <w:pPr>
              <w:widowControl/>
              <w:spacing w:beforeLines="0" w:afterLines="0" w:line="240" w:lineRule="exact"/>
              <w:jc w:val="center"/>
              <w:textAlignment w:val="center"/>
              <w:rPr>
                <w:rFonts w:hint="eastAsia" w:ascii="宋体" w:hAnsi="宋体" w:cs="宋体"/>
                <w:kern w:val="0"/>
                <w:sz w:val="20"/>
                <w:szCs w:val="20"/>
              </w:rPr>
            </w:pPr>
            <w:r>
              <w:rPr>
                <w:rFonts w:hint="eastAsia" w:ascii="宋体" w:hAnsi="宋体" w:cs="宋体"/>
                <w:b/>
                <w:color w:val="000000"/>
                <w:kern w:val="0"/>
                <w:sz w:val="20"/>
                <w:szCs w:val="20"/>
                <w:lang w:bidi="ar"/>
              </w:rPr>
              <w:t>申请期限</w:t>
            </w:r>
          </w:p>
        </w:tc>
        <w:tc>
          <w:tcPr>
            <w:tcW w:w="2623" w:type="dxa"/>
            <w:gridSpan w:val="3"/>
            <w:tcBorders>
              <w:top w:val="single" w:color="auto" w:sz="4" w:space="0"/>
              <w:left w:val="nil"/>
              <w:bottom w:val="single" w:color="auto" w:sz="4" w:space="0"/>
              <w:right w:val="single" w:color="000000" w:sz="4" w:space="0"/>
              <w:tl2br w:val="nil"/>
              <w:tr2bl w:val="nil"/>
            </w:tcBorders>
            <w:noWrap w:val="0"/>
            <w:vAlign w:val="center"/>
          </w:tcPr>
          <w:p>
            <w:pPr>
              <w:widowControl/>
              <w:spacing w:beforeLines="0" w:afterLines="0" w:line="240" w:lineRule="exact"/>
              <w:jc w:val="center"/>
              <w:textAlignment w:val="center"/>
              <w:rPr>
                <w:rFonts w:hint="eastAsia" w:ascii="宋体" w:hAnsi="宋体" w:cs="宋体"/>
                <w:kern w:val="0"/>
                <w:sz w:val="20"/>
                <w:szCs w:val="20"/>
              </w:rPr>
            </w:pPr>
            <w:r>
              <w:rPr>
                <w:rFonts w:hint="eastAsia" w:ascii="宋体" w:hAnsi="宋体" w:cs="宋体"/>
                <w:b/>
                <w:color w:val="000000"/>
                <w:kern w:val="0"/>
                <w:sz w:val="20"/>
                <w:szCs w:val="20"/>
                <w:lang w:bidi="ar"/>
              </w:rPr>
              <w:t>申请延长时间</w:t>
            </w:r>
            <w:r>
              <w:rPr>
                <w:rFonts w:hint="eastAsia" w:ascii="宋体" w:hAnsi="宋体" w:cs="宋体"/>
                <w:b/>
                <w:color w:val="000000"/>
                <w:kern w:val="0"/>
                <w:sz w:val="20"/>
                <w:szCs w:val="20"/>
                <w:lang w:bidi="ar"/>
              </w:rPr>
              <w:br w:type="textWrapping"/>
            </w:r>
            <w:r>
              <w:rPr>
                <w:rFonts w:hint="eastAsia" w:ascii="宋体" w:hAnsi="宋体" w:cs="宋体"/>
                <w:b/>
                <w:color w:val="000000"/>
                <w:kern w:val="0"/>
                <w:sz w:val="20"/>
                <w:szCs w:val="20"/>
                <w:lang w:bidi="ar"/>
              </w:rPr>
              <w:t>（天/月）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186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40" w:lineRule="exact"/>
              <w:jc w:val="center"/>
              <w:textAlignment w:val="center"/>
              <w:rPr>
                <w:rFonts w:hint="eastAsia" w:ascii="宋体" w:hAnsi="宋体" w:cs="宋体"/>
                <w:b/>
                <w:kern w:val="0"/>
                <w:sz w:val="20"/>
                <w:szCs w:val="20"/>
              </w:rPr>
            </w:pPr>
            <w:r>
              <w:rPr>
                <w:rFonts w:hint="eastAsia" w:ascii="宋体" w:hAnsi="宋体" w:cs="宋体"/>
                <w:b/>
                <w:color w:val="000000"/>
                <w:kern w:val="0"/>
                <w:sz w:val="20"/>
                <w:szCs w:val="20"/>
                <w:lang w:bidi="ar"/>
              </w:rPr>
              <w:t>开工</w:t>
            </w:r>
          </w:p>
        </w:tc>
        <w:tc>
          <w:tcPr>
            <w:tcW w:w="2160" w:type="dxa"/>
            <w:gridSpan w:val="2"/>
            <w:tcBorders>
              <w:top w:val="nil"/>
              <w:left w:val="nil"/>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cs="宋体"/>
                <w:kern w:val="0"/>
                <w:sz w:val="20"/>
                <w:szCs w:val="20"/>
              </w:rPr>
            </w:pPr>
          </w:p>
        </w:tc>
        <w:tc>
          <w:tcPr>
            <w:tcW w:w="2001" w:type="dxa"/>
            <w:gridSpan w:val="2"/>
            <w:tcBorders>
              <w:top w:val="nil"/>
              <w:left w:val="nil"/>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cs="宋体"/>
                <w:kern w:val="0"/>
                <w:sz w:val="20"/>
                <w:szCs w:val="20"/>
              </w:rPr>
            </w:pPr>
          </w:p>
        </w:tc>
        <w:tc>
          <w:tcPr>
            <w:tcW w:w="2623" w:type="dxa"/>
            <w:gridSpan w:val="3"/>
            <w:tcBorders>
              <w:top w:val="single" w:color="auto" w:sz="4" w:space="0"/>
              <w:left w:val="nil"/>
              <w:bottom w:val="single" w:color="auto" w:sz="4" w:space="0"/>
              <w:right w:val="single" w:color="000000" w:sz="4" w:space="0"/>
              <w:tl2br w:val="nil"/>
              <w:tr2bl w:val="nil"/>
            </w:tcBorders>
            <w:noWrap w:val="0"/>
            <w:vAlign w:val="center"/>
          </w:tcPr>
          <w:p>
            <w:pPr>
              <w:spacing w:beforeLines="0" w:afterLines="0" w:line="240" w:lineRule="exact"/>
              <w:jc w:val="center"/>
              <w:rPr>
                <w:rFonts w:hint="eastAsia" w:ascii="宋体" w:hAnsi="宋体" w:cs="宋体"/>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861" w:type="dxa"/>
            <w:gridSpan w:val="2"/>
            <w:tcBorders>
              <w:top w:val="nil"/>
              <w:left w:val="single" w:color="auto" w:sz="4" w:space="0"/>
              <w:bottom w:val="single" w:color="auto" w:sz="4" w:space="0"/>
              <w:right w:val="single" w:color="auto" w:sz="4" w:space="0"/>
              <w:tl2br w:val="nil"/>
              <w:tr2bl w:val="nil"/>
            </w:tcBorders>
            <w:noWrap w:val="0"/>
            <w:vAlign w:val="center"/>
          </w:tcPr>
          <w:p>
            <w:pPr>
              <w:widowControl/>
              <w:spacing w:beforeLines="0" w:afterLines="0" w:line="240" w:lineRule="exact"/>
              <w:jc w:val="center"/>
              <w:textAlignment w:val="center"/>
              <w:rPr>
                <w:rFonts w:hint="eastAsia" w:ascii="宋体" w:hAnsi="宋体" w:cs="宋体"/>
                <w:b/>
                <w:kern w:val="0"/>
                <w:sz w:val="20"/>
                <w:szCs w:val="20"/>
              </w:rPr>
            </w:pPr>
            <w:r>
              <w:rPr>
                <w:rFonts w:hint="eastAsia" w:ascii="宋体" w:hAnsi="宋体" w:cs="宋体"/>
                <w:b/>
                <w:color w:val="000000"/>
                <w:kern w:val="0"/>
                <w:sz w:val="20"/>
                <w:szCs w:val="20"/>
                <w:lang w:bidi="ar"/>
              </w:rPr>
              <w:t>竣工</w:t>
            </w:r>
          </w:p>
        </w:tc>
        <w:tc>
          <w:tcPr>
            <w:tcW w:w="2160" w:type="dxa"/>
            <w:gridSpan w:val="2"/>
            <w:tcBorders>
              <w:top w:val="single" w:color="auto" w:sz="4" w:space="0"/>
              <w:left w:val="nil"/>
              <w:bottom w:val="single" w:color="auto" w:sz="4" w:space="0"/>
              <w:right w:val="single" w:color="auto" w:sz="4" w:space="0"/>
              <w:tl2br w:val="nil"/>
              <w:tr2bl w:val="nil"/>
            </w:tcBorders>
            <w:noWrap w:val="0"/>
            <w:vAlign w:val="center"/>
          </w:tcPr>
          <w:p>
            <w:pPr>
              <w:spacing w:beforeLines="0" w:afterLines="0" w:line="240" w:lineRule="exact"/>
              <w:rPr>
                <w:rFonts w:hint="eastAsia" w:ascii="宋体" w:hAnsi="宋体" w:cs="宋体"/>
                <w:b/>
                <w:kern w:val="0"/>
                <w:sz w:val="20"/>
                <w:szCs w:val="20"/>
              </w:rPr>
            </w:pPr>
          </w:p>
        </w:tc>
        <w:tc>
          <w:tcPr>
            <w:tcW w:w="2001" w:type="dxa"/>
            <w:gridSpan w:val="2"/>
            <w:tcBorders>
              <w:top w:val="nil"/>
              <w:left w:val="nil"/>
              <w:bottom w:val="single" w:color="auto" w:sz="4" w:space="0"/>
              <w:right w:val="single" w:color="auto" w:sz="4" w:space="0"/>
              <w:tl2br w:val="nil"/>
              <w:tr2bl w:val="nil"/>
            </w:tcBorders>
            <w:noWrap w:val="0"/>
            <w:vAlign w:val="center"/>
          </w:tcPr>
          <w:p>
            <w:pPr>
              <w:spacing w:beforeLines="0" w:afterLines="0" w:line="240" w:lineRule="exact"/>
              <w:rPr>
                <w:rFonts w:hint="eastAsia" w:ascii="宋体" w:hAnsi="宋体" w:cs="宋体"/>
                <w:b/>
                <w:kern w:val="0"/>
                <w:sz w:val="20"/>
                <w:szCs w:val="20"/>
              </w:rPr>
            </w:pPr>
          </w:p>
        </w:tc>
        <w:tc>
          <w:tcPr>
            <w:tcW w:w="2623" w:type="dxa"/>
            <w:gridSpan w:val="3"/>
            <w:tcBorders>
              <w:top w:val="nil"/>
              <w:left w:val="nil"/>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cs="宋体"/>
                <w:b/>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645" w:type="dxa"/>
            <w:gridSpan w:val="9"/>
            <w:tcBorders>
              <w:top w:val="nil"/>
              <w:left w:val="single" w:color="auto" w:sz="4" w:space="0"/>
              <w:bottom w:val="single" w:color="auto" w:sz="4" w:space="0"/>
              <w:right w:val="single" w:color="auto" w:sz="4" w:space="0"/>
              <w:tl2br w:val="nil"/>
              <w:tr2bl w:val="nil"/>
            </w:tcBorders>
            <w:noWrap w:val="0"/>
            <w:vAlign w:val="center"/>
          </w:tcPr>
          <w:p>
            <w:pPr>
              <w:widowControl/>
              <w:spacing w:beforeLines="0" w:afterLines="0" w:line="240" w:lineRule="exact"/>
              <w:jc w:val="center"/>
              <w:textAlignment w:val="center"/>
              <w:rPr>
                <w:rFonts w:hint="eastAsia" w:ascii="宋体" w:hAnsi="宋体" w:cs="宋体"/>
                <w:b/>
                <w:kern w:val="0"/>
                <w:sz w:val="20"/>
                <w:szCs w:val="20"/>
              </w:rPr>
            </w:pPr>
            <w:r>
              <w:rPr>
                <w:rFonts w:hint="eastAsia" w:ascii="黑体" w:hAnsi="宋体" w:eastAsia="黑体" w:cs="黑体"/>
                <w:color w:val="000000"/>
                <w:kern w:val="0"/>
                <w:sz w:val="28"/>
                <w:szCs w:val="28"/>
                <w:lang w:bidi="ar"/>
              </w:rPr>
              <w:t>延期因素明细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02" w:type="dxa"/>
            <w:tcBorders>
              <w:top w:val="nil"/>
              <w:left w:val="single" w:color="auto" w:sz="4" w:space="0"/>
              <w:bottom w:val="single" w:color="auto" w:sz="4" w:space="0"/>
              <w:right w:val="single" w:color="auto" w:sz="4" w:space="0"/>
              <w:tl2br w:val="nil"/>
              <w:tr2bl w:val="nil"/>
            </w:tcBorders>
            <w:noWrap w:val="0"/>
            <w:vAlign w:val="center"/>
          </w:tcPr>
          <w:p>
            <w:pPr>
              <w:widowControl/>
              <w:spacing w:beforeLines="0" w:afterLines="0" w:line="240" w:lineRule="exact"/>
              <w:jc w:val="center"/>
              <w:textAlignment w:val="center"/>
              <w:rPr>
                <w:rFonts w:hint="eastAsia" w:ascii="宋体" w:hAnsi="宋体" w:cs="宋体"/>
                <w:kern w:val="0"/>
                <w:sz w:val="22"/>
                <w:szCs w:val="24"/>
              </w:rPr>
            </w:pPr>
            <w:r>
              <w:rPr>
                <w:rFonts w:hint="eastAsia" w:ascii="宋体" w:hAnsi="宋体" w:cs="宋体"/>
                <w:b/>
                <w:color w:val="000000"/>
                <w:kern w:val="0"/>
                <w:sz w:val="20"/>
                <w:szCs w:val="20"/>
                <w:lang w:bidi="ar"/>
              </w:rPr>
              <w:t>序号</w:t>
            </w:r>
          </w:p>
        </w:tc>
        <w:tc>
          <w:tcPr>
            <w:tcW w:w="3319" w:type="dxa"/>
            <w:gridSpan w:val="3"/>
            <w:tcBorders>
              <w:top w:val="single" w:color="auto" w:sz="4" w:space="0"/>
              <w:left w:val="nil"/>
              <w:bottom w:val="single" w:color="auto" w:sz="4" w:space="0"/>
              <w:right w:val="single" w:color="000000" w:sz="4" w:space="0"/>
              <w:tl2br w:val="nil"/>
              <w:tr2bl w:val="nil"/>
            </w:tcBorders>
            <w:noWrap w:val="0"/>
            <w:vAlign w:val="center"/>
          </w:tcPr>
          <w:p>
            <w:pPr>
              <w:widowControl/>
              <w:spacing w:beforeLines="0" w:afterLines="0" w:line="240" w:lineRule="exact"/>
              <w:jc w:val="center"/>
              <w:textAlignment w:val="center"/>
              <w:rPr>
                <w:rFonts w:hint="eastAsia" w:ascii="宋体" w:hAnsi="宋体" w:cs="宋体"/>
                <w:kern w:val="0"/>
                <w:sz w:val="22"/>
                <w:szCs w:val="24"/>
              </w:rPr>
            </w:pPr>
            <w:r>
              <w:rPr>
                <w:rFonts w:hint="eastAsia" w:ascii="宋体" w:hAnsi="宋体" w:cs="宋体"/>
                <w:b/>
                <w:color w:val="000000"/>
                <w:kern w:val="0"/>
                <w:sz w:val="20"/>
                <w:szCs w:val="20"/>
                <w:lang w:bidi="ar"/>
              </w:rPr>
              <w:t>延期因素及影响程度</w:t>
            </w:r>
          </w:p>
        </w:tc>
        <w:tc>
          <w:tcPr>
            <w:tcW w:w="2001" w:type="dxa"/>
            <w:gridSpan w:val="2"/>
            <w:tcBorders>
              <w:top w:val="nil"/>
              <w:left w:val="nil"/>
              <w:bottom w:val="single" w:color="auto" w:sz="4" w:space="0"/>
              <w:right w:val="single" w:color="auto" w:sz="4" w:space="0"/>
              <w:tl2br w:val="nil"/>
              <w:tr2bl w:val="nil"/>
            </w:tcBorders>
            <w:noWrap w:val="0"/>
            <w:vAlign w:val="center"/>
          </w:tcPr>
          <w:p>
            <w:pPr>
              <w:widowControl/>
              <w:spacing w:beforeLines="0" w:afterLines="0" w:line="240" w:lineRule="exact"/>
              <w:jc w:val="center"/>
              <w:textAlignment w:val="center"/>
              <w:rPr>
                <w:rFonts w:hint="eastAsia" w:ascii="宋体" w:hAnsi="宋体" w:cs="宋体"/>
                <w:b/>
                <w:kern w:val="0"/>
                <w:sz w:val="20"/>
                <w:szCs w:val="20"/>
              </w:rPr>
            </w:pPr>
            <w:r>
              <w:rPr>
                <w:rFonts w:hint="eastAsia" w:ascii="宋体" w:hAnsi="宋体" w:cs="宋体"/>
                <w:b/>
                <w:color w:val="000000"/>
                <w:kern w:val="0"/>
                <w:sz w:val="20"/>
                <w:szCs w:val="20"/>
                <w:lang w:bidi="ar"/>
              </w:rPr>
              <w:t>相关证明文件</w:t>
            </w:r>
          </w:p>
        </w:tc>
        <w:tc>
          <w:tcPr>
            <w:tcW w:w="1596" w:type="dxa"/>
            <w:gridSpan w:val="2"/>
            <w:tcBorders>
              <w:top w:val="nil"/>
              <w:left w:val="nil"/>
              <w:bottom w:val="single" w:color="auto" w:sz="4" w:space="0"/>
              <w:right w:val="single" w:color="auto" w:sz="4" w:space="0"/>
              <w:tl2br w:val="nil"/>
              <w:tr2bl w:val="nil"/>
            </w:tcBorders>
            <w:noWrap w:val="0"/>
            <w:vAlign w:val="center"/>
          </w:tcPr>
          <w:p>
            <w:pPr>
              <w:widowControl/>
              <w:spacing w:beforeLines="0" w:afterLines="0" w:line="240" w:lineRule="exact"/>
              <w:jc w:val="center"/>
              <w:textAlignment w:val="center"/>
              <w:rPr>
                <w:rFonts w:hint="eastAsia" w:ascii="宋体" w:hAnsi="宋体" w:cs="宋体"/>
                <w:b/>
                <w:kern w:val="0"/>
                <w:sz w:val="20"/>
                <w:szCs w:val="20"/>
              </w:rPr>
            </w:pPr>
            <w:r>
              <w:rPr>
                <w:rFonts w:hint="eastAsia" w:ascii="宋体" w:hAnsi="宋体" w:cs="宋体"/>
                <w:b/>
                <w:color w:val="000000"/>
                <w:kern w:val="0"/>
                <w:sz w:val="20"/>
                <w:szCs w:val="20"/>
                <w:lang w:bidi="ar"/>
              </w:rPr>
              <w:t>影响因素</w:t>
            </w:r>
            <w:r>
              <w:rPr>
                <w:rFonts w:hint="eastAsia" w:ascii="宋体" w:hAnsi="宋体" w:cs="宋体"/>
                <w:b/>
                <w:color w:val="000000"/>
                <w:kern w:val="0"/>
                <w:sz w:val="20"/>
                <w:szCs w:val="20"/>
                <w:lang w:bidi="ar"/>
              </w:rPr>
              <w:br w:type="textWrapping"/>
            </w:r>
            <w:r>
              <w:rPr>
                <w:rFonts w:hint="eastAsia" w:ascii="宋体" w:hAnsi="宋体" w:cs="宋体"/>
                <w:b/>
                <w:color w:val="000000"/>
                <w:kern w:val="0"/>
                <w:sz w:val="20"/>
                <w:szCs w:val="20"/>
                <w:lang w:bidi="ar"/>
              </w:rPr>
              <w:t>起止时间</w:t>
            </w:r>
          </w:p>
        </w:tc>
        <w:tc>
          <w:tcPr>
            <w:tcW w:w="1027" w:type="dxa"/>
            <w:tcBorders>
              <w:top w:val="nil"/>
              <w:left w:val="nil"/>
              <w:bottom w:val="single" w:color="auto" w:sz="4" w:space="0"/>
              <w:right w:val="single" w:color="auto" w:sz="4" w:space="0"/>
              <w:tl2br w:val="nil"/>
              <w:tr2bl w:val="nil"/>
            </w:tcBorders>
            <w:noWrap w:val="0"/>
            <w:vAlign w:val="center"/>
          </w:tcPr>
          <w:p>
            <w:pPr>
              <w:widowControl/>
              <w:spacing w:beforeLines="0" w:afterLines="0" w:line="240" w:lineRule="exact"/>
              <w:jc w:val="center"/>
              <w:textAlignment w:val="center"/>
              <w:rPr>
                <w:rFonts w:hint="eastAsia" w:ascii="宋体" w:hAnsi="宋体" w:cs="宋体"/>
                <w:b/>
                <w:kern w:val="0"/>
                <w:sz w:val="20"/>
                <w:szCs w:val="20"/>
              </w:rPr>
            </w:pPr>
            <w:r>
              <w:rPr>
                <w:rFonts w:hint="eastAsia" w:ascii="宋体" w:hAnsi="宋体" w:cs="宋体"/>
                <w:b/>
                <w:color w:val="000000"/>
                <w:kern w:val="0"/>
                <w:sz w:val="20"/>
                <w:szCs w:val="20"/>
                <w:lang w:bidi="ar"/>
              </w:rPr>
              <w:t>实际影响时间</w:t>
            </w:r>
            <w:r>
              <w:rPr>
                <w:rFonts w:hint="eastAsia" w:ascii="宋体" w:hAnsi="宋体" w:cs="宋体"/>
                <w:b/>
                <w:color w:val="000000"/>
                <w:kern w:val="0"/>
                <w:sz w:val="18"/>
                <w:szCs w:val="18"/>
                <w:lang w:bidi="ar"/>
              </w:rPr>
              <w:t>（天/月）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702" w:type="dxa"/>
            <w:tcBorders>
              <w:top w:val="nil"/>
              <w:left w:val="single" w:color="auto" w:sz="4" w:space="0"/>
              <w:bottom w:val="single" w:color="auto" w:sz="4" w:space="0"/>
              <w:right w:val="single" w:color="auto" w:sz="4" w:space="0"/>
              <w:tl2br w:val="nil"/>
              <w:tr2bl w:val="nil"/>
            </w:tcBorders>
            <w:noWrap w:val="0"/>
            <w:vAlign w:val="center"/>
          </w:tcPr>
          <w:p>
            <w:pPr>
              <w:widowControl/>
              <w:spacing w:beforeLines="0" w:afterLines="0" w:line="240" w:lineRule="exact"/>
              <w:jc w:val="center"/>
              <w:textAlignment w:val="center"/>
              <w:rPr>
                <w:rFonts w:hint="eastAsia" w:ascii="宋体" w:hAnsi="宋体" w:cs="宋体"/>
                <w:kern w:val="0"/>
                <w:sz w:val="22"/>
                <w:szCs w:val="24"/>
              </w:rPr>
            </w:pPr>
            <w:r>
              <w:rPr>
                <w:rFonts w:hint="eastAsia" w:ascii="宋体" w:hAnsi="宋体" w:cs="宋体"/>
                <w:color w:val="000000"/>
                <w:kern w:val="0"/>
                <w:sz w:val="22"/>
                <w:szCs w:val="24"/>
                <w:lang w:bidi="ar"/>
              </w:rPr>
              <w:t>1</w:t>
            </w:r>
          </w:p>
        </w:tc>
        <w:tc>
          <w:tcPr>
            <w:tcW w:w="3319" w:type="dxa"/>
            <w:gridSpan w:val="3"/>
            <w:tcBorders>
              <w:top w:val="single" w:color="auto" w:sz="4" w:space="0"/>
              <w:left w:val="nil"/>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cs="宋体"/>
                <w:kern w:val="0"/>
                <w:sz w:val="22"/>
                <w:szCs w:val="24"/>
              </w:rPr>
            </w:pPr>
          </w:p>
        </w:tc>
        <w:tc>
          <w:tcPr>
            <w:tcW w:w="200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left"/>
              <w:rPr>
                <w:rFonts w:hint="eastAsia" w:ascii="宋体" w:hAnsi="宋体" w:cs="宋体"/>
                <w:b/>
                <w:kern w:val="0"/>
                <w:sz w:val="20"/>
                <w:szCs w:val="20"/>
              </w:rPr>
            </w:pPr>
          </w:p>
        </w:tc>
        <w:tc>
          <w:tcPr>
            <w:tcW w:w="159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cs="宋体"/>
                <w:b/>
                <w:kern w:val="0"/>
                <w:sz w:val="20"/>
                <w:szCs w:val="20"/>
              </w:rPr>
            </w:pPr>
          </w:p>
        </w:tc>
        <w:tc>
          <w:tcPr>
            <w:tcW w:w="102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cs="宋体"/>
                <w:b/>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70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40" w:lineRule="exact"/>
              <w:jc w:val="center"/>
              <w:textAlignment w:val="center"/>
              <w:rPr>
                <w:rFonts w:hint="eastAsia" w:ascii="宋体" w:hAnsi="宋体" w:cs="宋体"/>
                <w:b/>
                <w:kern w:val="0"/>
                <w:sz w:val="22"/>
                <w:szCs w:val="24"/>
              </w:rPr>
            </w:pPr>
            <w:r>
              <w:rPr>
                <w:rFonts w:hint="eastAsia" w:ascii="宋体" w:hAnsi="宋体" w:cs="宋体"/>
                <w:color w:val="000000"/>
                <w:kern w:val="0"/>
                <w:sz w:val="22"/>
                <w:szCs w:val="24"/>
                <w:lang w:bidi="ar"/>
              </w:rPr>
              <w:t>2</w:t>
            </w:r>
          </w:p>
        </w:tc>
        <w:tc>
          <w:tcPr>
            <w:tcW w:w="3319"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cs="宋体"/>
                <w:b/>
                <w:kern w:val="0"/>
                <w:sz w:val="22"/>
                <w:szCs w:val="24"/>
              </w:rPr>
            </w:pPr>
          </w:p>
        </w:tc>
        <w:tc>
          <w:tcPr>
            <w:tcW w:w="200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left"/>
              <w:rPr>
                <w:rFonts w:hint="default"/>
                <w:sz w:val="21"/>
                <w:szCs w:val="24"/>
              </w:rPr>
            </w:pPr>
          </w:p>
        </w:tc>
        <w:tc>
          <w:tcPr>
            <w:tcW w:w="159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cs="宋体"/>
                <w:b/>
                <w:kern w:val="0"/>
                <w:sz w:val="22"/>
                <w:szCs w:val="24"/>
              </w:rPr>
            </w:pPr>
          </w:p>
        </w:tc>
        <w:tc>
          <w:tcPr>
            <w:tcW w:w="102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sz w:val="21"/>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70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40" w:lineRule="exact"/>
              <w:jc w:val="center"/>
              <w:textAlignment w:val="center"/>
              <w:rPr>
                <w:rFonts w:hint="eastAsia" w:ascii="宋体" w:hAnsi="宋体" w:cs="宋体"/>
                <w:color w:val="000000"/>
                <w:kern w:val="0"/>
                <w:sz w:val="22"/>
                <w:szCs w:val="24"/>
                <w:lang w:bidi="ar"/>
              </w:rPr>
            </w:pPr>
            <w:r>
              <w:rPr>
                <w:rFonts w:hint="eastAsia" w:ascii="宋体" w:hAnsi="宋体" w:cs="宋体"/>
                <w:color w:val="000000"/>
                <w:kern w:val="0"/>
                <w:sz w:val="22"/>
                <w:szCs w:val="24"/>
                <w:lang w:bidi="ar"/>
              </w:rPr>
              <w:t>3</w:t>
            </w:r>
          </w:p>
        </w:tc>
        <w:tc>
          <w:tcPr>
            <w:tcW w:w="3319"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cs="宋体"/>
                <w:b/>
                <w:kern w:val="0"/>
                <w:sz w:val="22"/>
                <w:szCs w:val="24"/>
              </w:rPr>
            </w:pPr>
          </w:p>
        </w:tc>
        <w:tc>
          <w:tcPr>
            <w:tcW w:w="200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left"/>
              <w:rPr>
                <w:rFonts w:hint="default"/>
                <w:sz w:val="21"/>
                <w:szCs w:val="24"/>
              </w:rPr>
            </w:pPr>
          </w:p>
        </w:tc>
        <w:tc>
          <w:tcPr>
            <w:tcW w:w="159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cs="宋体"/>
                <w:b/>
                <w:kern w:val="0"/>
                <w:sz w:val="22"/>
                <w:szCs w:val="24"/>
              </w:rPr>
            </w:pPr>
          </w:p>
        </w:tc>
        <w:tc>
          <w:tcPr>
            <w:tcW w:w="102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sz w:val="21"/>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70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40" w:lineRule="exact"/>
              <w:jc w:val="center"/>
              <w:textAlignment w:val="center"/>
              <w:rPr>
                <w:rFonts w:hint="eastAsia" w:ascii="宋体" w:hAnsi="宋体" w:cs="宋体"/>
                <w:color w:val="000000"/>
                <w:kern w:val="0"/>
                <w:sz w:val="22"/>
                <w:szCs w:val="24"/>
                <w:lang w:bidi="ar"/>
              </w:rPr>
            </w:pPr>
            <w:r>
              <w:rPr>
                <w:rFonts w:hint="eastAsia" w:ascii="宋体" w:hAnsi="宋体" w:cs="宋体"/>
                <w:color w:val="000000"/>
                <w:kern w:val="0"/>
                <w:sz w:val="22"/>
                <w:szCs w:val="24"/>
                <w:lang w:bidi="ar"/>
              </w:rPr>
              <w:t>4</w:t>
            </w:r>
          </w:p>
        </w:tc>
        <w:tc>
          <w:tcPr>
            <w:tcW w:w="3319"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cs="宋体"/>
                <w:b/>
                <w:kern w:val="0"/>
                <w:sz w:val="22"/>
                <w:szCs w:val="24"/>
              </w:rPr>
            </w:pPr>
          </w:p>
        </w:tc>
        <w:tc>
          <w:tcPr>
            <w:tcW w:w="200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left"/>
              <w:rPr>
                <w:rFonts w:hint="default"/>
                <w:sz w:val="21"/>
                <w:szCs w:val="24"/>
              </w:rPr>
            </w:pPr>
          </w:p>
        </w:tc>
        <w:tc>
          <w:tcPr>
            <w:tcW w:w="159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cs="宋体"/>
                <w:b/>
                <w:kern w:val="0"/>
                <w:sz w:val="22"/>
                <w:szCs w:val="24"/>
              </w:rPr>
            </w:pPr>
          </w:p>
        </w:tc>
        <w:tc>
          <w:tcPr>
            <w:tcW w:w="102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sz w:val="21"/>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70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40" w:lineRule="exact"/>
              <w:jc w:val="center"/>
              <w:textAlignment w:val="center"/>
              <w:rPr>
                <w:rFonts w:hint="eastAsia" w:ascii="宋体" w:hAnsi="宋体" w:cs="宋体"/>
                <w:color w:val="000000"/>
                <w:kern w:val="0"/>
                <w:sz w:val="22"/>
                <w:szCs w:val="24"/>
                <w:lang w:bidi="ar"/>
              </w:rPr>
            </w:pPr>
            <w:r>
              <w:rPr>
                <w:rFonts w:hint="eastAsia" w:ascii="宋体" w:hAnsi="宋体" w:cs="宋体"/>
                <w:color w:val="000000"/>
                <w:kern w:val="0"/>
                <w:sz w:val="22"/>
                <w:szCs w:val="24"/>
                <w:lang w:bidi="ar"/>
              </w:rPr>
              <w:t>5</w:t>
            </w:r>
          </w:p>
        </w:tc>
        <w:tc>
          <w:tcPr>
            <w:tcW w:w="3319"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cs="宋体"/>
                <w:b/>
                <w:kern w:val="0"/>
                <w:sz w:val="22"/>
                <w:szCs w:val="24"/>
              </w:rPr>
            </w:pPr>
          </w:p>
        </w:tc>
        <w:tc>
          <w:tcPr>
            <w:tcW w:w="200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left"/>
              <w:rPr>
                <w:rFonts w:hint="default"/>
                <w:sz w:val="21"/>
                <w:szCs w:val="24"/>
              </w:rPr>
            </w:pPr>
          </w:p>
        </w:tc>
        <w:tc>
          <w:tcPr>
            <w:tcW w:w="159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cs="宋体"/>
                <w:b/>
                <w:kern w:val="0"/>
                <w:sz w:val="22"/>
                <w:szCs w:val="24"/>
              </w:rPr>
            </w:pPr>
          </w:p>
        </w:tc>
        <w:tc>
          <w:tcPr>
            <w:tcW w:w="102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sz w:val="21"/>
                <w:szCs w:val="24"/>
              </w:rPr>
            </w:pPr>
          </w:p>
        </w:tc>
      </w:tr>
    </w:tbl>
    <w:p>
      <w:pPr>
        <w:spacing w:beforeLines="0" w:afterLines="0" w:line="600" w:lineRule="exact"/>
        <w:jc w:val="center"/>
        <w:rPr>
          <w:rFonts w:hint="eastAsia" w:ascii="宋体" w:hAnsi="宋体" w:cs="宋体"/>
          <w:kern w:val="0"/>
          <w:sz w:val="22"/>
          <w:szCs w:val="24"/>
        </w:rPr>
      </w:pPr>
      <w:r>
        <w:rPr>
          <w:rFonts w:hint="eastAsia"/>
          <w:b/>
          <w:sz w:val="21"/>
          <w:szCs w:val="24"/>
        </w:rPr>
        <w:t xml:space="preserve"> </w:t>
      </w:r>
      <w:r>
        <w:rPr>
          <w:rFonts w:hint="eastAsia" w:ascii="宋体" w:hAnsi="宋体" w:cs="宋体"/>
          <w:kern w:val="0"/>
          <w:sz w:val="22"/>
          <w:szCs w:val="24"/>
        </w:rPr>
        <w:t xml:space="preserve">              申请单位（公章）：</w:t>
      </w:r>
    </w:p>
    <w:p>
      <w:pPr>
        <w:spacing w:beforeLines="0" w:afterLines="0" w:line="600" w:lineRule="exact"/>
        <w:jc w:val="center"/>
        <w:rPr>
          <w:rFonts w:hint="default"/>
          <w:sz w:val="21"/>
          <w:szCs w:val="24"/>
        </w:rPr>
      </w:pPr>
      <w:r>
        <w:rPr>
          <w:rFonts w:hint="eastAsia" w:ascii="宋体" w:hAnsi="宋体" w:cs="宋体"/>
          <w:kern w:val="0"/>
          <w:sz w:val="22"/>
          <w:szCs w:val="24"/>
        </w:rPr>
        <w:t xml:space="preserve">                      申请时间：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Fonts w:hint="eastAsia" w:ascii="FangSong_GB2312" w:hAnsi="FangSong_GB2312" w:eastAsia="FangSong_GB2312" w:cs="FangSong_GB2312"/>
          <w:sz w:val="20"/>
          <w:szCs w:val="20"/>
        </w:rPr>
      </w:pPr>
      <w:r>
        <w:rPr>
          <w:rFonts w:hint="eastAsia" w:ascii="宋体" w:hAnsi="宋体" w:cs="宋体"/>
          <w:kern w:val="0"/>
          <w:sz w:val="22"/>
          <w:szCs w:val="24"/>
        </w:rPr>
        <w:br w:type="page"/>
      </w:r>
      <w:r>
        <w:rPr>
          <w:rFonts w:hint="eastAsia" w:ascii="FangSong_GB2312" w:hAnsi="FangSong_GB2312" w:eastAsia="FangSong_GB2312" w:cs="FangSong_GB2312"/>
          <w:kern w:val="0"/>
          <w:sz w:val="22"/>
          <w:szCs w:val="24"/>
        </w:rPr>
        <w:t>填表说明：</w:t>
      </w:r>
      <w:r>
        <w:rPr>
          <w:rFonts w:hint="eastAsia" w:ascii="FangSong_GB2312" w:hAnsi="FangSong_GB2312" w:eastAsia="FangSong_GB2312" w:cs="FangSong_GB2312"/>
          <w:kern w:val="0"/>
          <w:sz w:val="22"/>
          <w:szCs w:val="24"/>
        </w:rPr>
        <w:br w:type="textWrapping"/>
      </w:r>
      <w:r>
        <w:rPr>
          <w:rFonts w:hint="eastAsia" w:ascii="FangSong_GB2312" w:hAnsi="FangSong_GB2312" w:eastAsia="FangSong_GB2312" w:cs="FangSong_GB2312"/>
          <w:kern w:val="0"/>
          <w:sz w:val="22"/>
          <w:szCs w:val="24"/>
        </w:rPr>
        <w:t>1. 本表用于土地使用权人申请建设期限延期,作为延期申请文的附件。</w:t>
      </w:r>
    </w:p>
    <w:p>
      <w:pPr>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hint="eastAsia" w:ascii="FangSong_GB2312" w:hAnsi="FangSong_GB2312" w:eastAsia="FangSong_GB2312" w:cs="FangSong_GB2312"/>
          <w:kern w:val="0"/>
          <w:sz w:val="22"/>
          <w:szCs w:val="24"/>
        </w:rPr>
      </w:pPr>
      <w:r>
        <w:rPr>
          <w:rFonts w:hint="eastAsia" w:ascii="FangSong_GB2312" w:hAnsi="FangSong_GB2312" w:eastAsia="FangSong_GB2312" w:cs="FangSong_GB2312"/>
          <w:kern w:val="0"/>
          <w:sz w:val="22"/>
          <w:szCs w:val="24"/>
        </w:rPr>
        <w:t>2.【基本情况】中的【项目名称】【土地使用权人】【用地面积】【现场建设进度】等根据实际情况填写，【</w:t>
      </w:r>
      <w:r>
        <w:rPr>
          <w:rFonts w:hint="eastAsia" w:ascii="FangSong_GB2312" w:hAnsi="FangSong_GB2312" w:eastAsia="FangSong_GB2312" w:cs="FangSong_GB2312"/>
          <w:kern w:val="0"/>
          <w:sz w:val="22"/>
          <w:szCs w:val="24"/>
          <w:lang w:bidi="ar"/>
        </w:rPr>
        <w:t>最高建筑高度</w:t>
      </w:r>
      <w:r>
        <w:rPr>
          <w:rFonts w:hint="eastAsia" w:ascii="FangSong_GB2312" w:hAnsi="FangSong_GB2312" w:eastAsia="FangSong_GB2312" w:cs="FangSong_GB2312"/>
          <w:kern w:val="0"/>
          <w:sz w:val="22"/>
          <w:szCs w:val="24"/>
        </w:rPr>
        <w:t>】【</w:t>
      </w:r>
      <w:r>
        <w:rPr>
          <w:rFonts w:hint="eastAsia" w:ascii="FangSong_GB2312" w:hAnsi="FangSong_GB2312" w:eastAsia="FangSong_GB2312" w:cs="FangSong_GB2312"/>
          <w:kern w:val="0"/>
          <w:sz w:val="22"/>
          <w:szCs w:val="24"/>
          <w:lang w:bidi="ar"/>
        </w:rPr>
        <w:t>地下室层数</w:t>
      </w:r>
      <w:r>
        <w:rPr>
          <w:rFonts w:hint="eastAsia" w:ascii="FangSong_GB2312" w:hAnsi="FangSong_GB2312" w:eastAsia="FangSong_GB2312" w:cs="FangSong_GB2312"/>
          <w:kern w:val="0"/>
          <w:sz w:val="22"/>
          <w:szCs w:val="24"/>
        </w:rPr>
        <w:t>】【软基处理面积】【单个</w:t>
      </w:r>
      <w:r>
        <w:rPr>
          <w:rFonts w:hint="eastAsia" w:ascii="FangSong_GB2312" w:hAnsi="FangSong_GB2312" w:eastAsia="FangSong_GB2312" w:cs="FangSong_GB2312"/>
          <w:kern w:val="0"/>
          <w:sz w:val="22"/>
          <w:szCs w:val="24"/>
          <w:lang w:bidi="ar"/>
        </w:rPr>
        <w:t>地下室最大占地面积</w:t>
      </w:r>
      <w:r>
        <w:rPr>
          <w:rFonts w:hint="eastAsia" w:ascii="FangSong_GB2312" w:hAnsi="FangSong_GB2312" w:eastAsia="FangSong_GB2312" w:cs="FangSong_GB2312"/>
          <w:kern w:val="0"/>
          <w:sz w:val="22"/>
          <w:szCs w:val="24"/>
        </w:rPr>
        <w:t>】按照相关报建文件填写。</w:t>
      </w:r>
      <w:r>
        <w:rPr>
          <w:rFonts w:hint="eastAsia" w:ascii="FangSong_GB2312" w:hAnsi="FangSong_GB2312" w:eastAsia="FangSong_GB2312" w:cs="FangSong_GB2312"/>
          <w:kern w:val="0"/>
          <w:sz w:val="22"/>
          <w:szCs w:val="24"/>
        </w:rPr>
        <w:br w:type="textWrapping"/>
      </w:r>
      <w:r>
        <w:rPr>
          <w:rFonts w:hint="eastAsia" w:ascii="FangSong_GB2312" w:hAnsi="FangSong_GB2312" w:eastAsia="FangSong_GB2312" w:cs="FangSong_GB2312"/>
          <w:kern w:val="0"/>
          <w:sz w:val="22"/>
          <w:szCs w:val="24"/>
        </w:rPr>
        <w:t>3.【合同约定期限】请依据土地出让合同约定或者已批准过的延期时间填写。</w:t>
      </w:r>
      <w:r>
        <w:rPr>
          <w:rFonts w:hint="eastAsia" w:ascii="FangSong_GB2312" w:hAnsi="FangSong_GB2312" w:eastAsia="FangSong_GB2312" w:cs="FangSong_GB2312"/>
          <w:kern w:val="0"/>
          <w:sz w:val="22"/>
          <w:szCs w:val="24"/>
        </w:rPr>
        <w:br w:type="textWrapping"/>
      </w:r>
      <w:r>
        <w:rPr>
          <w:rFonts w:hint="eastAsia" w:ascii="FangSong_GB2312" w:hAnsi="FangSong_GB2312" w:eastAsia="FangSong_GB2312" w:cs="FangSong_GB2312"/>
          <w:kern w:val="0"/>
          <w:sz w:val="22"/>
          <w:szCs w:val="24"/>
        </w:rPr>
        <w:t>4.【申请期限】请填写需申请延长开工、竣工节点建设的具体日期；</w:t>
      </w:r>
      <w:r>
        <w:rPr>
          <w:rFonts w:hint="eastAsia" w:ascii="FangSong_GB2312" w:hAnsi="FangSong_GB2312" w:eastAsia="FangSong_GB2312" w:cs="FangSong_GB2312"/>
          <w:kern w:val="0"/>
          <w:sz w:val="22"/>
          <w:szCs w:val="24"/>
        </w:rPr>
        <w:br w:type="textWrapping"/>
      </w:r>
      <w:r>
        <w:rPr>
          <w:rFonts w:hint="eastAsia" w:ascii="FangSong_GB2312" w:hAnsi="FangSong_GB2312" w:eastAsia="FangSong_GB2312" w:cs="FangSong_GB2312"/>
          <w:kern w:val="0"/>
          <w:sz w:val="22"/>
          <w:szCs w:val="24"/>
        </w:rPr>
        <w:t>5.【申请延长时间】填写【合同约定期限】与【申请期限】之间相差的时间。</w:t>
      </w:r>
      <w:r>
        <w:rPr>
          <w:rFonts w:hint="eastAsia" w:ascii="FangSong_GB2312" w:hAnsi="FangSong_GB2312" w:eastAsia="FangSong_GB2312" w:cs="FangSong_GB2312"/>
          <w:kern w:val="0"/>
          <w:sz w:val="22"/>
          <w:szCs w:val="24"/>
        </w:rPr>
        <w:br w:type="textWrapping"/>
      </w:r>
      <w:r>
        <w:rPr>
          <w:rFonts w:hint="eastAsia" w:ascii="FangSong_GB2312" w:hAnsi="FangSong_GB2312" w:eastAsia="FangSong_GB2312" w:cs="FangSong_GB2312"/>
          <w:kern w:val="0"/>
          <w:sz w:val="22"/>
          <w:szCs w:val="24"/>
        </w:rPr>
        <w:t>6.【延期因素及影响程度】请根据实际情况参照第九条所列影响因素填写。</w:t>
      </w:r>
      <w:r>
        <w:rPr>
          <w:rFonts w:hint="eastAsia" w:ascii="FangSong_GB2312" w:hAnsi="FangSong_GB2312" w:eastAsia="FangSong_GB2312" w:cs="FangSong_GB2312"/>
          <w:kern w:val="0"/>
          <w:sz w:val="22"/>
          <w:szCs w:val="24"/>
        </w:rPr>
        <w:br w:type="textWrapping"/>
      </w:r>
      <w:r>
        <w:rPr>
          <w:rFonts w:hint="eastAsia" w:ascii="FangSong_GB2312" w:hAnsi="FangSong_GB2312" w:eastAsia="FangSong_GB2312" w:cs="FangSong_GB2312"/>
          <w:kern w:val="0"/>
          <w:sz w:val="22"/>
          <w:szCs w:val="24"/>
        </w:rPr>
        <w:t>7.【影响因素起止时间】请按照“xx年xx月xx日至xx年xx月xx日”填写，如无法确定具体日期的，至少具体到月。</w:t>
      </w:r>
    </w:p>
    <w:p>
      <w:pPr>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hint="eastAsia" w:ascii="FangSong_GB2312" w:hAnsi="FangSong_GB2312" w:eastAsia="FangSong_GB2312" w:cs="FangSong_GB2312"/>
          <w:kern w:val="0"/>
          <w:sz w:val="22"/>
          <w:szCs w:val="24"/>
        </w:rPr>
      </w:pPr>
      <w:r>
        <w:rPr>
          <w:rFonts w:hint="eastAsia" w:ascii="FangSong_GB2312" w:hAnsi="FangSong_GB2312" w:eastAsia="FangSong_GB2312" w:cs="FangSong_GB2312"/>
          <w:kern w:val="0"/>
          <w:sz w:val="22"/>
          <w:szCs w:val="24"/>
        </w:rPr>
        <w:t>8. 【相关证明文件】包括: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hint="eastAsia" w:ascii="FangSong_GB2312" w:hAnsi="FangSong_GB2312" w:eastAsia="FangSong_GB2312" w:cs="FangSong_GB2312"/>
          <w:kern w:val="0"/>
          <w:sz w:val="22"/>
          <w:szCs w:val="24"/>
        </w:rPr>
      </w:pPr>
      <w:r>
        <w:rPr>
          <w:rFonts w:hint="eastAsia" w:ascii="FangSong_GB2312" w:hAnsi="FangSong_GB2312" w:eastAsia="FangSong_GB2312" w:cs="FangSong_GB2312"/>
          <w:kern w:val="0"/>
          <w:sz w:val="22"/>
          <w:szCs w:val="24"/>
        </w:rPr>
        <w:t>（1）归于不可抗力因素引起的延期，需提交如下证明材料：</w:t>
      </w:r>
    </w:p>
    <w:p>
      <w:pPr>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hint="eastAsia" w:ascii="FangSong_GB2312" w:hAnsi="FangSong_GB2312" w:eastAsia="FangSong_GB2312" w:cs="FangSong_GB2312"/>
          <w:kern w:val="0"/>
          <w:sz w:val="22"/>
          <w:szCs w:val="24"/>
        </w:rPr>
      </w:pPr>
      <w:r>
        <w:rPr>
          <w:rFonts w:hint="eastAsia" w:ascii="FangSong_GB2312" w:hAnsi="FangSong_GB2312" w:eastAsia="FangSong_GB2312" w:cs="FangSong_GB2312"/>
          <w:kern w:val="0"/>
          <w:sz w:val="22"/>
          <w:szCs w:val="24"/>
        </w:rPr>
        <w:t>①建设单位，施工单位，设计单位，勘察单位，监理单位五方对自然灾害影响延期建设情况形成的会议纪要；②项目复产方案；③自然灾害影响期间现场照片；④建设主管部门出具的复工检查表；⑤自然灾害影响期间的施工日志和监理日志。⑥因罢工、骚乱等社会异常事件引起延期的，需提供当地公安部门就事件出具的相关证明。</w:t>
      </w:r>
    </w:p>
    <w:p>
      <w:pPr>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hint="eastAsia" w:ascii="FangSong_GB2312" w:hAnsi="FangSong_GB2312" w:eastAsia="FangSong_GB2312" w:cs="FangSong_GB2312"/>
          <w:kern w:val="0"/>
          <w:sz w:val="22"/>
          <w:szCs w:val="24"/>
        </w:rPr>
      </w:pPr>
      <w:r>
        <w:rPr>
          <w:rFonts w:hint="eastAsia" w:ascii="FangSong_GB2312" w:hAnsi="FangSong_GB2312" w:eastAsia="FangSong_GB2312" w:cs="FangSong_GB2312"/>
          <w:kern w:val="0"/>
          <w:sz w:val="22"/>
          <w:szCs w:val="24"/>
        </w:rPr>
        <w:t>（2）归于行政机构行为引起的延期分下列情况提供资料:</w:t>
      </w:r>
    </w:p>
    <w:p>
      <w:pPr>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hint="eastAsia" w:ascii="FangSong_GB2312" w:hAnsi="FangSong_GB2312" w:eastAsia="FangSong_GB2312" w:cs="FangSong_GB2312"/>
          <w:kern w:val="0"/>
          <w:sz w:val="22"/>
          <w:szCs w:val="24"/>
        </w:rPr>
      </w:pPr>
      <w:r>
        <w:rPr>
          <w:rFonts w:hint="eastAsia" w:ascii="FangSong_GB2312" w:hAnsi="FangSong_GB2312" w:eastAsia="FangSong_GB2312" w:cs="FangSong_GB2312"/>
          <w:kern w:val="0"/>
          <w:sz w:val="22"/>
          <w:szCs w:val="24"/>
        </w:rPr>
        <w:t>①因市政（道路、排洪渠等）工程施工、相邻项目交叉施工影响的：需提供土地使用权人与施工方往来的协调函件、会议纪要或者第三方主管及关联单位出具的受影响证明文件，需包含具体影响范围、影响时间段等内容。</w:t>
      </w:r>
    </w:p>
    <w:p>
      <w:pPr>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hint="eastAsia" w:ascii="FangSong_GB2312" w:hAnsi="FangSong_GB2312" w:eastAsia="FangSong_GB2312" w:cs="FangSong_GB2312"/>
          <w:kern w:val="0"/>
          <w:sz w:val="22"/>
          <w:szCs w:val="24"/>
        </w:rPr>
      </w:pPr>
      <w:r>
        <w:rPr>
          <w:rFonts w:hint="eastAsia" w:ascii="FangSong_GB2312" w:hAnsi="FangSong_GB2312" w:eastAsia="FangSong_GB2312" w:cs="FangSong_GB2312"/>
          <w:kern w:val="0"/>
          <w:sz w:val="22"/>
          <w:szCs w:val="24"/>
        </w:rPr>
        <w:t>②因重大赛事、会议、活动或者特殊节假日期间的交通限行或者非企业自身原因的停工检查影响建设的，协助合作区城市规划和建设局收集有关部门发出的限行或者停工通知。</w:t>
      </w:r>
    </w:p>
    <w:p>
      <w:pPr>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hint="eastAsia" w:ascii="FangSong_GB2312" w:hAnsi="FangSong_GB2312" w:eastAsia="FangSong_GB2312" w:cs="FangSong_GB2312"/>
          <w:kern w:val="0"/>
          <w:sz w:val="22"/>
          <w:szCs w:val="24"/>
        </w:rPr>
      </w:pPr>
      <w:r>
        <w:rPr>
          <w:rFonts w:hint="eastAsia" w:ascii="FangSong_GB2312" w:hAnsi="FangSong_GB2312" w:eastAsia="FangSong_GB2312" w:cs="FangSong_GB2312"/>
          <w:kern w:val="0"/>
          <w:sz w:val="22"/>
          <w:szCs w:val="24"/>
        </w:rPr>
        <w:t>③因土地利用总体规划、城乡规划或者国土空间规划等依法修改或者因有权机关需要对建设项目用地土地用途、规划条件进行修改的，需协助合作区城市规划和建设局收集修改文件或者会议纪要等证明材料。</w:t>
      </w:r>
    </w:p>
    <w:p>
      <w:pPr>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hint="eastAsia" w:ascii="FangSong_GB2312" w:hAnsi="FangSong_GB2312" w:eastAsia="FangSong_GB2312" w:cs="FangSong_GB2312"/>
          <w:kern w:val="0"/>
          <w:sz w:val="22"/>
          <w:szCs w:val="24"/>
        </w:rPr>
      </w:pPr>
      <w:r>
        <w:rPr>
          <w:rFonts w:hint="eastAsia" w:ascii="FangSong_GB2312" w:hAnsi="FangSong_GB2312" w:eastAsia="FangSong_GB2312" w:cs="FangSong_GB2312"/>
          <w:kern w:val="0"/>
          <w:sz w:val="22"/>
          <w:szCs w:val="24"/>
        </w:rPr>
        <w:t>（3）土地使用权人或者代建单位对用地已作软基处理，且软基处理属于真空预压（含真空联合堆载预压）或者行业专家认可的其他软基处理方式的，土地使用权人可提供真空预压（含真空联合堆载预压）施工合同和验收文件等来申请延期。</w:t>
      </w:r>
    </w:p>
    <w:p>
      <w:pPr>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hint="eastAsia" w:ascii="FangSong_GB2312" w:hAnsi="FangSong_GB2312" w:eastAsia="FangSong_GB2312" w:cs="FangSong_GB2312"/>
          <w:kern w:val="0"/>
          <w:sz w:val="22"/>
          <w:szCs w:val="24"/>
        </w:rPr>
      </w:pPr>
      <w:r>
        <w:rPr>
          <w:rFonts w:hint="eastAsia" w:ascii="FangSong_GB2312" w:hAnsi="FangSong_GB2312" w:eastAsia="FangSong_GB2312" w:cs="FangSong_GB2312"/>
          <w:kern w:val="0"/>
          <w:sz w:val="22"/>
          <w:szCs w:val="24"/>
        </w:rPr>
        <w:t>（4）因司法查封导致无法开发建设的，需提供司法判决书、裁定书等文件。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hint="eastAsia" w:ascii="FangSong_GB2312" w:hAnsi="FangSong_GB2312" w:eastAsia="FangSong_GB2312" w:cs="FangSong_GB2312"/>
          <w:kern w:val="0"/>
          <w:sz w:val="22"/>
          <w:szCs w:val="24"/>
        </w:rPr>
      </w:pPr>
      <w:r>
        <w:rPr>
          <w:rFonts w:hint="eastAsia" w:ascii="FangSong_GB2312" w:hAnsi="FangSong_GB2312" w:eastAsia="FangSong_GB2312" w:cs="FangSong_GB2312"/>
          <w:kern w:val="0"/>
          <w:sz w:val="22"/>
          <w:szCs w:val="24"/>
        </w:rPr>
        <w:t>（5）其他法律、法规规定的文件。</w:t>
      </w:r>
    </w:p>
    <w:p>
      <w:pPr>
        <w:keepNext w:val="0"/>
        <w:keepLines w:val="0"/>
        <w:pageBreakBefore w:val="0"/>
        <w:kinsoku/>
        <w:wordWrap/>
        <w:overflowPunct/>
        <w:topLinePunct w:val="0"/>
        <w:autoSpaceDE/>
        <w:autoSpaceDN/>
        <w:bidi w:val="0"/>
        <w:adjustRightInd/>
        <w:snapToGrid/>
        <w:spacing w:beforeLines="0" w:afterLines="0" w:line="579" w:lineRule="exact"/>
        <w:textAlignment w:val="auto"/>
        <w:rPr>
          <w:rFonts w:hint="eastAsia" w:ascii="黑体" w:hAnsi="黑体" w:eastAsia="黑体" w:cs="黑体"/>
          <w:sz w:val="32"/>
          <w:szCs w:val="32"/>
        </w:rPr>
      </w:pPr>
      <w:r>
        <w:rPr>
          <w:rFonts w:hint="eastAsia" w:ascii="FangSong_GB2312" w:eastAsia="FangSong_GB2312"/>
          <w:sz w:val="32"/>
          <w:szCs w:val="32"/>
        </w:rPr>
        <w:br w:type="page"/>
      </w:r>
      <w:r>
        <w:rPr>
          <w:rFonts w:hint="eastAsia" w:ascii="黑体" w:hAnsi="黑体" w:eastAsia="黑体" w:cs="黑体"/>
          <w:sz w:val="32"/>
          <w:szCs w:val="32"/>
        </w:rPr>
        <w:t>附件3</w:t>
      </w:r>
    </w:p>
    <w:p>
      <w:pPr>
        <w:keepNext w:val="0"/>
        <w:keepLines w:val="0"/>
        <w:pageBreakBefore w:val="0"/>
        <w:kinsoku/>
        <w:wordWrap/>
        <w:overflowPunct/>
        <w:topLinePunct w:val="0"/>
        <w:autoSpaceDE/>
        <w:autoSpaceDN/>
        <w:bidi w:val="0"/>
        <w:adjustRightInd/>
        <w:snapToGrid/>
        <w:spacing w:beforeLines="0" w:afterLines="0" w:line="579" w:lineRule="exact"/>
        <w:textAlignment w:val="auto"/>
        <w:rPr>
          <w:rFonts w:hint="eastAsia" w:ascii="黑体" w:hAnsi="黑体" w:eastAsia="黑体" w:cs="黑体"/>
          <w:sz w:val="32"/>
          <w:szCs w:val="32"/>
        </w:rPr>
      </w:pPr>
    </w:p>
    <w:p>
      <w:pPr>
        <w:keepNext w:val="0"/>
        <w:keepLines w:val="0"/>
        <w:pageBreakBefore w:val="0"/>
        <w:widowControl/>
        <w:kinsoku/>
        <w:wordWrap/>
        <w:overflowPunct/>
        <w:topLinePunct w:val="0"/>
        <w:autoSpaceDE/>
        <w:autoSpaceDN/>
        <w:bidi w:val="0"/>
        <w:adjustRightInd/>
        <w:snapToGrid/>
        <w:spacing w:beforeLines="0" w:afterLines="0" w:line="579" w:lineRule="exact"/>
        <w:jc w:val="center"/>
        <w:textAlignment w:val="auto"/>
        <w:rPr>
          <w:rFonts w:hint="eastAsia" w:ascii="方正小标宋简体" w:hAnsi="方正小标宋简体" w:eastAsia="方正小标宋简体" w:cs="方正小标宋简体"/>
          <w:w w:val="90"/>
          <w:kern w:val="0"/>
          <w:sz w:val="44"/>
          <w:szCs w:val="44"/>
        </w:rPr>
      </w:pPr>
      <w:r>
        <w:rPr>
          <w:rFonts w:hint="eastAsia" w:ascii="方正小标宋简体" w:hAnsi="方正小标宋简体" w:eastAsia="方正小标宋简体" w:cs="方正小标宋简体"/>
          <w:w w:val="90"/>
          <w:kern w:val="0"/>
          <w:sz w:val="44"/>
          <w:szCs w:val="44"/>
        </w:rPr>
        <w:t>横琴粤澳深度合作区国有建设用地建设期限监管</w:t>
      </w:r>
    </w:p>
    <w:p>
      <w:pPr>
        <w:keepNext w:val="0"/>
        <w:keepLines w:val="0"/>
        <w:pageBreakBefore w:val="0"/>
        <w:widowControl/>
        <w:kinsoku/>
        <w:wordWrap/>
        <w:overflowPunct/>
        <w:topLinePunct w:val="0"/>
        <w:autoSpaceDE/>
        <w:autoSpaceDN/>
        <w:bidi w:val="0"/>
        <w:adjustRightInd/>
        <w:snapToGrid/>
        <w:spacing w:beforeLines="0" w:afterLines="0" w:line="579" w:lineRule="exact"/>
        <w:jc w:val="center"/>
        <w:textAlignment w:val="auto"/>
        <w:rPr>
          <w:rFonts w:hint="eastAsia" w:ascii="方正小标宋简体" w:hAnsi="方正小标宋简体" w:eastAsia="方正小标宋简体" w:cs="方正小标宋简体"/>
          <w:w w:val="90"/>
          <w:kern w:val="0"/>
          <w:sz w:val="44"/>
          <w:szCs w:val="44"/>
        </w:rPr>
      </w:pPr>
      <w:r>
        <w:rPr>
          <w:rFonts w:hint="eastAsia" w:ascii="方正小标宋简体" w:hAnsi="方正小标宋简体" w:eastAsia="方正小标宋简体" w:cs="方正小标宋简体"/>
          <w:w w:val="90"/>
          <w:kern w:val="0"/>
          <w:sz w:val="44"/>
          <w:szCs w:val="44"/>
        </w:rPr>
        <w:t>专家会议管理制度</w:t>
      </w:r>
    </w:p>
    <w:p>
      <w:pPr>
        <w:keepNext w:val="0"/>
        <w:keepLines w:val="0"/>
        <w:pageBreakBefore w:val="0"/>
        <w:widowControl/>
        <w:kinsoku/>
        <w:wordWrap/>
        <w:overflowPunct/>
        <w:topLinePunct w:val="0"/>
        <w:autoSpaceDE/>
        <w:autoSpaceDN/>
        <w:bidi w:val="0"/>
        <w:adjustRightInd/>
        <w:snapToGrid/>
        <w:spacing w:beforeLines="0" w:afterLines="0" w:line="579" w:lineRule="exact"/>
        <w:jc w:val="center"/>
        <w:textAlignment w:val="auto"/>
        <w:rPr>
          <w:rFonts w:hint="eastAsia" w:ascii="方正小标宋简体" w:hAnsi="黑体" w:eastAsia="方正小标宋简体" w:cs="宋体"/>
          <w:kern w:val="0"/>
          <w:sz w:val="36"/>
          <w:szCs w:val="36"/>
        </w:rPr>
      </w:pPr>
    </w:p>
    <w:p>
      <w:pPr>
        <w:keepNext w:val="0"/>
        <w:keepLines w:val="0"/>
        <w:pageBreakBefore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FangSong_GB2312" w:eastAsia="FangSong_GB2312"/>
          <w:sz w:val="32"/>
          <w:szCs w:val="32"/>
        </w:rPr>
      </w:pPr>
      <w:r>
        <w:rPr>
          <w:rFonts w:hint="eastAsia" w:ascii="FangSong_GB2312" w:eastAsia="FangSong_GB2312"/>
          <w:sz w:val="32"/>
          <w:szCs w:val="32"/>
        </w:rPr>
        <w:t>出让用地</w:t>
      </w:r>
      <w:r>
        <w:rPr>
          <w:rFonts w:hint="eastAsia" w:ascii="FangSong_GB2312" w:hAnsi="FangSong_GB2312" w:eastAsia="FangSong_GB2312" w:cs="FangSong_GB2312"/>
          <w:sz w:val="32"/>
          <w:szCs w:val="32"/>
        </w:rPr>
        <w:t>符合《横琴粤澳深度合作区国有建设用地建设期限监管办法》（以下简称《办法》）第十一条规定情形，和合作区城市规划和建设局认为必要时，</w:t>
      </w:r>
      <w:r>
        <w:rPr>
          <w:rFonts w:hint="eastAsia" w:ascii="FangSong_GB2312" w:eastAsia="FangSong_GB2312"/>
          <w:sz w:val="32"/>
          <w:szCs w:val="32"/>
        </w:rPr>
        <w:t>可以召开专家会，会议形成的专家意见可作为合作区城市规划和建设局办理出让用地延期业务或认定有关事实的重要参考依据。具体工作流程如下：</w:t>
      </w:r>
    </w:p>
    <w:p>
      <w:pPr>
        <w:keepNext w:val="0"/>
        <w:keepLines w:val="0"/>
        <w:pageBreakBefore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黑体" w:hAnsi="黑体" w:eastAsia="黑体" w:cs="FangSong_GB2312"/>
          <w:sz w:val="32"/>
          <w:szCs w:val="32"/>
        </w:rPr>
      </w:pPr>
      <w:r>
        <w:rPr>
          <w:rFonts w:hint="eastAsia" w:ascii="黑体" w:hAnsi="黑体" w:eastAsia="黑体" w:cs="FangSong_GB2312"/>
          <w:sz w:val="32"/>
          <w:szCs w:val="32"/>
        </w:rPr>
        <w:t>一、会议组织</w:t>
      </w:r>
    </w:p>
    <w:p>
      <w:pPr>
        <w:keepNext w:val="0"/>
        <w:keepLines w:val="0"/>
        <w:pageBreakBefore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FangSong_GB2312" w:eastAsia="FangSong_GB2312"/>
          <w:sz w:val="32"/>
          <w:szCs w:val="32"/>
        </w:rPr>
      </w:pPr>
      <w:r>
        <w:rPr>
          <w:rFonts w:hint="eastAsia" w:ascii="楷体" w:hAnsi="楷体" w:eastAsia="楷体" w:cs="楷体"/>
          <w:sz w:val="32"/>
          <w:szCs w:val="32"/>
        </w:rPr>
        <w:t>（一）会议的发起。</w:t>
      </w:r>
      <w:r>
        <w:rPr>
          <w:rFonts w:hint="eastAsia" w:ascii="FangSong_GB2312" w:eastAsia="FangSong_GB2312"/>
          <w:sz w:val="32"/>
          <w:szCs w:val="32"/>
        </w:rPr>
        <w:t>土地使用权人以自然灾害、相邻工程影响及《办法》规定的其他情形等为由申请延长建设期限，合作区城市规划和建设局经审核认为有关延期事由或者事实需要咨询专家意见的，均可以发起专家会。</w:t>
      </w:r>
      <w:r>
        <w:rPr>
          <w:rFonts w:hint="eastAsia" w:ascii="FangSong_GB2312" w:eastAsia="FangSong_GB2312" w:cs="FangSong_GB2312"/>
          <w:sz w:val="32"/>
          <w:szCs w:val="32"/>
        </w:rPr>
        <w:t>其中属于《办法》</w:t>
      </w:r>
      <w:r>
        <w:rPr>
          <w:rFonts w:hint="eastAsia" w:ascii="FangSong_GB2312" w:hAnsi="FangSong_GB2312" w:eastAsia="FangSong_GB2312" w:cs="FangSong_GB2312"/>
          <w:sz w:val="32"/>
          <w:szCs w:val="32"/>
        </w:rPr>
        <w:t>第十一条第二款情形的，由合作区城市规划和建设局会同待审查项目的行业主管部门共同发起</w:t>
      </w:r>
      <w:r>
        <w:rPr>
          <w:rFonts w:hint="eastAsia" w:ascii="FangSong_GB2312" w:eastAsia="FangSong_GB2312"/>
          <w:sz w:val="32"/>
          <w:szCs w:val="32"/>
        </w:rPr>
        <w:t>。</w:t>
      </w:r>
    </w:p>
    <w:p>
      <w:pPr>
        <w:keepNext w:val="0"/>
        <w:keepLines w:val="0"/>
        <w:pageBreakBefore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FangSong_GB2312" w:eastAsia="FangSong_GB2312"/>
          <w:sz w:val="32"/>
          <w:szCs w:val="32"/>
        </w:rPr>
      </w:pPr>
      <w:r>
        <w:rPr>
          <w:rFonts w:hint="eastAsia" w:ascii="楷体" w:hAnsi="楷体" w:eastAsia="楷体" w:cs="楷体"/>
          <w:sz w:val="32"/>
          <w:szCs w:val="32"/>
        </w:rPr>
        <w:t>（二）选定专家。</w:t>
      </w:r>
      <w:r>
        <w:rPr>
          <w:rFonts w:hint="eastAsia" w:ascii="FangSong_GB2312" w:eastAsia="FangSong_GB2312"/>
          <w:sz w:val="32"/>
          <w:szCs w:val="32"/>
        </w:rPr>
        <w:t>根据需审查内容，从合作区城市规划和建设局或相关行业主管部门确定的专家库名录中，随机选取3至5名待审查事宜的相关行业专家，组成专家小组。专家小组名单应对土地使用权人保密，保密期限为名单确定之时至专家会召开之时。</w:t>
      </w:r>
    </w:p>
    <w:p>
      <w:pPr>
        <w:keepNext w:val="0"/>
        <w:keepLines w:val="0"/>
        <w:pageBreakBefore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FangSong_GB2312" w:eastAsia="FangSong_GB2312"/>
          <w:sz w:val="32"/>
          <w:szCs w:val="32"/>
        </w:rPr>
      </w:pPr>
      <w:r>
        <w:rPr>
          <w:rFonts w:hint="eastAsia" w:ascii="楷体" w:hAnsi="楷体" w:eastAsia="楷体" w:cs="楷体"/>
          <w:sz w:val="32"/>
          <w:szCs w:val="32"/>
        </w:rPr>
        <w:t>（三）会议参与人员。</w:t>
      </w:r>
      <w:r>
        <w:rPr>
          <w:rFonts w:hint="eastAsia" w:ascii="FangSong_GB2312" w:hAnsi="Times New Roman" w:eastAsia="FangSong_GB2312" w:cs="FangSong_GB2312"/>
          <w:sz w:val="32"/>
          <w:szCs w:val="32"/>
        </w:rPr>
        <w:t>专家会</w:t>
      </w:r>
      <w:r>
        <w:rPr>
          <w:rFonts w:hint="eastAsia" w:ascii="FangSong_GB2312" w:eastAsia="FangSong_GB2312" w:cs="FangSong_GB2312"/>
          <w:sz w:val="32"/>
          <w:szCs w:val="32"/>
        </w:rPr>
        <w:t>由会议发起人主持，专家小组、土地使用权人相关负责人参会。属于事实认定类审查的，专家会可以在建设项目现场组织。根据审查工作的实际需要，视情况邀请相邻工程或者市政设施建设单位、相关主管部门参加。</w:t>
      </w:r>
    </w:p>
    <w:p>
      <w:pPr>
        <w:keepNext w:val="0"/>
        <w:keepLines w:val="0"/>
        <w:pageBreakBefore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FangSong_GB2312" w:eastAsia="FangSong_GB2312"/>
          <w:sz w:val="32"/>
          <w:szCs w:val="32"/>
        </w:rPr>
      </w:pPr>
      <w:r>
        <w:rPr>
          <w:rFonts w:hint="eastAsia" w:ascii="楷体" w:hAnsi="楷体" w:eastAsia="楷体" w:cs="楷体"/>
          <w:sz w:val="32"/>
          <w:szCs w:val="32"/>
        </w:rPr>
        <w:t>（四）会议材料准备。</w:t>
      </w:r>
      <w:r>
        <w:rPr>
          <w:rFonts w:hint="eastAsia" w:ascii="FangSong_GB2312" w:eastAsia="FangSong_GB2312"/>
          <w:sz w:val="32"/>
          <w:szCs w:val="32"/>
        </w:rPr>
        <w:t>土地使用权人应在专家会召开前做好充分准备工作，如准备好相关延期诉求的佐证材料，以便在专家会上展示，供专家查阅。</w:t>
      </w:r>
    </w:p>
    <w:p>
      <w:pPr>
        <w:keepNext w:val="0"/>
        <w:keepLines w:val="0"/>
        <w:pageBreakBefore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FangSong_GB2312" w:eastAsia="FangSong_GB2312"/>
          <w:sz w:val="32"/>
          <w:szCs w:val="32"/>
        </w:rPr>
      </w:pPr>
      <w:r>
        <w:rPr>
          <w:rFonts w:hint="eastAsia" w:ascii="楷体" w:hAnsi="楷体" w:eastAsia="楷体" w:cs="楷体"/>
          <w:sz w:val="32"/>
          <w:szCs w:val="32"/>
        </w:rPr>
        <w:t>（五）会议邀请。</w:t>
      </w:r>
      <w:r>
        <w:rPr>
          <w:rFonts w:hint="eastAsia" w:ascii="FangSong_GB2312" w:eastAsia="FangSong_GB2312" w:cs="FangSong_GB2312"/>
          <w:sz w:val="32"/>
          <w:szCs w:val="32"/>
        </w:rPr>
        <w:t>合作区城市规划和建设局</w:t>
      </w:r>
      <w:r>
        <w:rPr>
          <w:rFonts w:hint="eastAsia" w:ascii="FangSong_GB2312" w:eastAsia="FangSong_GB2312"/>
          <w:sz w:val="32"/>
          <w:szCs w:val="32"/>
        </w:rPr>
        <w:t>在确定专家会的时间、地点后，向已选定的专家发出会议邀请函，并通知土地使用权人出席会议。</w:t>
      </w:r>
    </w:p>
    <w:p>
      <w:pPr>
        <w:keepNext w:val="0"/>
        <w:keepLines w:val="0"/>
        <w:pageBreakBefore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黑体" w:hAnsi="黑体" w:eastAsia="黑体" w:cs="FangSong_GB2312"/>
          <w:sz w:val="32"/>
          <w:szCs w:val="32"/>
        </w:rPr>
      </w:pPr>
      <w:r>
        <w:rPr>
          <w:rFonts w:hint="eastAsia" w:ascii="黑体" w:hAnsi="黑体" w:eastAsia="黑体" w:cs="FangSong_GB2312"/>
          <w:sz w:val="32"/>
          <w:szCs w:val="32"/>
        </w:rPr>
        <w:t>二、会议召开</w:t>
      </w:r>
    </w:p>
    <w:p>
      <w:pPr>
        <w:keepNext w:val="0"/>
        <w:keepLines w:val="0"/>
        <w:pageBreakBefore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（一）会议内容。</w:t>
      </w:r>
    </w:p>
    <w:p>
      <w:pPr>
        <w:keepNext w:val="0"/>
        <w:keepLines w:val="0"/>
        <w:pageBreakBefore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FangSong_GB2312" w:eastAsia="FangSong_GB2312"/>
          <w:sz w:val="32"/>
          <w:szCs w:val="32"/>
        </w:rPr>
      </w:pPr>
      <w:r>
        <w:rPr>
          <w:rFonts w:hint="eastAsia" w:ascii="FangSong_GB2312" w:eastAsia="FangSong_GB2312" w:cs="FangSong_GB2312"/>
          <w:sz w:val="32"/>
          <w:szCs w:val="32"/>
        </w:rPr>
        <w:t>专家小组主要围绕以下内容</w:t>
      </w:r>
      <w:r>
        <w:rPr>
          <w:rFonts w:hint="eastAsia" w:ascii="FangSong_GB2312" w:eastAsia="FangSong_GB2312"/>
          <w:sz w:val="32"/>
          <w:szCs w:val="32"/>
        </w:rPr>
        <w:t>开展工作：</w:t>
      </w:r>
    </w:p>
    <w:p>
      <w:pPr>
        <w:keepNext w:val="0"/>
        <w:keepLines w:val="0"/>
        <w:pageBreakBefore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FangSong_GB2312" w:eastAsia="FangSong_GB2312"/>
          <w:sz w:val="32"/>
          <w:szCs w:val="32"/>
        </w:rPr>
      </w:pPr>
      <w:r>
        <w:rPr>
          <w:rFonts w:hint="eastAsia" w:ascii="FangSong_GB2312" w:eastAsia="FangSong_GB2312"/>
          <w:sz w:val="32"/>
          <w:szCs w:val="32"/>
        </w:rPr>
        <w:t>1.</w:t>
      </w:r>
      <w:r>
        <w:rPr>
          <w:rFonts w:hint="eastAsia" w:ascii="FangSong_GB2312" w:hAnsi="FangSong_GB2312" w:eastAsia="FangSong_GB2312" w:cs="FangSong_GB2312"/>
          <w:sz w:val="32"/>
          <w:szCs w:val="32"/>
        </w:rPr>
        <w:t>对土地使用权人申请延期的事由</w:t>
      </w:r>
      <w:r>
        <w:rPr>
          <w:rFonts w:hint="eastAsia" w:ascii="FangSong_GB2312" w:eastAsia="FangSong_GB2312"/>
          <w:sz w:val="32"/>
          <w:szCs w:val="32"/>
        </w:rPr>
        <w:t>与建设用地项目工期延误的因果关系进行判断和推定。</w:t>
      </w:r>
    </w:p>
    <w:p>
      <w:pPr>
        <w:keepNext w:val="0"/>
        <w:keepLines w:val="0"/>
        <w:pageBreakBefore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FangSong_GB2312" w:eastAsia="FangSong_GB2312"/>
          <w:sz w:val="32"/>
          <w:szCs w:val="32"/>
        </w:rPr>
      </w:pPr>
      <w:r>
        <w:rPr>
          <w:rFonts w:hint="eastAsia" w:ascii="FangSong_GB2312" w:eastAsia="FangSong_GB2312"/>
          <w:sz w:val="32"/>
          <w:szCs w:val="32"/>
        </w:rPr>
        <w:t>2.对建设用地项目受相关因素影响可延长的建设期限提出意见。</w:t>
      </w:r>
    </w:p>
    <w:p>
      <w:pPr>
        <w:pStyle w:val="2"/>
        <w:keepNext w:val="0"/>
        <w:keepLines w:val="0"/>
        <w:pageBreakBefore w:val="0"/>
        <w:kinsoku/>
        <w:wordWrap/>
        <w:overflowPunct/>
        <w:topLinePunct w:val="0"/>
        <w:autoSpaceDE/>
        <w:autoSpaceDN/>
        <w:bidi w:val="0"/>
        <w:adjustRightInd/>
        <w:snapToGrid/>
        <w:spacing w:beforeLines="0" w:afterLines="0" w:line="579" w:lineRule="exact"/>
        <w:textAlignment w:val="auto"/>
        <w:rPr>
          <w:rFonts w:hint="default" w:eastAsia="FangSong_GB2312"/>
          <w:sz w:val="21"/>
          <w:szCs w:val="22"/>
        </w:rPr>
      </w:pPr>
      <w:r>
        <w:rPr>
          <w:rFonts w:hint="eastAsia" w:ascii="FangSong_GB2312" w:eastAsia="FangSong_GB2312"/>
          <w:sz w:val="32"/>
          <w:szCs w:val="32"/>
        </w:rPr>
        <w:t>3.属事实认定类审查的，专家小组对待认定的事实作出结论。</w:t>
      </w:r>
    </w:p>
    <w:p>
      <w:pPr>
        <w:keepNext w:val="0"/>
        <w:keepLines w:val="0"/>
        <w:pageBreakBefore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（二）会议流程。</w:t>
      </w:r>
    </w:p>
    <w:p>
      <w:pPr>
        <w:keepNext w:val="0"/>
        <w:keepLines w:val="0"/>
        <w:pageBreakBefore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FangSong_GB2312" w:eastAsia="FangSong_GB2312"/>
          <w:sz w:val="32"/>
          <w:szCs w:val="32"/>
        </w:rPr>
      </w:pPr>
      <w:r>
        <w:rPr>
          <w:rFonts w:hint="eastAsia" w:ascii="FangSong_GB2312" w:eastAsia="FangSong_GB2312" w:cs="FangSong_GB2312"/>
          <w:sz w:val="32"/>
          <w:szCs w:val="32"/>
        </w:rPr>
        <w:t>1.专家</w:t>
      </w:r>
      <w:r>
        <w:rPr>
          <w:rFonts w:hint="eastAsia" w:ascii="FangSong_GB2312" w:eastAsia="FangSong_GB2312"/>
          <w:sz w:val="32"/>
          <w:szCs w:val="32"/>
        </w:rPr>
        <w:t>小组根据土地使用权人提供的相关资料,逐宗开展审查工作。</w:t>
      </w:r>
    </w:p>
    <w:p>
      <w:pPr>
        <w:keepNext w:val="0"/>
        <w:keepLines w:val="0"/>
        <w:pageBreakBefore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FangSong_GB2312" w:eastAsia="FangSong_GB2312"/>
          <w:sz w:val="32"/>
          <w:szCs w:val="32"/>
        </w:rPr>
      </w:pPr>
      <w:r>
        <w:rPr>
          <w:rFonts w:hint="eastAsia" w:ascii="FangSong_GB2312" w:eastAsia="FangSong_GB2312"/>
          <w:sz w:val="32"/>
          <w:szCs w:val="32"/>
        </w:rPr>
        <w:t>2.专家会开始后，土地使用权人和其相关单位向专家小组简述建设项目的用地情况、建设过程遇到的问题和需要申请延长的时间，并出示相关证明材料。专家小组根据会上展示的材料向土地使用权人询问并了解具体情况。</w:t>
      </w:r>
    </w:p>
    <w:p>
      <w:pPr>
        <w:keepNext w:val="0"/>
        <w:keepLines w:val="0"/>
        <w:pageBreakBefore w:val="0"/>
        <w:kinsoku/>
        <w:wordWrap/>
        <w:overflowPunct/>
        <w:topLinePunct w:val="0"/>
        <w:autoSpaceDE/>
        <w:autoSpaceDN/>
        <w:bidi w:val="0"/>
        <w:adjustRightInd/>
        <w:snapToGrid/>
        <w:spacing w:beforeLines="0" w:afterLines="0" w:line="579" w:lineRule="exact"/>
        <w:ind w:firstLine="640" w:firstLineChars="200"/>
        <w:jc w:val="left"/>
        <w:textAlignment w:val="auto"/>
        <w:rPr>
          <w:rFonts w:hint="eastAsia" w:ascii="FangSong_GB2312" w:eastAsia="FangSong_GB2312"/>
          <w:sz w:val="32"/>
          <w:szCs w:val="32"/>
        </w:rPr>
      </w:pPr>
      <w:r>
        <w:rPr>
          <w:rFonts w:hint="eastAsia" w:ascii="FangSong_GB2312" w:eastAsia="FangSong_GB2312"/>
          <w:sz w:val="32"/>
          <w:szCs w:val="32"/>
        </w:rPr>
        <w:t>3.完成询问、查阅等工作后，土地使用权人及相关方退场，专家小组在讨论后，现场作出书面意见。如因土地使用权人自身原因提供材料不充分或者陈述不清，导致专家小组无法当场作出书面意见的，需另行组织召开第二次专家会。土地使用权人不同意另行组织召开专家会，或者第二次专家会上仍准备资料不足、陈述不清，导致专家小组无法得出延期结论的，对该延期事由不予采纳。</w:t>
      </w:r>
    </w:p>
    <w:p>
      <w:pPr>
        <w:keepNext w:val="0"/>
        <w:keepLines w:val="0"/>
        <w:pageBreakBefore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FangSong_GB2312" w:eastAsia="FangSong_GB2312"/>
          <w:sz w:val="32"/>
          <w:szCs w:val="32"/>
        </w:rPr>
      </w:pPr>
      <w:r>
        <w:rPr>
          <w:rFonts w:hint="eastAsia" w:ascii="FangSong_GB2312" w:eastAsia="FangSong_GB2312"/>
          <w:sz w:val="32"/>
          <w:szCs w:val="32"/>
        </w:rPr>
        <w:t>4.每个延期事由的可延期时间原则上只召开一次专家会予以明确，除上述第3点土地使用权人自身原因导致需召开第二次专家会的情形外，因延期事由情况复杂或有争议的，也可以召开第二次专家会。第二次专家会的专家按本制度第一条第（二）项规定重新选取。合作区城市规划和建设局可综合考虑两次专家会的结果作为延期参考依据。</w:t>
      </w:r>
    </w:p>
    <w:p>
      <w:pPr>
        <w:keepNext w:val="0"/>
        <w:keepLines w:val="0"/>
        <w:pageBreakBefore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FangSong_GB2312" w:eastAsia="FangSong_GB2312"/>
          <w:sz w:val="32"/>
          <w:szCs w:val="32"/>
        </w:rPr>
      </w:pPr>
      <w:r>
        <w:rPr>
          <w:rFonts w:hint="eastAsia" w:ascii="FangSong_GB2312" w:eastAsia="FangSong_GB2312"/>
          <w:sz w:val="32"/>
          <w:szCs w:val="32"/>
        </w:rPr>
        <w:t>5.属于事实认定类的，由土地使用权人提出认定日期，合作区城市规划和建设局会同专家小组在指定日期到待认定事实项目现场，针对现场情况提出结论，如未能达到土地使用权人申请认定事实程度的（如外立面装饰装修工程完工），需在完成整改后再次提交申请。</w:t>
      </w:r>
    </w:p>
    <w:p>
      <w:pPr>
        <w:keepNext w:val="0"/>
        <w:keepLines w:val="0"/>
        <w:pageBreakBefore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黑体" w:hAnsi="黑体" w:eastAsia="黑体" w:cs="FangSong_GB2312"/>
          <w:sz w:val="32"/>
          <w:szCs w:val="32"/>
        </w:rPr>
      </w:pPr>
      <w:r>
        <w:rPr>
          <w:rFonts w:hint="eastAsia" w:ascii="黑体" w:hAnsi="黑体" w:eastAsia="黑体" w:cs="FangSong_GB2312"/>
          <w:sz w:val="32"/>
          <w:szCs w:val="32"/>
        </w:rPr>
        <w:t>三、专家费用</w:t>
      </w:r>
    </w:p>
    <w:p>
      <w:pPr>
        <w:keepNext w:val="0"/>
        <w:keepLines w:val="0"/>
        <w:pageBreakBefore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FangSong_GB2312" w:eastAsia="FangSong_GB2312"/>
          <w:sz w:val="32"/>
          <w:szCs w:val="32"/>
        </w:rPr>
      </w:pPr>
      <w:r>
        <w:rPr>
          <w:rFonts w:hint="eastAsia" w:ascii="FangSong_GB2312" w:eastAsia="FangSong_GB2312"/>
          <w:sz w:val="32"/>
          <w:szCs w:val="32"/>
        </w:rPr>
        <w:t>专家费用由合作区城市规划和建设局根据相关标准转账支付，并代缴相关税费。</w:t>
      </w:r>
    </w:p>
    <w:p>
      <w:pPr>
        <w:spacing w:beforeLines="0" w:afterLines="0" w:line="600" w:lineRule="exact"/>
        <w:ind w:firstLine="640" w:firstLineChars="200"/>
        <w:rPr>
          <w:rFonts w:hint="eastAsia" w:ascii="FangSong_GB2312" w:eastAsia="FangSong_GB2312"/>
          <w:sz w:val="32"/>
          <w:szCs w:val="32"/>
        </w:rPr>
      </w:pPr>
    </w:p>
    <w:p>
      <w:pPr>
        <w:spacing w:beforeLines="0" w:afterLines="0" w:line="600" w:lineRule="exact"/>
        <w:ind w:firstLine="640" w:firstLineChars="200"/>
        <w:rPr>
          <w:rFonts w:hint="eastAsia" w:ascii="FangSong_GB2312" w:eastAsia="FangSong_GB2312"/>
          <w:sz w:val="32"/>
          <w:szCs w:val="32"/>
        </w:rPr>
      </w:pPr>
    </w:p>
    <w:p>
      <w:pPr>
        <w:pStyle w:val="2"/>
        <w:spacing w:beforeLines="0" w:afterLines="0"/>
        <w:rPr>
          <w:rFonts w:hint="eastAsia" w:ascii="FangSong_GB2312" w:eastAsia="FangSong_GB2312"/>
          <w:sz w:val="32"/>
          <w:szCs w:val="32"/>
        </w:rPr>
      </w:pPr>
    </w:p>
    <w:p>
      <w:pPr>
        <w:spacing w:beforeLines="0" w:afterLines="0"/>
        <w:rPr>
          <w:rFonts w:hint="eastAsia" w:ascii="FangSong_GB2312" w:eastAsia="FangSong_GB2312"/>
          <w:sz w:val="32"/>
          <w:szCs w:val="32"/>
        </w:rPr>
      </w:pPr>
    </w:p>
    <w:p>
      <w:pPr>
        <w:pStyle w:val="2"/>
        <w:spacing w:beforeLines="0" w:afterLines="0"/>
        <w:rPr>
          <w:rFonts w:hint="eastAsia" w:ascii="FangSong_GB2312" w:eastAsia="FangSong_GB2312"/>
          <w:sz w:val="32"/>
          <w:szCs w:val="32"/>
        </w:rPr>
      </w:pPr>
    </w:p>
    <w:p>
      <w:pPr>
        <w:spacing w:beforeLines="0" w:afterLines="0"/>
        <w:rPr>
          <w:rFonts w:hint="eastAsia" w:ascii="FangSong_GB2312" w:eastAsia="FangSong_GB2312"/>
          <w:sz w:val="32"/>
          <w:szCs w:val="32"/>
        </w:rPr>
      </w:pPr>
    </w:p>
    <w:p>
      <w:pPr>
        <w:pStyle w:val="2"/>
        <w:spacing w:beforeLines="0" w:afterLines="0"/>
        <w:rPr>
          <w:rFonts w:hint="eastAsia" w:ascii="FangSong_GB2312" w:eastAsia="FangSong_GB2312"/>
          <w:sz w:val="32"/>
          <w:szCs w:val="32"/>
        </w:rPr>
      </w:pPr>
    </w:p>
    <w:p>
      <w:pPr>
        <w:spacing w:beforeLines="0" w:afterLines="0"/>
        <w:rPr>
          <w:rFonts w:hint="eastAsia" w:ascii="FangSong_GB2312" w:eastAsia="FangSong_GB2312"/>
          <w:sz w:val="32"/>
          <w:szCs w:val="32"/>
        </w:rPr>
      </w:pPr>
    </w:p>
    <w:p>
      <w:pPr>
        <w:pStyle w:val="2"/>
        <w:spacing w:beforeLines="0" w:afterLines="0"/>
        <w:rPr>
          <w:rFonts w:hint="eastAsia" w:ascii="FangSong_GB2312" w:eastAsia="FangSong_GB2312"/>
          <w:sz w:val="32"/>
          <w:szCs w:val="32"/>
        </w:rPr>
      </w:pPr>
    </w:p>
    <w:p>
      <w:pPr>
        <w:spacing w:beforeLines="0" w:afterLines="0"/>
        <w:rPr>
          <w:rFonts w:hint="eastAsia" w:ascii="FangSong_GB2312" w:eastAsia="FangSong_GB2312"/>
          <w:sz w:val="32"/>
          <w:szCs w:val="32"/>
        </w:rPr>
      </w:pPr>
    </w:p>
    <w:p>
      <w:pPr>
        <w:pStyle w:val="2"/>
        <w:spacing w:beforeLines="0" w:afterLines="0"/>
        <w:rPr>
          <w:rFonts w:hint="eastAsia" w:ascii="FangSong_GB2312" w:eastAsia="FangSong_GB2312"/>
          <w:sz w:val="32"/>
          <w:szCs w:val="32"/>
        </w:rPr>
      </w:pPr>
    </w:p>
    <w:p>
      <w:pPr>
        <w:spacing w:beforeLines="0" w:afterLines="0"/>
        <w:rPr>
          <w:rFonts w:hint="eastAsia" w:ascii="FangSong_GB2312" w:eastAsia="FangSong_GB2312"/>
          <w:sz w:val="32"/>
          <w:szCs w:val="32"/>
        </w:rPr>
      </w:pPr>
    </w:p>
    <w:p>
      <w:pPr>
        <w:pStyle w:val="2"/>
        <w:spacing w:beforeLines="0" w:afterLines="0"/>
        <w:rPr>
          <w:rFonts w:hint="eastAsia" w:ascii="FangSong_GB2312" w:eastAsia="FangSong_GB2312"/>
          <w:sz w:val="32"/>
          <w:szCs w:val="32"/>
        </w:rPr>
      </w:pPr>
    </w:p>
    <w:p>
      <w:pPr>
        <w:spacing w:beforeLines="0" w:afterLines="0"/>
        <w:rPr>
          <w:rFonts w:hint="eastAsia" w:ascii="FangSong_GB2312" w:eastAsia="FangSong_GB2312"/>
          <w:sz w:val="32"/>
          <w:szCs w:val="32"/>
        </w:rPr>
      </w:pPr>
    </w:p>
    <w:p>
      <w:pPr>
        <w:pStyle w:val="2"/>
        <w:spacing w:beforeLines="0" w:afterLines="0"/>
        <w:rPr>
          <w:rFonts w:hint="eastAsia" w:ascii="FangSong_GB2312" w:eastAsia="FangSong_GB2312"/>
          <w:sz w:val="32"/>
          <w:szCs w:val="32"/>
        </w:rPr>
      </w:pPr>
    </w:p>
    <w:p>
      <w:pPr>
        <w:spacing w:beforeLines="0" w:afterLines="0"/>
        <w:rPr>
          <w:rFonts w:hint="eastAsia" w:ascii="FangSong_GB2312" w:eastAsia="FangSong_GB2312"/>
          <w:sz w:val="32"/>
          <w:szCs w:val="32"/>
        </w:rPr>
      </w:pPr>
    </w:p>
    <w:p>
      <w:pPr>
        <w:rPr>
          <w:rFonts w:hint="eastAsia" w:ascii="FangSong_GB2312" w:eastAsia="FangSong_GB2312"/>
          <w:sz w:val="32"/>
          <w:szCs w:val="32"/>
        </w:rPr>
      </w:pPr>
    </w:p>
    <w:p>
      <w:pPr>
        <w:pStyle w:val="2"/>
        <w:rPr>
          <w:rFonts w:hint="eastAsia" w:ascii="FangSong_GB2312" w:eastAsia="FangSong_GB2312"/>
          <w:sz w:val="32"/>
          <w:szCs w:val="32"/>
        </w:rPr>
      </w:pPr>
    </w:p>
    <w:p>
      <w:pPr>
        <w:rPr>
          <w:rFonts w:hint="eastAsia"/>
        </w:rPr>
      </w:pPr>
    </w:p>
    <w:p>
      <w:pPr>
        <w:pStyle w:val="2"/>
        <w:spacing w:beforeLines="0" w:afterLines="0"/>
        <w:rPr>
          <w:rFonts w:hint="eastAsia" w:ascii="FangSong_GB2312" w:eastAsia="FangSong_GB2312"/>
          <w:sz w:val="32"/>
          <w:szCs w:val="32"/>
        </w:rPr>
      </w:pPr>
    </w:p>
    <w:p>
      <w:pPr>
        <w:spacing w:beforeLines="0" w:afterLines="0"/>
        <w:rPr>
          <w:rFonts w:hint="eastAsia"/>
          <w:sz w:val="21"/>
          <w:szCs w:val="24"/>
        </w:rPr>
      </w:pPr>
    </w:p>
    <w:p>
      <w:pPr>
        <w:rPr>
          <w:rFonts w:hint="eastAsia" w:eastAsia="FangSong_GB2312"/>
          <w:lang w:val="en-US" w:eastAsia="zh-CN"/>
        </w:rPr>
      </w:pPr>
      <w:r>
        <w:rPr>
          <w:rFonts w:hint="eastAsia" w:ascii="黑体" w:eastAsia="黑体"/>
          <w:sz w:val="28"/>
          <w:szCs w:val="28"/>
        </w:rPr>
        <w:t>公开方式：</w:t>
      </w:r>
      <w:r>
        <w:rPr>
          <w:rFonts w:hint="eastAsia" w:ascii="FangSong_GB2312" w:eastAsia="FangSong_GB2312"/>
          <w:sz w:val="32"/>
          <w:szCs w:val="32"/>
        </w:rPr>
        <w:t>主动公</w:t>
      </w:r>
      <w:r>
        <w:rPr>
          <w:rFonts w:hint="eastAsia" w:ascii="FangSong_GB2312" w:eastAsia="FangSong_GB2312"/>
          <w:sz w:val="32"/>
          <w:szCs w:val="32"/>
          <w:lang w:val="en-US" w:eastAsia="zh-CN"/>
        </w:rPr>
        <w:t>开</w:t>
      </w:r>
    </w:p>
    <w:sectPr>
      <w:pgSz w:w="12240" w:h="15840"/>
      <w:pgMar w:top="1417" w:right="1531" w:bottom="1440" w:left="1531"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KaiTi_GB2312">
    <w:altName w:val="楷体"/>
    <w:panose1 w:val="02010609060101010101"/>
    <w:charset w:val="86"/>
    <w:family w:val="modern"/>
    <w:pitch w:val="default"/>
    <w:sig w:usb0="00000000" w:usb1="00000000" w:usb2="00000016" w:usb3="00000000" w:csb0="00040001" w:csb1="00000000"/>
  </w:font>
  <w:font w:name="FangSong_GB2312">
    <w:altName w:val="仿宋_GB2312"/>
    <w:panose1 w:val="02010609060101010101"/>
    <w:charset w:val="86"/>
    <w:family w:val="modern"/>
    <w:pitch w:val="default"/>
    <w:sig w:usb0="00000000" w:usb1="00000000"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CD70FF"/>
    <w:multiLevelType w:val="multilevel"/>
    <w:tmpl w:val="1BCD70FF"/>
    <w:lvl w:ilvl="0" w:tentative="0">
      <w:start w:val="3"/>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0.128.149.38:80/media/OfficeServer.jsp;jsessionid=263662EB40B874E582A3A1FC4D22E4B9"/>
  </w:docVars>
  <w:rsids>
    <w:rsidRoot w:val="00172A27"/>
    <w:rsid w:val="02B35255"/>
    <w:rsid w:val="09E46F52"/>
    <w:rsid w:val="130C4B32"/>
    <w:rsid w:val="4CC17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default" w:ascii="Calibri" w:hAnsi="Calibri" w:eastAsia="宋体" w:cs="Times New Roman"/>
      <w:kern w:val="2"/>
      <w:sz w:val="21"/>
      <w:szCs w:val="24"/>
      <w:lang w:val="en-US" w:eastAsia="zh-CN" w:bidi="ar-SA"/>
    </w:rPr>
  </w:style>
  <w:style w:type="paragraph" w:styleId="3">
    <w:name w:val="heading 2"/>
    <w:next w:val="1"/>
    <w:unhideWhenUsed/>
    <w:qFormat/>
    <w:uiPriority w:val="0"/>
    <w:pPr>
      <w:keepNext/>
      <w:keepLines/>
      <w:widowControl w:val="0"/>
      <w:spacing w:beforeLines="0" w:afterLines="0" w:line="413" w:lineRule="auto"/>
      <w:jc w:val="both"/>
      <w:outlineLvl w:val="1"/>
    </w:pPr>
    <w:rPr>
      <w:rFonts w:hint="default" w:ascii="Arial" w:hAnsi="Arial" w:eastAsia="KaiTi_GB2312" w:cs="Times New Roman"/>
      <w:b/>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next w:val="1"/>
    <w:unhideWhenUsed/>
    <w:qFormat/>
    <w:uiPriority w:val="0"/>
    <w:pPr>
      <w:widowControl w:val="0"/>
      <w:spacing w:beforeLines="0" w:afterLines="0"/>
      <w:ind w:firstLine="420" w:firstLineChars="200"/>
      <w:jc w:val="both"/>
    </w:pPr>
    <w:rPr>
      <w:rFonts w:hint="default" w:ascii="Calibri" w:hAnsi="Calibri" w:eastAsia="宋体" w:cs="Times New Roman"/>
      <w:kern w:val="2"/>
      <w:sz w:val="21"/>
      <w:szCs w:val="22"/>
      <w:lang w:val="en-US" w:eastAsia="zh-CN" w:bidi="ar-SA"/>
    </w:rPr>
  </w:style>
  <w:style w:type="paragraph" w:styleId="4">
    <w:name w:val="footer"/>
    <w:unhideWhenUsed/>
    <w:qFormat/>
    <w:uiPriority w:val="0"/>
    <w:pPr>
      <w:widowControl w:val="0"/>
      <w:tabs>
        <w:tab w:val="center" w:pos="4153"/>
        <w:tab w:val="right" w:pos="8306"/>
      </w:tabs>
      <w:snapToGrid w:val="0"/>
      <w:spacing w:beforeLines="0" w:afterLines="0"/>
    </w:pPr>
    <w:rPr>
      <w:rFonts w:hint="default" w:ascii="Calibri" w:hAnsi="Calibri" w:eastAsia="宋体" w:cs="Times New Roman"/>
      <w:kern w:val="2"/>
      <w:sz w:val="18"/>
      <w:szCs w:val="18"/>
      <w:lang w:val="en-US" w:eastAsia="zh-CN" w:bidi="ar-SA"/>
    </w:rPr>
  </w:style>
  <w:style w:type="paragraph" w:styleId="5">
    <w:name w:val="Normal (Web)"/>
    <w:unhideWhenUsed/>
    <w:qFormat/>
    <w:uiPriority w:val="0"/>
    <w:pPr>
      <w:spacing w:before="100" w:beforeAutospacing="1" w:after="100" w:afterAutospacing="1"/>
    </w:pPr>
    <w:rPr>
      <w:rFonts w:hint="eastAsia" w:ascii="宋体" w:hAnsi="宋体" w:eastAsia="宋体" w:cs="宋体"/>
      <w:color w:val="000000"/>
      <w:sz w:val="24"/>
      <w:szCs w:val="24"/>
      <w:lang w:val="en-US" w:eastAsia="zh-CN" w:bidi="ar-SA"/>
    </w:rPr>
  </w:style>
  <w:style w:type="character" w:styleId="8">
    <w:name w:val="Strong"/>
    <w:unhideWhenUsed/>
    <w:qFormat/>
    <w:uiPriority w:val="0"/>
    <w:rPr>
      <w:rFonts w:hint="eastAsia" w:ascii="FangSong_GB2312" w:hAnsi="FangSong_GB2312" w:eastAsia="FangSong_GB2312"/>
      <w:b/>
      <w:sz w:val="32"/>
      <w:szCs w:val="24"/>
    </w:rPr>
  </w:style>
  <w:style w:type="character" w:styleId="9">
    <w:name w:val="annotation reference"/>
    <w:unhideWhenUsed/>
    <w:qFormat/>
    <w:uiPriority w:val="0"/>
    <w:rPr>
      <w:rFonts w:hint="eastAsia" w:ascii="FangSong_GB2312" w:hAnsi="FangSong_GB2312" w:eastAsia="FangSong_GB231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2023-11-27T09:23:00Z</dcterms:created>
  <dc:creator>admin</dc:creator>
  <cp:lastModifiedBy>高镇彬</cp:lastModifiedBy>
  <dcterms:modified xsi:type="dcterms:W3CDTF">2023-11-27T10:07:07Z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A72FE8586DD54E0EA359C052B231E472</vt:lpwstr>
  </property>
</Properties>
</file>