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pStyle w:val="7"/>
        <w:ind w:firstLine="210"/>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关于横琴粤澳深度合作区房屋智慧监管可视化展示平台研发服务项目的评分标准</w:t>
      </w:r>
    </w:p>
    <w:p>
      <w:pPr>
        <w:spacing w:line="600" w:lineRule="exact"/>
        <w:ind w:firstLine="880" w:firstLineChars="200"/>
        <w:rPr>
          <w:rFonts w:ascii="方正小标宋简体" w:hAnsi="方正小标宋简体" w:eastAsia="方正小标宋简体" w:cs="方正小标宋简体"/>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本项目采用综合评分法方法进行评审，具体评分细则详见综合评分表。评价指标及权重：</w:t>
      </w:r>
    </w:p>
    <w:tbl>
      <w:tblPr>
        <w:tblStyle w:val="9"/>
        <w:tblpPr w:leftFromText="180" w:rightFromText="180" w:vertAnchor="text" w:horzAnchor="page" w:tblpX="3370" w:tblpY="195"/>
        <w:tblOverlap w:val="never"/>
        <w:tblW w:w="5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61" w:type="dxa"/>
            <w:vAlign w:val="center"/>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评价指标</w:t>
            </w:r>
          </w:p>
        </w:tc>
        <w:tc>
          <w:tcPr>
            <w:tcW w:w="2078" w:type="dxa"/>
            <w:vAlign w:val="center"/>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指标权重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技术部分</w:t>
            </w:r>
          </w:p>
        </w:tc>
        <w:tc>
          <w:tcPr>
            <w:tcW w:w="2078" w:type="dxa"/>
            <w:vAlign w:val="center"/>
          </w:tcPr>
          <w:p>
            <w:pPr>
              <w:spacing w:line="4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商务部分</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经济价格</w:t>
            </w:r>
          </w:p>
        </w:tc>
        <w:tc>
          <w:tcPr>
            <w:tcW w:w="2078" w:type="dxa"/>
            <w:vAlign w:val="center"/>
          </w:tcPr>
          <w:p>
            <w:pPr>
              <w:spacing w:line="4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spacing w:line="600" w:lineRule="exact"/>
        <w:rPr>
          <w:rFonts w:ascii="仿宋_GB2312" w:hAnsi="仿宋_GB2312" w:eastAsia="仿宋_GB2312" w:cs="仿宋_GB2312"/>
          <w:b/>
          <w:bCs/>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（一）将所有商务技术评价指标所得实际评价分数相加，即为该投标人的商务技术评价得分，所有评委评出的商务技术评价得分取平均值为该投标人的商务技术标得分。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（二）经济价格标得分=(评标基准价/投标报价)×价格指标权重×100。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上述公式中的“评标基准价”是指满足招标文件要求且经评审后的最低评审价格，其价格分为满分。上述公式中的“投标报价”是指经评审后的投标报价。</w:t>
      </w:r>
    </w:p>
    <w:p>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投标最终得分 = 商务标得分 + 技术标得分＋经济价格标得分。</w:t>
      </w:r>
    </w:p>
    <w:p>
      <w:pPr>
        <w:rPr>
          <w:rFonts w:ascii="仿宋" w:hAnsi="仿宋" w:eastAsia="仿宋"/>
          <w:sz w:val="24"/>
        </w:rPr>
      </w:pPr>
    </w:p>
    <w:p>
      <w:pPr>
        <w:pStyle w:val="2"/>
        <w:rPr>
          <w:rFonts w:ascii="仿宋" w:hAnsi="仿宋" w:eastAsia="仿宋"/>
          <w:sz w:val="24"/>
        </w:rPr>
      </w:pPr>
    </w:p>
    <w:tbl>
      <w:tblPr>
        <w:tblStyle w:val="9"/>
        <w:tblpPr w:leftFromText="180" w:rightFromText="180" w:vertAnchor="text" w:horzAnchor="page" w:tblpX="1307" w:tblpY="-3"/>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60"/>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b/>
                <w:bCs/>
                <w:sz w:val="24"/>
              </w:rPr>
              <w:t>1、技术部分（50分）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评价指标</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分项分值</w:t>
            </w:r>
          </w:p>
        </w:tc>
        <w:tc>
          <w:tcPr>
            <w:tcW w:w="66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ind w:left="-6"/>
              <w:rPr>
                <w:rFonts w:ascii="宋体" w:hAnsi="宋体"/>
                <w:sz w:val="24"/>
              </w:rPr>
            </w:pPr>
            <w:r>
              <w:rPr>
                <w:rFonts w:hint="eastAsia" w:ascii="宋体" w:hAnsi="宋体"/>
                <w:sz w:val="24"/>
              </w:rPr>
              <w:t>技术方案</w:t>
            </w:r>
          </w:p>
          <w:p>
            <w:pPr>
              <w:adjustRightInd w:val="0"/>
              <w:snapToGrid w:val="0"/>
              <w:spacing w:line="360" w:lineRule="auto"/>
              <w:ind w:left="-6"/>
              <w:rPr>
                <w:rFonts w:ascii="宋体" w:hAnsi="宋体"/>
                <w:sz w:val="24"/>
              </w:rPr>
            </w:pPr>
            <w:r>
              <w:rPr>
                <w:rFonts w:hint="eastAsia" w:ascii="宋体" w:hAnsi="宋体"/>
                <w:sz w:val="24"/>
              </w:rPr>
              <w:t>（</w:t>
            </w:r>
            <w:r>
              <w:rPr>
                <w:rFonts w:hint="eastAsia" w:ascii="宋体" w:hAnsi="宋体"/>
                <w:sz w:val="24"/>
                <w:lang w:val="en-US" w:eastAsia="zh-CN"/>
              </w:rPr>
              <w:t>30</w:t>
            </w:r>
            <w:r>
              <w:rPr>
                <w:rFonts w:hint="eastAsia" w:ascii="宋体" w:hAnsi="宋体"/>
                <w:sz w:val="24"/>
              </w:rPr>
              <w:t>分）</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项目需求理解程度（5分）</w:t>
            </w:r>
          </w:p>
        </w:tc>
        <w:tc>
          <w:tcPr>
            <w:tcW w:w="6610" w:type="dxa"/>
            <w:tcBorders>
              <w:top w:val="single" w:color="auto" w:sz="4" w:space="0"/>
              <w:left w:val="single" w:color="auto" w:sz="4" w:space="0"/>
              <w:bottom w:val="single" w:color="auto" w:sz="4" w:space="0"/>
              <w:right w:val="single" w:color="auto" w:sz="4" w:space="0"/>
            </w:tcBorders>
            <w:vAlign w:val="center"/>
          </w:tcPr>
          <w:p>
            <w:pPr>
              <w:pStyle w:val="8"/>
              <w:ind w:firstLine="0" w:firstLineChars="0"/>
              <w:rPr>
                <w:rFonts w:ascii="宋体" w:hAnsi="宋体"/>
                <w:sz w:val="24"/>
              </w:rPr>
            </w:pPr>
            <w:r>
              <w:rPr>
                <w:rFonts w:hint="eastAsia" w:ascii="宋体" w:hAnsi="宋体"/>
                <w:sz w:val="24"/>
              </w:rPr>
              <w:t>对项目的需求理解的准确、合理性进行综合评价。</w:t>
            </w:r>
          </w:p>
          <w:p>
            <w:pPr>
              <w:pStyle w:val="8"/>
              <w:ind w:firstLine="0" w:firstLineChars="0"/>
              <w:rPr>
                <w:rFonts w:ascii="宋体" w:hAnsi="宋体"/>
                <w:sz w:val="24"/>
              </w:rPr>
            </w:pPr>
            <w:r>
              <w:rPr>
                <w:rFonts w:hint="eastAsia" w:ascii="宋体" w:hAnsi="宋体"/>
                <w:sz w:val="24"/>
              </w:rPr>
              <w:t>标准为：优4-5分；良2-3分；一般0-1分。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5" w:type="dxa"/>
            <w:vMerge w:val="continue"/>
            <w:tcBorders>
              <w:left w:val="single" w:color="auto" w:sz="4" w:space="0"/>
              <w:right w:val="single" w:color="auto" w:sz="4" w:space="0"/>
            </w:tcBorders>
            <w:vAlign w:val="center"/>
          </w:tcPr>
          <w:p>
            <w:pPr>
              <w:adjustRightInd w:val="0"/>
              <w:snapToGrid w:val="0"/>
              <w:spacing w:line="360" w:lineRule="auto"/>
              <w:ind w:left="-6"/>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系统总体设计方案（</w:t>
            </w:r>
            <w:r>
              <w:rPr>
                <w:rFonts w:hint="eastAsia" w:ascii="宋体" w:hAnsi="宋体"/>
                <w:sz w:val="24"/>
                <w:lang w:val="en-US" w:eastAsia="zh-CN"/>
              </w:rPr>
              <w:t>10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vAlign w:val="center"/>
          </w:tcPr>
          <w:p>
            <w:pPr>
              <w:pStyle w:val="8"/>
              <w:ind w:firstLine="0" w:firstLineChars="0"/>
              <w:rPr>
                <w:rFonts w:ascii="宋体" w:hAnsi="宋体"/>
                <w:sz w:val="24"/>
              </w:rPr>
            </w:pPr>
            <w:r>
              <w:rPr>
                <w:rFonts w:hint="eastAsia" w:ascii="宋体" w:hAnsi="宋体"/>
                <w:sz w:val="24"/>
              </w:rPr>
              <w:t>对本项目总体设计方案完整性、合理性进行综合评价。</w:t>
            </w:r>
          </w:p>
          <w:p>
            <w:pPr>
              <w:pStyle w:val="8"/>
              <w:ind w:firstLine="0" w:firstLineChars="0"/>
              <w:rPr>
                <w:rFonts w:ascii="宋体" w:hAnsi="宋体"/>
                <w:sz w:val="24"/>
              </w:rPr>
            </w:pPr>
            <w:r>
              <w:rPr>
                <w:rFonts w:hint="eastAsia" w:ascii="宋体" w:hAnsi="宋体"/>
                <w:sz w:val="24"/>
              </w:rPr>
              <w:t>标准为：优</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10</w:t>
            </w:r>
            <w:r>
              <w:rPr>
                <w:rFonts w:hint="eastAsia" w:ascii="宋体" w:hAnsi="宋体"/>
                <w:sz w:val="24"/>
              </w:rPr>
              <w:t>分；良</w:t>
            </w:r>
            <w:r>
              <w:rPr>
                <w:rFonts w:hint="eastAsia" w:ascii="宋体" w:hAnsi="宋体"/>
                <w:sz w:val="24"/>
                <w:lang w:val="en-US" w:eastAsia="zh-CN"/>
              </w:rPr>
              <w:t>3-7</w:t>
            </w:r>
            <w:r>
              <w:rPr>
                <w:rFonts w:hint="eastAsia" w:ascii="宋体" w:hAnsi="宋体"/>
                <w:sz w:val="24"/>
              </w:rPr>
              <w:t>分；一般0-</w:t>
            </w:r>
            <w:r>
              <w:rPr>
                <w:rFonts w:hint="eastAsia" w:ascii="宋体" w:hAnsi="宋体"/>
                <w:sz w:val="24"/>
                <w:lang w:val="en-US" w:eastAsia="zh-CN"/>
              </w:rPr>
              <w:t>2</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5" w:type="dxa"/>
            <w:vMerge w:val="continue"/>
            <w:tcBorders>
              <w:left w:val="single" w:color="auto" w:sz="4" w:space="0"/>
              <w:right w:val="single" w:color="auto" w:sz="4" w:space="0"/>
            </w:tcBorders>
            <w:vAlign w:val="center"/>
          </w:tcPr>
          <w:p>
            <w:pPr>
              <w:adjustRightInd w:val="0"/>
              <w:snapToGrid w:val="0"/>
              <w:spacing w:line="360" w:lineRule="auto"/>
              <w:ind w:left="-6"/>
              <w:rPr>
                <w:rFonts w:ascii="宋体" w:hAnsi="宋体"/>
                <w:sz w:val="24"/>
              </w:rPr>
            </w:pPr>
          </w:p>
        </w:tc>
        <w:tc>
          <w:tcPr>
            <w:tcW w:w="1760"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系统功能设计方案（</w:t>
            </w:r>
            <w:r>
              <w:rPr>
                <w:rFonts w:hint="eastAsia" w:ascii="宋体" w:hAnsi="宋体"/>
                <w:sz w:val="24"/>
                <w:lang w:val="en-US" w:eastAsia="zh-CN"/>
              </w:rPr>
              <w:t>5</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vAlign w:val="center"/>
          </w:tcPr>
          <w:p>
            <w:pPr>
              <w:pStyle w:val="8"/>
              <w:ind w:firstLine="0" w:firstLineChars="0"/>
              <w:rPr>
                <w:rFonts w:ascii="宋体" w:hAnsi="宋体"/>
                <w:sz w:val="24"/>
              </w:rPr>
            </w:pPr>
            <w:r>
              <w:rPr>
                <w:rFonts w:hint="eastAsia" w:ascii="宋体" w:hAnsi="宋体"/>
                <w:sz w:val="24"/>
              </w:rPr>
              <w:t>对本项目系统功能响应的完整性、合理性、可行性进行综合评价。</w:t>
            </w:r>
          </w:p>
          <w:p>
            <w:pPr>
              <w:pStyle w:val="8"/>
              <w:ind w:firstLine="0" w:firstLineChars="0"/>
              <w:rPr>
                <w:rFonts w:ascii="宋体" w:hAnsi="宋体"/>
                <w:sz w:val="24"/>
              </w:rPr>
            </w:pPr>
            <w:r>
              <w:rPr>
                <w:rFonts w:hint="eastAsia" w:ascii="宋体" w:hAnsi="宋体"/>
                <w:sz w:val="24"/>
              </w:rPr>
              <w:t>标准为：优4-5分；良2-3分；一般0-1分。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245" w:type="dxa"/>
            <w:vMerge w:val="continue"/>
            <w:tcBorders>
              <w:left w:val="single" w:color="auto" w:sz="4" w:space="0"/>
              <w:right w:val="single" w:color="auto" w:sz="4" w:space="0"/>
            </w:tcBorders>
            <w:vAlign w:val="center"/>
          </w:tcPr>
          <w:p>
            <w:pPr>
              <w:adjustRightInd w:val="0"/>
              <w:snapToGrid w:val="0"/>
              <w:spacing w:line="360" w:lineRule="auto"/>
              <w:ind w:left="-6"/>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项目实施方案（5分）</w:t>
            </w:r>
          </w:p>
        </w:tc>
        <w:tc>
          <w:tcPr>
            <w:tcW w:w="6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对投标人提供的实施计划是否可行，项目工期是否满足要求进行综合评价。</w:t>
            </w:r>
          </w:p>
          <w:p>
            <w:pPr>
              <w:spacing w:line="360" w:lineRule="auto"/>
              <w:rPr>
                <w:rFonts w:ascii="宋体" w:hAnsi="宋体"/>
                <w:sz w:val="24"/>
              </w:rPr>
            </w:pPr>
            <w:r>
              <w:rPr>
                <w:rFonts w:hint="eastAsia" w:ascii="宋体" w:hAnsi="宋体"/>
                <w:sz w:val="24"/>
              </w:rPr>
              <w:t>标准为：优4-5分；良2-3分；一般0-1分。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245" w:type="dxa"/>
            <w:vMerge w:val="continue"/>
            <w:tcBorders>
              <w:left w:val="single" w:color="auto" w:sz="4" w:space="0"/>
              <w:right w:val="single" w:color="auto" w:sz="4" w:space="0"/>
            </w:tcBorders>
            <w:vAlign w:val="center"/>
          </w:tcPr>
          <w:p>
            <w:pPr>
              <w:adjustRightInd w:val="0"/>
              <w:snapToGrid w:val="0"/>
              <w:spacing w:line="360" w:lineRule="auto"/>
              <w:ind w:left="-6"/>
              <w:rPr>
                <w:rFonts w:ascii="宋体" w:hAnsi="宋体"/>
                <w:sz w:val="24"/>
              </w:rPr>
            </w:pPr>
          </w:p>
        </w:tc>
        <w:tc>
          <w:tcPr>
            <w:tcW w:w="1760"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售后服务方案（5分）</w:t>
            </w:r>
          </w:p>
        </w:tc>
        <w:tc>
          <w:tcPr>
            <w:tcW w:w="6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对投标人提供的售后服务承诺情况、服务响应等级、是否提供本地化服务等进行综合评价。</w:t>
            </w:r>
          </w:p>
          <w:p>
            <w:pPr>
              <w:spacing w:line="360" w:lineRule="auto"/>
              <w:rPr>
                <w:rFonts w:ascii="宋体" w:hAnsi="宋体"/>
                <w:sz w:val="24"/>
              </w:rPr>
            </w:pPr>
            <w:r>
              <w:rPr>
                <w:rFonts w:hint="eastAsia" w:ascii="宋体" w:hAnsi="宋体"/>
                <w:sz w:val="24"/>
              </w:rPr>
              <w:t>标准为：优4-5分；良2-3分；一般0-1分。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15" w:type="dxa"/>
            <w:gridSpan w:val="3"/>
            <w:tcBorders>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b/>
                <w:bCs/>
                <w:sz w:val="24"/>
              </w:rPr>
              <w:t>2、商务部分（40）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245"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ascii="宋体" w:hAnsi="宋体"/>
                <w:sz w:val="24"/>
              </w:rPr>
            </w:pPr>
            <w:r>
              <w:rPr>
                <w:rFonts w:hint="eastAsia" w:ascii="宋体" w:hAnsi="宋体"/>
                <w:sz w:val="24"/>
              </w:rPr>
              <w:t>综合实力（40分）</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投标人相关认证证书（4分）</w:t>
            </w:r>
          </w:p>
        </w:tc>
        <w:tc>
          <w:tcPr>
            <w:tcW w:w="6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1、投标人</w:t>
            </w:r>
            <w:r>
              <w:rPr>
                <w:rFonts w:ascii="宋体" w:hAnsi="宋体"/>
                <w:sz w:val="24"/>
              </w:rPr>
              <w:t>获得计算机信息系统安全服务等级证书，能力等级为三级（含）以上的，得</w:t>
            </w:r>
            <w:r>
              <w:rPr>
                <w:rFonts w:hint="eastAsia" w:ascii="宋体" w:hAnsi="宋体"/>
                <w:sz w:val="24"/>
              </w:rPr>
              <w:t>2</w:t>
            </w:r>
            <w:r>
              <w:rPr>
                <w:rFonts w:ascii="宋体" w:hAnsi="宋体"/>
                <w:sz w:val="24"/>
              </w:rPr>
              <w:t>分，其他得0分。</w:t>
            </w:r>
          </w:p>
          <w:p>
            <w:pPr>
              <w:spacing w:line="360" w:lineRule="auto"/>
              <w:rPr>
                <w:rFonts w:hint="eastAsia" w:ascii="宋体" w:hAnsi="宋体"/>
                <w:sz w:val="24"/>
              </w:rPr>
            </w:pPr>
            <w:r>
              <w:rPr>
                <w:rFonts w:hint="eastAsia" w:ascii="宋体" w:hAnsi="宋体"/>
                <w:sz w:val="24"/>
              </w:rPr>
              <w:t>2、投标人</w:t>
            </w:r>
            <w:r>
              <w:rPr>
                <w:rFonts w:ascii="宋体" w:hAnsi="宋体"/>
                <w:sz w:val="24"/>
              </w:rPr>
              <w:t>获得</w:t>
            </w:r>
            <w:r>
              <w:rPr>
                <w:rFonts w:hint="eastAsia" w:ascii="宋体" w:hAnsi="宋体"/>
                <w:sz w:val="24"/>
              </w:rPr>
              <w:t>ISO9001质量管理体系认证</w:t>
            </w:r>
            <w:r>
              <w:rPr>
                <w:rFonts w:ascii="宋体" w:hAnsi="宋体"/>
                <w:sz w:val="24"/>
              </w:rPr>
              <w:t>证书</w:t>
            </w:r>
            <w:r>
              <w:rPr>
                <w:rFonts w:hint="eastAsia" w:ascii="宋体" w:hAnsi="宋体"/>
                <w:sz w:val="24"/>
              </w:rPr>
              <w:t>的，得2分，无得0分。</w:t>
            </w:r>
          </w:p>
          <w:p>
            <w:pPr>
              <w:spacing w:line="360" w:lineRule="auto"/>
              <w:rPr>
                <w:rFonts w:ascii="宋体" w:hAnsi="宋体"/>
                <w:sz w:val="24"/>
              </w:rPr>
            </w:pPr>
            <w:r>
              <w:rPr>
                <w:rFonts w:hint="eastAsia" w:ascii="宋体" w:hAnsi="宋体"/>
                <w:sz w:val="24"/>
              </w:rPr>
              <w:t>最高得</w:t>
            </w:r>
            <w:r>
              <w:rPr>
                <w:rFonts w:hint="eastAsia" w:ascii="宋体" w:hAnsi="宋体"/>
                <w:sz w:val="24"/>
                <w:lang w:val="en-US" w:eastAsia="zh-CN"/>
              </w:rPr>
              <w:t>4</w:t>
            </w:r>
            <w:bookmarkStart w:id="4" w:name="_GoBack"/>
            <w:bookmarkEnd w:id="4"/>
            <w:r>
              <w:rPr>
                <w:rFonts w:hint="eastAsia" w:ascii="宋体" w:hAnsi="宋体"/>
                <w:sz w:val="24"/>
              </w:rPr>
              <w:t>分。</w:t>
            </w:r>
          </w:p>
          <w:p>
            <w:pPr>
              <w:pStyle w:val="7"/>
              <w:spacing w:line="360" w:lineRule="auto"/>
              <w:ind w:firstLine="0" w:firstLineChars="0"/>
              <w:rPr>
                <w:rFonts w:ascii="宋体" w:hAnsi="宋体"/>
                <w:sz w:val="24"/>
              </w:rPr>
            </w:pPr>
            <w:r>
              <w:rPr>
                <w:rFonts w:hint="eastAsia" w:ascii="宋体" w:hAnsi="宋体"/>
                <w:sz w:val="24"/>
              </w:rPr>
              <w:t>注：需提供相关相应证书复印件并加盖</w:t>
            </w:r>
            <w:r>
              <w:rPr>
                <w:rFonts w:ascii="宋体" w:hAnsi="宋体"/>
                <w:sz w:val="24"/>
              </w:rPr>
              <w:t>供应商公章</w:t>
            </w:r>
            <w:r>
              <w:rPr>
                <w:rFonts w:hint="eastAsia" w:ascii="宋体" w:hAnsi="宋体"/>
                <w:sz w:val="24"/>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245" w:type="dxa"/>
            <w:vMerge w:val="continue"/>
            <w:tcBorders>
              <w:left w:val="single" w:color="auto" w:sz="4" w:space="0"/>
              <w:right w:val="single" w:color="auto" w:sz="4" w:space="0"/>
            </w:tcBorders>
            <w:vAlign w:val="center"/>
          </w:tcPr>
          <w:p>
            <w:pPr>
              <w:widowControl/>
              <w:spacing w:line="360" w:lineRule="auto"/>
              <w:jc w:val="left"/>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投标人产品研发实力（18分）</w:t>
            </w:r>
          </w:p>
        </w:tc>
        <w:tc>
          <w:tcPr>
            <w:tcW w:w="6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投标人具有保障性住房管理平台、房地产交易监管平台、房屋全生命周期监管平台、房地产信息系统、智慧物业服务平台、物业维修资金管理系统等相关软件著作权证书每个得3分，最高得18分。</w:t>
            </w:r>
          </w:p>
          <w:p>
            <w:pPr>
              <w:spacing w:line="360" w:lineRule="auto"/>
              <w:rPr>
                <w:rFonts w:ascii="宋体" w:hAnsi="宋体"/>
                <w:sz w:val="24"/>
              </w:rPr>
            </w:pPr>
            <w:r>
              <w:rPr>
                <w:rFonts w:hint="eastAsia" w:ascii="宋体" w:hAnsi="宋体"/>
                <w:sz w:val="24"/>
              </w:rPr>
              <w:t>注：同一证书只计算一次得分，投标文件提供证书复印件加盖投标人公章，未按要求提供不得分。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245" w:type="dxa"/>
            <w:vMerge w:val="continue"/>
            <w:tcBorders>
              <w:left w:val="single" w:color="auto" w:sz="4" w:space="0"/>
              <w:right w:val="single" w:color="auto" w:sz="4" w:space="0"/>
            </w:tcBorders>
            <w:vAlign w:val="center"/>
          </w:tcPr>
          <w:p>
            <w:pPr>
              <w:spacing w:line="360" w:lineRule="auto"/>
              <w:rPr>
                <w:rFonts w:ascii="宋体" w:hAnsi="宋体"/>
                <w:sz w:val="24"/>
              </w:rPr>
            </w:pPr>
          </w:p>
        </w:tc>
        <w:tc>
          <w:tcPr>
            <w:tcW w:w="1760" w:type="dxa"/>
            <w:tcBorders>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投标人类似项目经验（18分）</w:t>
            </w:r>
          </w:p>
        </w:tc>
        <w:tc>
          <w:tcPr>
            <w:tcW w:w="66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sz w:val="24"/>
              </w:rPr>
            </w:pPr>
            <w:r>
              <w:rPr>
                <w:rFonts w:hint="eastAsia" w:ascii="宋体" w:hAnsi="宋体"/>
                <w:sz w:val="24"/>
              </w:rPr>
              <w:t>投标人承接过保障性住房管理平台、房地产交易监管平台、房屋全生命周期监管平台、房地产信息系统、智慧物业服务平台、物业维修资金管理系统等相关信息化项目，每个合同得3分，累计计算，最高得18分。</w:t>
            </w:r>
          </w:p>
          <w:p>
            <w:pPr>
              <w:widowControl/>
              <w:spacing w:line="360" w:lineRule="auto"/>
              <w:rPr>
                <w:rFonts w:ascii="宋体" w:hAnsi="宋体"/>
                <w:sz w:val="24"/>
              </w:rPr>
            </w:pPr>
            <w:r>
              <w:rPr>
                <w:rFonts w:hint="eastAsia" w:ascii="宋体" w:hAnsi="宋体"/>
                <w:sz w:val="24"/>
              </w:rPr>
              <w:t>注：证明材料为合同，投标文件提供合同关键页复印件并加盖投标人公章，合同必须为投标人单位名称签订，否则不得分。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615" w:type="dxa"/>
            <w:gridSpan w:val="3"/>
            <w:tcBorders>
              <w:left w:val="single" w:color="auto" w:sz="4" w:space="0"/>
              <w:right w:val="single" w:color="auto" w:sz="4" w:space="0"/>
            </w:tcBorders>
            <w:vAlign w:val="center"/>
          </w:tcPr>
          <w:p>
            <w:pPr>
              <w:keepNext/>
              <w:keepLines/>
              <w:spacing w:before="100" w:line="360" w:lineRule="auto"/>
              <w:jc w:val="center"/>
              <w:rPr>
                <w:rFonts w:ascii="仿宋" w:hAnsi="仿宋" w:eastAsia="仿宋" w:cs="宋体"/>
                <w:b/>
                <w:sz w:val="24"/>
              </w:rPr>
            </w:pPr>
            <w:bookmarkStart w:id="0" w:name="_Toc496095010"/>
            <w:bookmarkStart w:id="1" w:name="_Toc20642"/>
            <w:bookmarkStart w:id="2" w:name="_Toc496618262"/>
            <w:bookmarkStart w:id="3" w:name="_Toc13547"/>
            <w:r>
              <w:rPr>
                <w:rFonts w:hint="eastAsia" w:ascii="宋体" w:hAnsi="宋体"/>
                <w:b/>
                <w:bCs/>
                <w:sz w:val="24"/>
              </w:rPr>
              <w:t>3、</w:t>
            </w:r>
            <w:r>
              <w:rPr>
                <w:rFonts w:hint="eastAsia" w:ascii="宋体" w:hAnsi="宋体"/>
                <w:b/>
                <w:bCs/>
                <w:sz w:val="24"/>
                <w:lang w:val="zh-CN"/>
              </w:rPr>
              <w:t>经济价格指标评（10分）</w:t>
            </w:r>
            <w:bookmarkEnd w:id="0"/>
            <w:bookmarkEnd w:id="1"/>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45" w:type="dxa"/>
            <w:tcBorders>
              <w:left w:val="single" w:color="auto" w:sz="4" w:space="0"/>
              <w:right w:val="single" w:color="auto" w:sz="4" w:space="0"/>
            </w:tcBorders>
            <w:vAlign w:val="center"/>
          </w:tcPr>
          <w:p>
            <w:pPr>
              <w:spacing w:line="400" w:lineRule="exact"/>
              <w:jc w:val="center"/>
              <w:rPr>
                <w:rFonts w:ascii="仿宋" w:hAnsi="仿宋" w:eastAsia="仿宋" w:cs="宋体"/>
                <w:sz w:val="24"/>
              </w:rPr>
            </w:pPr>
            <w:r>
              <w:rPr>
                <w:rFonts w:hint="eastAsia" w:ascii="宋体" w:hAnsi="宋体"/>
                <w:sz w:val="24"/>
              </w:rPr>
              <w:t>评审指标</w:t>
            </w:r>
          </w:p>
        </w:tc>
        <w:tc>
          <w:tcPr>
            <w:tcW w:w="1760" w:type="dxa"/>
            <w:tcBorders>
              <w:left w:val="single" w:color="auto" w:sz="4" w:space="0"/>
              <w:right w:val="single" w:color="auto" w:sz="4" w:space="0"/>
            </w:tcBorders>
            <w:vAlign w:val="center"/>
          </w:tcPr>
          <w:p>
            <w:pPr>
              <w:spacing w:line="400" w:lineRule="exact"/>
              <w:jc w:val="center"/>
              <w:rPr>
                <w:rFonts w:ascii="仿宋" w:hAnsi="仿宋" w:eastAsia="仿宋" w:cs="宋体"/>
                <w:sz w:val="24"/>
              </w:rPr>
            </w:pPr>
            <w:r>
              <w:rPr>
                <w:rFonts w:hint="eastAsia" w:ascii="宋体" w:hAnsi="宋体"/>
                <w:sz w:val="24"/>
              </w:rPr>
              <w:t>分值</w:t>
            </w:r>
          </w:p>
        </w:tc>
        <w:tc>
          <w:tcPr>
            <w:tcW w:w="66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b/>
                <w:sz w:val="24"/>
              </w:rPr>
            </w:pPr>
            <w:r>
              <w:rPr>
                <w:rFonts w:hint="eastAsia" w:ascii="宋体" w:hAnsi="宋体"/>
                <w:sz w:val="24"/>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45" w:type="dxa"/>
            <w:tcBorders>
              <w:left w:val="single" w:color="auto" w:sz="4" w:space="0"/>
              <w:right w:val="single" w:color="auto" w:sz="4" w:space="0"/>
            </w:tcBorders>
            <w:vAlign w:val="center"/>
          </w:tcPr>
          <w:p>
            <w:pPr>
              <w:spacing w:line="360" w:lineRule="auto"/>
              <w:rPr>
                <w:rFonts w:ascii="仿宋" w:hAnsi="仿宋" w:eastAsia="仿宋" w:cs="宋体"/>
                <w:sz w:val="24"/>
              </w:rPr>
            </w:pPr>
            <w:r>
              <w:rPr>
                <w:rFonts w:hint="eastAsia" w:ascii="宋体" w:hAnsi="宋体"/>
                <w:sz w:val="24"/>
              </w:rPr>
              <w:t>经济价格</w:t>
            </w:r>
          </w:p>
        </w:tc>
        <w:tc>
          <w:tcPr>
            <w:tcW w:w="1760" w:type="dxa"/>
            <w:tcBorders>
              <w:left w:val="single" w:color="auto" w:sz="4" w:space="0"/>
              <w:right w:val="single" w:color="auto" w:sz="4" w:space="0"/>
            </w:tcBorders>
            <w:vAlign w:val="center"/>
          </w:tcPr>
          <w:p>
            <w:pPr>
              <w:spacing w:line="360" w:lineRule="auto"/>
              <w:jc w:val="center"/>
              <w:rPr>
                <w:rFonts w:ascii="仿宋" w:hAnsi="仿宋" w:eastAsia="仿宋" w:cs="宋体"/>
                <w:sz w:val="24"/>
              </w:rPr>
            </w:pPr>
            <w:r>
              <w:rPr>
                <w:rFonts w:hint="eastAsia" w:ascii="宋体" w:hAnsi="宋体"/>
                <w:sz w:val="24"/>
                <w:lang w:val="en-US" w:eastAsia="zh-CN"/>
              </w:rPr>
              <w:t>30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经济价格标得分=(评标基准价/投标报价)×100×</w:t>
            </w:r>
            <w:r>
              <w:rPr>
                <w:rFonts w:hint="eastAsia" w:ascii="宋体" w:hAnsi="宋体"/>
                <w:sz w:val="24"/>
                <w:lang w:val="en-US" w:eastAsia="zh-CN"/>
              </w:rPr>
              <w:t>3</w:t>
            </w:r>
            <w:r>
              <w:rPr>
                <w:rFonts w:hint="eastAsia" w:ascii="宋体" w:hAnsi="宋体"/>
                <w:sz w:val="24"/>
              </w:rPr>
              <w:t>0%</w:t>
            </w:r>
          </w:p>
          <w:p>
            <w:pPr>
              <w:spacing w:line="360" w:lineRule="auto"/>
              <w:rPr>
                <w:rFonts w:ascii="仿宋" w:hAnsi="仿宋" w:eastAsia="仿宋" w:cs="宋体"/>
                <w:b/>
                <w:sz w:val="24"/>
              </w:rPr>
            </w:pPr>
            <w:r>
              <w:rPr>
                <w:rFonts w:hint="eastAsia" w:ascii="宋体" w:hAnsi="宋体"/>
                <w:sz w:val="24"/>
              </w:rPr>
              <w:t>上述公式中的“评标基准价”是指满足招标文件要求且经评审后的最低评审价格，其价格分为满分。上述公式中的“投标报价”是指经评审后的投标报价。</w:t>
            </w:r>
          </w:p>
        </w:tc>
      </w:tr>
    </w:tbl>
    <w:p>
      <w:pPr>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48D009A-C73D-48F6-BB43-D6C2A56525DB}"/>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4D311CA7-16F3-4A7E-9A8B-3A72B871D592}"/>
  </w:font>
  <w:font w:name="方正小标宋简体">
    <w:panose1 w:val="02000000000000000000"/>
    <w:charset w:val="86"/>
    <w:family w:val="auto"/>
    <w:pitch w:val="default"/>
    <w:sig w:usb0="00000001" w:usb1="08000000" w:usb2="00000000" w:usb3="00000000" w:csb0="00040000" w:csb1="00000000"/>
    <w:embedRegular r:id="rId3" w:fontKey="{5408C43B-DABB-4F84-A0A9-23098EE5D380}"/>
  </w:font>
  <w:font w:name="仿宋">
    <w:panose1 w:val="02010609060101010101"/>
    <w:charset w:val="86"/>
    <w:family w:val="modern"/>
    <w:pitch w:val="default"/>
    <w:sig w:usb0="800002BF" w:usb1="38CF7CFA" w:usb2="00000016" w:usb3="00000000" w:csb0="00040001" w:csb1="00000000"/>
    <w:embedRegular r:id="rId4" w:fontKey="{3AFA1D6C-8A72-4125-88F0-A802F95C022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74790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D9AB7"/>
    <w:multiLevelType w:val="singleLevel"/>
    <w:tmpl w:val="80DD9A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OTBkY2IyZTQ3ZDhiYWVhYzdkODczMjNlNzg0MWIifQ=="/>
  </w:docVars>
  <w:rsids>
    <w:rsidRoot w:val="0017274B"/>
    <w:rsid w:val="00025749"/>
    <w:rsid w:val="0005174D"/>
    <w:rsid w:val="000B5BB5"/>
    <w:rsid w:val="000B7D95"/>
    <w:rsid w:val="00103C68"/>
    <w:rsid w:val="0013474C"/>
    <w:rsid w:val="0017274B"/>
    <w:rsid w:val="001930E7"/>
    <w:rsid w:val="001E209E"/>
    <w:rsid w:val="0020242C"/>
    <w:rsid w:val="00223C47"/>
    <w:rsid w:val="002577F7"/>
    <w:rsid w:val="002B5B41"/>
    <w:rsid w:val="002D5D6B"/>
    <w:rsid w:val="00365A11"/>
    <w:rsid w:val="003D50E9"/>
    <w:rsid w:val="005017C0"/>
    <w:rsid w:val="0061662D"/>
    <w:rsid w:val="0062728A"/>
    <w:rsid w:val="006707A6"/>
    <w:rsid w:val="00673B37"/>
    <w:rsid w:val="00721168"/>
    <w:rsid w:val="008000A8"/>
    <w:rsid w:val="0080380F"/>
    <w:rsid w:val="00824649"/>
    <w:rsid w:val="0086446B"/>
    <w:rsid w:val="00872C8F"/>
    <w:rsid w:val="008938A7"/>
    <w:rsid w:val="009314DC"/>
    <w:rsid w:val="00952BA9"/>
    <w:rsid w:val="009C4897"/>
    <w:rsid w:val="00AC7064"/>
    <w:rsid w:val="00AF2D67"/>
    <w:rsid w:val="00BB0FAA"/>
    <w:rsid w:val="00BD506B"/>
    <w:rsid w:val="00D70537"/>
    <w:rsid w:val="00D858E9"/>
    <w:rsid w:val="00DA594B"/>
    <w:rsid w:val="00DC101A"/>
    <w:rsid w:val="00E93C7D"/>
    <w:rsid w:val="00EC1AE9"/>
    <w:rsid w:val="00ED2605"/>
    <w:rsid w:val="00F31ED3"/>
    <w:rsid w:val="00F36F67"/>
    <w:rsid w:val="00F4427E"/>
    <w:rsid w:val="00FF78BB"/>
    <w:rsid w:val="07C71432"/>
    <w:rsid w:val="2F866DEF"/>
    <w:rsid w:val="39550235"/>
    <w:rsid w:val="3A9705AC"/>
    <w:rsid w:val="50E952CC"/>
    <w:rsid w:val="53DE35E3"/>
    <w:rsid w:val="54AA7276"/>
    <w:rsid w:val="56883D1B"/>
    <w:rsid w:val="68C3403E"/>
    <w:rsid w:val="6D2C4979"/>
    <w:rsid w:val="70715169"/>
    <w:rsid w:val="7E321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unhideWhenUsed/>
    <w:qFormat/>
    <w:uiPriority w:val="0"/>
    <w:rPr>
      <w:rFonts w:hAnsi="Courier New" w:cs="Courier New" w:asciiTheme="minorEastAsia" w:eastAsiaTheme="minorEastAsia"/>
    </w:rPr>
  </w:style>
  <w:style w:type="paragraph" w:styleId="3">
    <w:name w:val="Body Text"/>
    <w:basedOn w:val="1"/>
    <w:next w:val="1"/>
    <w:link w:val="16"/>
    <w:semiHidden/>
    <w:unhideWhenUsed/>
    <w:qFormat/>
    <w:uiPriority w:val="99"/>
    <w:pPr>
      <w:spacing w:after="120"/>
    </w:pPr>
  </w:style>
  <w:style w:type="paragraph" w:styleId="4">
    <w:name w:val="Body Text Indent"/>
    <w:basedOn w:val="1"/>
    <w:link w:val="11"/>
    <w:semiHidden/>
    <w:unhideWhenUsed/>
    <w:qFormat/>
    <w:uiPriority w:val="99"/>
    <w:pPr>
      <w:spacing w:after="120"/>
      <w:ind w:left="420" w:leftChars="2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17"/>
    <w:unhideWhenUsed/>
    <w:qFormat/>
    <w:uiPriority w:val="99"/>
    <w:pPr>
      <w:ind w:firstLine="420" w:firstLineChars="100"/>
    </w:pPr>
    <w:rPr>
      <w:rFonts w:ascii="Calibri" w:hAnsi="Calibri"/>
    </w:rPr>
  </w:style>
  <w:style w:type="paragraph" w:styleId="8">
    <w:name w:val="Body Text First Indent 2"/>
    <w:basedOn w:val="4"/>
    <w:link w:val="12"/>
    <w:qFormat/>
    <w:uiPriority w:val="0"/>
    <w:pPr>
      <w:adjustRightInd w:val="0"/>
      <w:snapToGrid w:val="0"/>
      <w:spacing w:after="0" w:line="360" w:lineRule="auto"/>
      <w:ind w:left="0" w:leftChars="0" w:firstLine="420" w:firstLineChars="200"/>
    </w:pPr>
  </w:style>
  <w:style w:type="character" w:customStyle="1" w:styleId="11">
    <w:name w:val="正文文本缩进 字符"/>
    <w:basedOn w:val="10"/>
    <w:link w:val="4"/>
    <w:semiHidden/>
    <w:qFormat/>
    <w:uiPriority w:val="99"/>
    <w:rPr>
      <w:rFonts w:ascii="Times New Roman" w:hAnsi="Times New Roman" w:eastAsia="宋体" w:cs="Times New Roman"/>
      <w:szCs w:val="24"/>
    </w:rPr>
  </w:style>
  <w:style w:type="character" w:customStyle="1" w:styleId="12">
    <w:name w:val="正文文本首行缩进 2 字符"/>
    <w:basedOn w:val="11"/>
    <w:link w:val="8"/>
    <w:qFormat/>
    <w:uiPriority w:val="0"/>
    <w:rPr>
      <w:rFonts w:ascii="Times New Roman" w:hAnsi="Times New Roman" w:eastAsia="宋体" w:cs="Times New Roman"/>
      <w:szCs w:val="24"/>
    </w:rPr>
  </w:style>
  <w:style w:type="character" w:customStyle="1" w:styleId="13">
    <w:name w:val="纯文本 字符"/>
    <w:basedOn w:val="10"/>
    <w:link w:val="2"/>
    <w:qFormat/>
    <w:uiPriority w:val="0"/>
    <w:rPr>
      <w:rFonts w:hAnsi="Courier New" w:cs="Courier New" w:asciiTheme="minorEastAsia"/>
      <w:szCs w:val="24"/>
    </w:rPr>
  </w:style>
  <w:style w:type="character" w:customStyle="1" w:styleId="14">
    <w:name w:val="页眉 字符"/>
    <w:basedOn w:val="10"/>
    <w:link w:val="6"/>
    <w:qFormat/>
    <w:uiPriority w:val="99"/>
    <w:rPr>
      <w:rFonts w:ascii="Times New Roman" w:hAnsi="Times New Roman" w:eastAsia="宋体" w:cs="Times New Roman"/>
      <w:sz w:val="18"/>
      <w:szCs w:val="18"/>
    </w:rPr>
  </w:style>
  <w:style w:type="character" w:customStyle="1" w:styleId="15">
    <w:name w:val="页脚 字符"/>
    <w:basedOn w:val="10"/>
    <w:link w:val="5"/>
    <w:qFormat/>
    <w:uiPriority w:val="99"/>
    <w:rPr>
      <w:rFonts w:ascii="Times New Roman" w:hAnsi="Times New Roman" w:eastAsia="宋体" w:cs="Times New Roman"/>
      <w:sz w:val="18"/>
      <w:szCs w:val="18"/>
    </w:rPr>
  </w:style>
  <w:style w:type="character" w:customStyle="1" w:styleId="16">
    <w:name w:val="正文文本 字符"/>
    <w:basedOn w:val="10"/>
    <w:link w:val="3"/>
    <w:semiHidden/>
    <w:qFormat/>
    <w:uiPriority w:val="99"/>
    <w:rPr>
      <w:rFonts w:ascii="Times New Roman" w:hAnsi="Times New Roman" w:eastAsia="宋体" w:cs="Times New Roman"/>
      <w:szCs w:val="24"/>
    </w:rPr>
  </w:style>
  <w:style w:type="character" w:customStyle="1" w:styleId="17">
    <w:name w:val="正文文本首行缩进 字符"/>
    <w:basedOn w:val="16"/>
    <w:link w:val="7"/>
    <w:qFormat/>
    <w:uiPriority w:val="99"/>
    <w:rPr>
      <w:rFonts w:ascii="Calibri" w:hAnsi="Calibri" w:eastAsia="宋体" w:cs="Times New Roman"/>
      <w:szCs w:val="24"/>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201</Words>
  <Characters>1149</Characters>
  <Lines>9</Lines>
  <Paragraphs>2</Paragraphs>
  <TotalTime>0</TotalTime>
  <ScaleCrop>false</ScaleCrop>
  <LinksUpToDate>false</LinksUpToDate>
  <CharactersWithSpaces>1348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2023-12-04T06:29:00Z</dcterms:created>
  <dc:creator>HP</dc:creator>
  <cp:lastModifiedBy>sunjianan4@163.com</cp:lastModifiedBy>
  <dcterms:modified xsi:type="dcterms:W3CDTF">2023-12-05T01:41:44Z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3262E8E5500E43D8AC2B6A5E0CEA2D51_12</vt:lpwstr>
  </property>
</Properties>
</file>