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center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highlight w:val="none"/>
          <w:lang w:eastAsia="zh-TW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highlight w:val="none"/>
        </w:rPr>
        <w:t>评分</w:t>
      </w: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highlight w:val="none"/>
          <w:lang w:eastAsia="zh-TW"/>
        </w:rPr>
        <w:t>表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0" w:line="240" w:lineRule="auto"/>
        <w:ind w:firstLine="0" w:firstLineChars="0"/>
        <w:jc w:val="center"/>
        <w:outlineLvl w:val="2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</w:rPr>
        <w:t>技术部分（</w:t>
      </w:r>
      <w:r>
        <w:rPr>
          <w:rFonts w:hint="eastAsia" w:eastAsia="PMingLiU" w:asciiTheme="minorEastAsia" w:hAnsiTheme="minorEastAsia" w:cstheme="minorEastAsia"/>
          <w:b/>
          <w:bCs/>
          <w:color w:val="auto"/>
          <w:kern w:val="2"/>
          <w:sz w:val="28"/>
          <w:szCs w:val="28"/>
          <w:highlight w:val="none"/>
          <w:lang w:val="en-US" w:eastAsia="zh-TW"/>
        </w:rPr>
        <w:t>50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</w:rPr>
        <w:t>分）</w:t>
      </w:r>
    </w:p>
    <w:tbl>
      <w:tblPr>
        <w:tblStyle w:val="8"/>
        <w:tblW w:w="813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7"/>
        <w:gridCol w:w="5040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评分标准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对项目理解与认识程度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人对本项目的理解及认识程度，对项目重点、难点分析、应对措施及合理化建议等进行综合评审：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1.对项目的理解及认识充分，重点、难点把握准确的，应对措施及合理化建议针对性及可操作性强，内容清晰、明确，能完全满足购需求的，得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2.对项目的理解及认识较充分，重点、难点把握较准确的，应对措施及合理化建议针对性及可操作性较强，内容清晰，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比较能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满足采购需求的，得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分；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3.对项目的理解及认识一般，重点、难点把握准确性一般的，应对措施及合理化建议针对性及可操作性一般，内容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准确，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满足采购需求的，得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分；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4.对项目的理解及重点、难点把握准确性差的，应对措施及合理化建议针对性及可操作性不够，内容不准确的，不能满足采购需求的，得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分。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5.没有提供方案或提供的方案与本项目无关的，得0分。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项目实施方案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人制定项目实施方案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进行综合评审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，内容包括但不限于：1、具体工作内容；2、工作方法；3、技术要点分析；4、设备投入；5、工作流程等工作方案。 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项目实施方案内容清晰详尽，全面、科学、合理，可操作性强，人员设备投入满足项目需要能完全满足或优于采购需求的，得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分；  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项目实施方案内容较为清晰详尽，合理，可行，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比较能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满足采购需求的，得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分；  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项目实施方案内容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清晰详尽，基本合理，可行，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满足采购需求的，得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分；  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项目实施方案内容过于简单，方案不够合理，可行性差，不能满足采购需求的，得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分。 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5.没有提供方案或提供的方案与本项目无关的，得0分。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线上活动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TW"/>
              </w:rPr>
              <w:t>宣教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方案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人对本项目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工作方案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进行综合评审，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包括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但不限于1、启动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TW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计划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TW"/>
              </w:rPr>
              <w:t>宣传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方案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方案计划考虑全面、合理、科学、措施得当、可操作性强、能全面满足项目需要。得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分。 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方案计划考虑较全面、合理、科学、措施较得当、可操作性较强。得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分。 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方案计划考虑基本合理、措施基本得当、可操作性一般。得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分。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4.方案计划考虑不全面、措施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不够得当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、可操作性较差。得1分。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5.没有提供方案或提供的方案与本项目无关的，得0分。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质量保证方案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根据投标人制定质量保证方案进行综合评审，内容包括但不限于：1、组织结构；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、质量控制等。 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1.方案完善全面、细致详尽，切实可行，完全满足或优于采购需求的，得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分； 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2.方案较为全面，合理可行，比较能满足采购需求的，得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分； 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3.方案基本齐全，基本合理可行，基本满足采购需求的，得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分； 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4.方案过于简单，可行性不强，不能满足采购需求的，得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分。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</w:pPr>
            <w:bookmarkStart w:id="0" w:name="_Toc16125"/>
            <w:bookmarkStart w:id="1" w:name="_Toc7240"/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投标人的增值服务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投标人提供的增值服务完全适用于本项目，且可操作性高,得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投标人提供的增值服务较适用于本项目，可操作性较高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得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投标人提供的增值服务不适用于本项目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得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</w:t>
            </w:r>
          </w:p>
        </w:tc>
      </w:tr>
    </w:tbl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0" w:line="240" w:lineRule="auto"/>
        <w:ind w:firstLine="0" w:firstLineChars="0"/>
        <w:jc w:val="center"/>
        <w:outlineLvl w:val="2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</w:rPr>
        <w:t>商务部分（</w:t>
      </w:r>
      <w:r>
        <w:rPr>
          <w:rFonts w:hint="eastAsia" w:eastAsia="PMingLiU" w:asciiTheme="minorEastAsia" w:hAnsiTheme="minorEastAsia" w:cstheme="minorEastAsia"/>
          <w:b/>
          <w:bCs/>
          <w:color w:val="auto"/>
          <w:kern w:val="2"/>
          <w:sz w:val="28"/>
          <w:szCs w:val="28"/>
          <w:highlight w:val="none"/>
          <w:lang w:val="en-US" w:eastAsia="zh-TW"/>
        </w:rPr>
        <w:t>40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</w:rPr>
        <w:t>分）</w:t>
      </w:r>
      <w:bookmarkEnd w:id="0"/>
      <w:bookmarkEnd w:id="1"/>
    </w:p>
    <w:tbl>
      <w:tblPr>
        <w:tblStyle w:val="8"/>
        <w:tblW w:w="813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91"/>
        <w:gridCol w:w="5040"/>
        <w:gridCol w:w="1230"/>
      </w:tblGrid>
      <w:tr>
        <w:trPr>
          <w:trHeight w:val="15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同类项目业绩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供应商自20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日（以合同签订时间为准）以来，承接现已完成的具有类似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TW"/>
              </w:rPr>
              <w:t>平台运维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的，一项得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分，最多计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项业绩，满分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文件中提供关业绩合同复印件并加盖公章。未提供有效证明材料的不得分。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运营能力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自有主体账号评分内容：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投标人拥有自有主体运营并经认证的官方微信公众号，由评审专家根据其微信公众号关注数（粉丝量）进行打分，评分内容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eastAsia="zh-TW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本项最高得1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（1）微信公众号关注数（粉丝量）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万以上（含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0万）的，提供一个得1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分，仅限一个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eastAsia="zh-TW"/>
              </w:rPr>
              <w:t>．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（2）微信公众号关注数（粉丝量）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00万以上（含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00万）的，提供一个得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eastAsia="zh-TW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）微信公众号关注数（粉丝量）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00万以上（含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00万）的，提供一个得</w:t>
            </w: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</w:t>
            </w:r>
            <w:bookmarkStart w:id="2" w:name="_GoBack"/>
            <w:bookmarkEnd w:id="2"/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eastAsia="zh-TW"/>
              </w:rPr>
              <w:t>。</w:t>
            </w: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2.自公告发布之日起前10天，投标人拥有的自有主体运营并经认证的官方微信公众号，阅读量达10万+的文章，每篇计1分，本项最高得</w:t>
            </w:r>
            <w:r>
              <w:rPr>
                <w:rFonts w:hint="eastAsia" w:eastAsia="PMingLiU" w:asciiTheme="minorEastAsia" w:hAnsiTheme="minorEastAsia" w:cstheme="minorEastAsia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分，未提供不得分。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注：提供微信公众号关注数（粉丝量）截图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及10万+文章链接等相关内容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加盖投标人公章，未提供或提供的不符合或提供不清晰导致无法判断的均不得分。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项目投入人员构成情况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20" w:line="240" w:lineRule="auto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投标人需组建专业服务团队，满足本科或以上学历，并为新闻、中文、传媒、编辑出版类等相关专业，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TW"/>
              </w:rPr>
              <w:t>每位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符合要求人员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TW"/>
              </w:rPr>
              <w:t>2分，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提供5位符合要求人员得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TW"/>
              </w:rPr>
              <w:t>10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分，提供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TW"/>
              </w:rPr>
              <w:t>2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位符合要求人员得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TW"/>
              </w:rPr>
              <w:t>4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分，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TW"/>
              </w:rPr>
              <w:t>少于2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位符合要求人员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TW"/>
              </w:rPr>
              <w:t>0分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20" w:line="240" w:lineRule="auto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注：需提供相关人员学历证书复印件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TW"/>
              </w:rPr>
              <w:t>及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投标文件递交截止日期前三个月内任意一个月的社保证明文件（彩色扫描件加盖公章）以证明系投标人所属人员符合要求。未按要求提供相应得分项不得分。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eastAsia="PMingLiU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TW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</w:t>
            </w:r>
          </w:p>
        </w:tc>
      </w:tr>
    </w:tbl>
    <w:p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0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10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10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0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10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10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NTI4Njk1ZjliYzg4MWNjNTQxZWVmYmZjMjcyZTUifQ=="/>
  </w:docVars>
  <w:rsids>
    <w:rsidRoot w:val="63C422A8"/>
    <w:rsid w:val="04ED41A7"/>
    <w:rsid w:val="0AF52979"/>
    <w:rsid w:val="1CDA7EED"/>
    <w:rsid w:val="29040B0F"/>
    <w:rsid w:val="385202DB"/>
    <w:rsid w:val="3D8F350F"/>
    <w:rsid w:val="40BA201C"/>
    <w:rsid w:val="45E05087"/>
    <w:rsid w:val="47042099"/>
    <w:rsid w:val="49413F52"/>
    <w:rsid w:val="494E56CC"/>
    <w:rsid w:val="4B3341F8"/>
    <w:rsid w:val="52E8114E"/>
    <w:rsid w:val="59373529"/>
    <w:rsid w:val="5AE61679"/>
    <w:rsid w:val="5B256A07"/>
    <w:rsid w:val="6037300A"/>
    <w:rsid w:val="60865314"/>
    <w:rsid w:val="61087D95"/>
    <w:rsid w:val="63C422A8"/>
    <w:rsid w:val="63F95427"/>
    <w:rsid w:val="64295150"/>
    <w:rsid w:val="66F60C12"/>
    <w:rsid w:val="72BE5F5A"/>
    <w:rsid w:val="7AB5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120" w:beforeAutospacing="0" w:after="120" w:afterAutospacing="0" w:line="360" w:lineRule="auto"/>
      <w:ind w:leftChars="0" w:firstLine="880" w:firstLineChars="200"/>
      <w:jc w:val="left"/>
      <w:outlineLvl w:val="2"/>
    </w:pPr>
    <w:rPr>
      <w:rFonts w:ascii="Calibri" w:hAnsi="Calibri" w:eastAsia="楷体_GB2312" w:cs="楷体_GB2312"/>
      <w:b/>
      <w:sz w:val="32"/>
      <w:szCs w:val="2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autoSpaceDE/>
      <w:autoSpaceDN/>
      <w:adjustRightInd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2023-12-05T06:56:00Z</dcterms:created>
  <dc:creator>Ywj</dc:creator>
  <cp:lastModifiedBy>大学狗</cp:lastModifiedBy>
  <cp:lastPrinted>2023-12-06T06:17:00Z</cp:lastPrinted>
  <dcterms:modified xsi:type="dcterms:W3CDTF">2023-12-06T09:59:38Z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B751F50ACCB84FAEB0568275964744FA</vt:lpwstr>
  </property>
</Properties>
</file>