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color w:val="auto"/>
          <w:sz w:val="36"/>
          <w:szCs w:val="36"/>
        </w:rPr>
      </w:pPr>
      <w:r>
        <w:rPr>
          <w:rFonts w:hint="eastAsia" w:ascii="仿宋" w:hAnsi="仿宋" w:eastAsia="仿宋" w:cs="仿宋"/>
          <w:color w:val="auto"/>
          <w:sz w:val="36"/>
          <w:szCs w:val="36"/>
        </w:rPr>
        <w:t>评分细则</w:t>
      </w:r>
    </w:p>
    <w:p>
      <w:pPr>
        <w:keepNext/>
        <w:keepLines/>
        <w:spacing w:before="100" w:line="360" w:lineRule="auto"/>
        <w:jc w:val="center"/>
        <w:outlineLvl w:val="2"/>
        <w:rPr>
          <w:rFonts w:ascii="仿宋" w:hAnsi="仿宋" w:eastAsia="仿宋" w:cs="仿宋"/>
          <w:b/>
          <w:bCs/>
          <w:color w:val="auto"/>
          <w:sz w:val="32"/>
          <w:szCs w:val="32"/>
        </w:rPr>
      </w:pPr>
      <w:r>
        <w:rPr>
          <w:rFonts w:hint="eastAsia" w:ascii="仿宋" w:hAnsi="仿宋" w:eastAsia="仿宋" w:cs="仿宋"/>
          <w:b/>
          <w:bCs/>
          <w:color w:val="auto"/>
          <w:sz w:val="32"/>
          <w:szCs w:val="32"/>
        </w:rPr>
        <w:t>技术部分（50分）</w:t>
      </w:r>
    </w:p>
    <w:tbl>
      <w:tblPr>
        <w:tblStyle w:val="17"/>
        <w:tblW w:w="8136" w:type="dxa"/>
        <w:tblInd w:w="93" w:type="dxa"/>
        <w:tblLayout w:type="fixed"/>
        <w:tblCellMar>
          <w:top w:w="0" w:type="dxa"/>
          <w:left w:w="108" w:type="dxa"/>
          <w:bottom w:w="0" w:type="dxa"/>
          <w:right w:w="108" w:type="dxa"/>
        </w:tblCellMar>
      </w:tblPr>
      <w:tblGrid>
        <w:gridCol w:w="769"/>
        <w:gridCol w:w="1097"/>
        <w:gridCol w:w="5040"/>
        <w:gridCol w:w="1230"/>
      </w:tblGrid>
      <w:tr>
        <w:tblPrEx>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指标</w:t>
            </w:r>
          </w:p>
        </w:tc>
        <w:tc>
          <w:tcPr>
            <w:tcW w:w="5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评分标准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分值</w:t>
            </w:r>
          </w:p>
        </w:tc>
      </w:tr>
      <w:tr>
        <w:tblPrEx>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对项目理解与认识程度</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 xml:space="preserve">根据投标人对本项目的理解及认识程度，对项目重点、难点分析、应对措施及合理化建议等进行综合评审： </w:t>
            </w:r>
          </w:p>
          <w:p>
            <w:pPr>
              <w:textAlignment w:val="center"/>
              <w:rPr>
                <w:rFonts w:ascii="仿宋" w:hAnsi="仿宋" w:eastAsia="仿宋" w:cs="仿宋"/>
                <w:color w:val="auto"/>
                <w:sz w:val="24"/>
              </w:rPr>
            </w:pPr>
            <w:r>
              <w:rPr>
                <w:rFonts w:hint="eastAsia" w:ascii="仿宋" w:hAnsi="仿宋" w:eastAsia="仿宋" w:cs="仿宋"/>
                <w:color w:val="auto"/>
                <w:sz w:val="24"/>
              </w:rPr>
              <w:t>1.对项目的理解及认识充分，重点、难点把握准确的，应对措施及合理化建议针对性及可操作性强，内容清晰、明确，能完全满足需求的，得1</w:t>
            </w:r>
            <w:r>
              <w:rPr>
                <w:rFonts w:hint="eastAsia" w:ascii="仿宋" w:hAnsi="仿宋" w:eastAsia="PMingLiU" w:cs="仿宋"/>
                <w:color w:val="auto"/>
                <w:sz w:val="24"/>
                <w:lang w:eastAsia="zh-TW"/>
              </w:rPr>
              <w:t>2.5</w:t>
            </w:r>
            <w:r>
              <w:rPr>
                <w:rFonts w:hint="eastAsia" w:ascii="仿宋" w:hAnsi="仿宋" w:eastAsia="仿宋" w:cs="仿宋"/>
                <w:color w:val="auto"/>
                <w:sz w:val="24"/>
              </w:rPr>
              <w:t>分；</w:t>
            </w:r>
          </w:p>
          <w:p>
            <w:pPr>
              <w:textAlignment w:val="center"/>
              <w:rPr>
                <w:rFonts w:ascii="仿宋" w:hAnsi="仿宋" w:eastAsia="仿宋" w:cs="仿宋"/>
                <w:color w:val="auto"/>
                <w:sz w:val="24"/>
              </w:rPr>
            </w:pPr>
            <w:r>
              <w:rPr>
                <w:rFonts w:hint="eastAsia" w:ascii="仿宋" w:hAnsi="仿宋" w:eastAsia="仿宋" w:cs="仿宋"/>
                <w:color w:val="auto"/>
                <w:sz w:val="24"/>
              </w:rPr>
              <w:t>2.对项目的理解及认识较充分，重点、难点把握较准确的，应对措施及合理化建议针对性及可操作性较强，内容清晰，比较能满足采购需求的，得</w:t>
            </w:r>
            <w:r>
              <w:rPr>
                <w:rFonts w:hint="eastAsia" w:ascii="仿宋" w:hAnsi="仿宋" w:eastAsia="PMingLiU" w:cs="仿宋"/>
                <w:color w:val="auto"/>
                <w:sz w:val="24"/>
                <w:lang w:eastAsia="zh-TW"/>
              </w:rPr>
              <w:t>9</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3.对项目的理解及认识一般，重点、难点把握准确性一般的，应对措施及合理化建议针对性及可操作性一般，内容基本准确，基本满足采购需求的，得</w:t>
            </w:r>
            <w:r>
              <w:rPr>
                <w:rFonts w:hint="eastAsia" w:ascii="仿宋" w:hAnsi="仿宋" w:eastAsia="PMingLiU" w:cs="仿宋"/>
                <w:color w:val="auto"/>
                <w:sz w:val="24"/>
                <w:lang w:eastAsia="zh-TW"/>
              </w:rPr>
              <w:t>6</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4.对项目的理解及重点、难点把握准确性差的，应对措施及合理化建议针对性及可操作性不够，内容不准确的，不能满足采购需求的，得</w:t>
            </w:r>
            <w:r>
              <w:rPr>
                <w:rFonts w:hint="eastAsia" w:ascii="仿宋" w:hAnsi="仿宋" w:eastAsia="PMingLiU" w:cs="仿宋"/>
                <w:color w:val="auto"/>
                <w:sz w:val="24"/>
                <w:lang w:eastAsia="zh-TW"/>
              </w:rPr>
              <w:t>3</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PMingLiU" w:cs="仿宋"/>
                <w:color w:val="auto"/>
                <w:sz w:val="24"/>
                <w:lang w:eastAsia="zh-TW"/>
              </w:rPr>
              <w:t>2.5</w:t>
            </w:r>
            <w:r>
              <w:rPr>
                <w:rFonts w:hint="eastAsia" w:ascii="仿宋" w:hAnsi="仿宋" w:eastAsia="仿宋" w:cs="仿宋"/>
                <w:color w:val="auto"/>
                <w:sz w:val="24"/>
              </w:rPr>
              <w:t>分</w:t>
            </w:r>
          </w:p>
        </w:tc>
      </w:tr>
      <w:tr>
        <w:tblPrEx>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项目实施方案</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 xml:space="preserve">根据投标人制定项目实施方案进行综合评审，内容包括但不限于：1、具体工作内容；2、工作方法；3、技术要点分析；4、设备投入；5、工作流程等工作方案。 </w:t>
            </w:r>
          </w:p>
          <w:p>
            <w:pPr>
              <w:textAlignment w:val="center"/>
              <w:rPr>
                <w:rFonts w:ascii="仿宋" w:hAnsi="仿宋" w:eastAsia="仿宋" w:cs="仿宋"/>
                <w:color w:val="auto"/>
                <w:sz w:val="24"/>
              </w:rPr>
            </w:pPr>
            <w:r>
              <w:rPr>
                <w:rFonts w:hint="eastAsia" w:ascii="仿宋" w:hAnsi="仿宋" w:eastAsia="仿宋" w:cs="仿宋"/>
                <w:color w:val="auto"/>
                <w:sz w:val="24"/>
              </w:rPr>
              <w:t>1.项目实施方案内容清晰详尽，全面、科学、合理，可操作性强，人员设备投入满足项目需要能完全满足或优于采购需求的，得1</w:t>
            </w:r>
            <w:r>
              <w:rPr>
                <w:rFonts w:hint="eastAsia" w:ascii="仿宋" w:hAnsi="仿宋" w:eastAsia="PMingLiU" w:cs="仿宋"/>
                <w:color w:val="auto"/>
                <w:sz w:val="24"/>
                <w:lang w:eastAsia="zh-TW"/>
              </w:rPr>
              <w:t>2.5</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2.项目实施方案内容较为清晰详尽，合理，可行，比较能满足采购需求的，得</w:t>
            </w:r>
            <w:r>
              <w:rPr>
                <w:rFonts w:hint="eastAsia" w:ascii="仿宋" w:hAnsi="仿宋" w:eastAsia="PMingLiU" w:cs="仿宋"/>
                <w:color w:val="auto"/>
                <w:sz w:val="24"/>
                <w:lang w:eastAsia="zh-TW"/>
              </w:rPr>
              <w:t>9</w:t>
            </w:r>
            <w:r>
              <w:rPr>
                <w:rFonts w:hint="eastAsia" w:ascii="仿宋" w:hAnsi="仿宋" w:eastAsia="仿宋" w:cs="仿宋"/>
                <w:color w:val="auto"/>
                <w:sz w:val="24"/>
              </w:rPr>
              <w:t>分；</w:t>
            </w:r>
          </w:p>
          <w:p>
            <w:pPr>
              <w:textAlignment w:val="center"/>
              <w:rPr>
                <w:rFonts w:ascii="仿宋" w:hAnsi="仿宋" w:eastAsia="仿宋" w:cs="仿宋"/>
                <w:color w:val="auto"/>
                <w:sz w:val="24"/>
              </w:rPr>
            </w:pPr>
            <w:r>
              <w:rPr>
                <w:rFonts w:hint="eastAsia" w:ascii="仿宋" w:hAnsi="仿宋" w:eastAsia="仿宋" w:cs="仿宋"/>
                <w:color w:val="auto"/>
                <w:sz w:val="24"/>
              </w:rPr>
              <w:t>3.项目实施方案内容基本清晰详尽，基本合理，可行，基本满足采购需求的，得</w:t>
            </w:r>
            <w:r>
              <w:rPr>
                <w:rFonts w:hint="eastAsia" w:ascii="仿宋" w:hAnsi="仿宋" w:eastAsia="PMingLiU" w:cs="仿宋"/>
                <w:color w:val="auto"/>
                <w:sz w:val="24"/>
                <w:lang w:eastAsia="zh-TW"/>
              </w:rPr>
              <w:t>6</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4.项目实施方案内容过于简单，方案不够合理，可行性差，不能满足采购需求的，得</w:t>
            </w:r>
            <w:r>
              <w:rPr>
                <w:rFonts w:hint="eastAsia" w:ascii="仿宋" w:hAnsi="仿宋" w:eastAsia="PMingLiU" w:cs="仿宋"/>
                <w:color w:val="auto"/>
                <w:sz w:val="24"/>
                <w:lang w:eastAsia="zh-TW"/>
              </w:rPr>
              <w:t>3</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PMingLiU" w:cs="仿宋"/>
                <w:color w:val="auto"/>
                <w:sz w:val="24"/>
                <w:lang w:eastAsia="zh-TW"/>
              </w:rPr>
              <w:t>2.5</w:t>
            </w:r>
            <w:r>
              <w:rPr>
                <w:rFonts w:hint="eastAsia" w:ascii="仿宋" w:hAnsi="仿宋" w:eastAsia="仿宋" w:cs="仿宋"/>
                <w:color w:val="auto"/>
                <w:sz w:val="24"/>
              </w:rPr>
              <w:t>分</w:t>
            </w:r>
          </w:p>
        </w:tc>
      </w:tr>
      <w:tr>
        <w:tblPrEx>
          <w:tblCellMar>
            <w:top w:w="0" w:type="dxa"/>
            <w:left w:w="108" w:type="dxa"/>
            <w:bottom w:w="0" w:type="dxa"/>
            <w:right w:w="108" w:type="dxa"/>
          </w:tblCellMar>
        </w:tblPrEx>
        <w:trPr>
          <w:trHeight w:val="3065"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color w:val="auto"/>
                <w:sz w:val="24"/>
                <w:lang w:eastAsia="zh-TW"/>
              </w:rPr>
            </w:pPr>
            <w:r>
              <w:rPr>
                <w:rFonts w:hint="eastAsia" w:ascii="仿宋" w:hAnsi="仿宋" w:eastAsia="PMingLiU" w:cs="仿宋"/>
                <w:color w:val="auto"/>
                <w:sz w:val="24"/>
                <w:lang w:eastAsia="zh-TW"/>
              </w:rPr>
              <w:t>3</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项目工作进度计划</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 xml:space="preserve">根据投标人制定的项目工作进度计划进行综合评审，内容包括但不限于：1、进度计划；2、人员安排；3、突发事件应急预案等。  </w:t>
            </w:r>
          </w:p>
          <w:p>
            <w:pPr>
              <w:textAlignment w:val="center"/>
              <w:rPr>
                <w:rFonts w:ascii="仿宋" w:hAnsi="仿宋" w:eastAsia="仿宋" w:cs="仿宋"/>
                <w:color w:val="auto"/>
                <w:sz w:val="24"/>
              </w:rPr>
            </w:pPr>
            <w:r>
              <w:rPr>
                <w:rFonts w:hint="eastAsia" w:ascii="仿宋" w:hAnsi="仿宋" w:eastAsia="仿宋" w:cs="仿宋"/>
                <w:color w:val="auto"/>
                <w:sz w:val="24"/>
              </w:rPr>
              <w:t>1.计划全面、细致详尽，职责明确，责任清晰且全面，能完全满足采购需求的，得</w:t>
            </w:r>
            <w:r>
              <w:rPr>
                <w:rFonts w:hint="eastAsia" w:ascii="仿宋" w:hAnsi="仿宋" w:eastAsia="PMingLiU" w:cs="仿宋"/>
                <w:color w:val="auto"/>
                <w:sz w:val="24"/>
                <w:lang w:eastAsia="zh-TW"/>
              </w:rPr>
              <w:t>12.5</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2.计划较为全面，职责较为明确，比较能满足采购需求的，得</w:t>
            </w:r>
            <w:r>
              <w:rPr>
                <w:rFonts w:hint="eastAsia" w:ascii="仿宋" w:hAnsi="仿宋" w:eastAsia="PMingLiU" w:cs="仿宋"/>
                <w:color w:val="auto"/>
                <w:sz w:val="24"/>
                <w:lang w:eastAsia="zh-TW"/>
              </w:rPr>
              <w:t>9</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3.计划基本齐全，职责基本明确，基本满足采购需求的，得</w:t>
            </w:r>
            <w:r>
              <w:rPr>
                <w:rFonts w:hint="eastAsia" w:ascii="仿宋" w:hAnsi="仿宋" w:eastAsia="PMingLiU" w:cs="仿宋"/>
                <w:color w:val="auto"/>
                <w:sz w:val="24"/>
                <w:lang w:eastAsia="zh-TW"/>
              </w:rPr>
              <w:t>6</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4.计划过于简单，职责不明确模糊，不能满足采购需求的，得</w:t>
            </w:r>
            <w:r>
              <w:rPr>
                <w:rFonts w:hint="eastAsia" w:ascii="仿宋" w:hAnsi="仿宋" w:eastAsia="PMingLiU" w:cs="仿宋"/>
                <w:color w:val="auto"/>
                <w:sz w:val="24"/>
                <w:lang w:eastAsia="zh-TW"/>
              </w:rPr>
              <w:t>3</w:t>
            </w:r>
            <w:r>
              <w:rPr>
                <w:rFonts w:hint="eastAsia" w:ascii="仿宋" w:hAnsi="仿宋" w:eastAsia="仿宋" w:cs="仿宋"/>
                <w:color w:val="auto"/>
                <w:sz w:val="24"/>
              </w:rPr>
              <w:t xml:space="preserve">分；  </w:t>
            </w:r>
          </w:p>
          <w:p>
            <w:pPr>
              <w:textAlignment w:val="center"/>
              <w:rPr>
                <w:rFonts w:ascii="仿宋" w:hAnsi="仿宋" w:eastAsia="仿宋" w:cs="仿宋"/>
                <w:color w:val="auto"/>
                <w:sz w:val="24"/>
              </w:rPr>
            </w:pPr>
            <w:r>
              <w:rPr>
                <w:rFonts w:hint="eastAsia" w:ascii="仿宋" w:hAnsi="仿宋" w:eastAsia="仿宋" w:cs="仿宋"/>
                <w:color w:val="auto"/>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PMingLiU" w:cs="仿宋"/>
                <w:color w:val="auto"/>
                <w:sz w:val="24"/>
                <w:lang w:eastAsia="zh-TW"/>
              </w:rPr>
              <w:t>2.5</w:t>
            </w:r>
            <w:r>
              <w:rPr>
                <w:rFonts w:hint="eastAsia" w:ascii="仿宋" w:hAnsi="仿宋" w:eastAsia="仿宋" w:cs="仿宋"/>
                <w:color w:val="auto"/>
                <w:sz w:val="24"/>
              </w:rPr>
              <w:t>分</w:t>
            </w:r>
          </w:p>
        </w:tc>
      </w:tr>
      <w:tr>
        <w:tblPrEx>
          <w:tblCellMar>
            <w:top w:w="0" w:type="dxa"/>
            <w:left w:w="108" w:type="dxa"/>
            <w:bottom w:w="0" w:type="dxa"/>
            <w:right w:w="108" w:type="dxa"/>
          </w:tblCellMar>
        </w:tblPrEx>
        <w:trPr>
          <w:trHeight w:val="18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color w:val="auto"/>
                <w:sz w:val="24"/>
                <w:lang w:eastAsia="zh-TW"/>
              </w:rPr>
            </w:pPr>
            <w:r>
              <w:rPr>
                <w:rFonts w:hint="eastAsia" w:ascii="仿宋" w:hAnsi="仿宋" w:eastAsia="PMingLiU" w:cs="仿宋"/>
                <w:color w:val="auto"/>
                <w:sz w:val="24"/>
                <w:lang w:eastAsia="zh-TW"/>
              </w:rPr>
              <w:t>4</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质量保证方案</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 xml:space="preserve">根据投标人制定质量保证方案进行综合评审，内容包括但不限于：1、组织结构；2、人员安全保证；3、质量控制等。 </w:t>
            </w:r>
          </w:p>
          <w:p>
            <w:pPr>
              <w:textAlignment w:val="center"/>
              <w:rPr>
                <w:rFonts w:ascii="仿宋" w:hAnsi="仿宋" w:eastAsia="仿宋" w:cs="仿宋"/>
                <w:color w:val="auto"/>
                <w:sz w:val="24"/>
              </w:rPr>
            </w:pPr>
            <w:r>
              <w:rPr>
                <w:rFonts w:hint="eastAsia" w:ascii="仿宋" w:hAnsi="仿宋" w:eastAsia="仿宋" w:cs="仿宋"/>
                <w:color w:val="auto"/>
                <w:sz w:val="24"/>
              </w:rPr>
              <w:t xml:space="preserve">1.方案完善全面、细致详尽，切实可行，完全满足或优于采购需求的，得10分； </w:t>
            </w:r>
          </w:p>
          <w:p>
            <w:pPr>
              <w:textAlignment w:val="center"/>
              <w:rPr>
                <w:rFonts w:ascii="仿宋" w:hAnsi="仿宋" w:eastAsia="仿宋" w:cs="仿宋"/>
                <w:color w:val="auto"/>
                <w:sz w:val="24"/>
              </w:rPr>
            </w:pPr>
            <w:r>
              <w:rPr>
                <w:rFonts w:hint="eastAsia" w:ascii="仿宋" w:hAnsi="仿宋" w:eastAsia="仿宋" w:cs="仿宋"/>
                <w:color w:val="auto"/>
                <w:sz w:val="24"/>
              </w:rPr>
              <w:t xml:space="preserve">2.方案较为全面，合理可行，比较能满足采购需求的，得7分； </w:t>
            </w:r>
          </w:p>
          <w:p>
            <w:pPr>
              <w:textAlignment w:val="center"/>
              <w:rPr>
                <w:rFonts w:ascii="仿宋" w:hAnsi="仿宋" w:eastAsia="仿宋" w:cs="仿宋"/>
                <w:color w:val="auto"/>
                <w:sz w:val="24"/>
              </w:rPr>
            </w:pPr>
            <w:r>
              <w:rPr>
                <w:rFonts w:hint="eastAsia" w:ascii="仿宋" w:hAnsi="仿宋" w:eastAsia="仿宋" w:cs="仿宋"/>
                <w:color w:val="auto"/>
                <w:sz w:val="24"/>
              </w:rPr>
              <w:t xml:space="preserve">3.方案基本齐全，基本合理可行，基本满足采购需求的，得4分； </w:t>
            </w:r>
          </w:p>
          <w:p>
            <w:pPr>
              <w:textAlignment w:val="center"/>
              <w:rPr>
                <w:rFonts w:ascii="仿宋" w:hAnsi="仿宋" w:eastAsia="仿宋" w:cs="仿宋"/>
                <w:color w:val="auto"/>
                <w:sz w:val="24"/>
              </w:rPr>
            </w:pPr>
            <w:r>
              <w:rPr>
                <w:rFonts w:hint="eastAsia" w:ascii="仿宋" w:hAnsi="仿宋" w:eastAsia="仿宋" w:cs="仿宋"/>
                <w:color w:val="auto"/>
                <w:sz w:val="24"/>
              </w:rPr>
              <w:t xml:space="preserve">4.方案过于简单，可行性不强，不能满足采购需求的，得1分。 </w:t>
            </w:r>
          </w:p>
          <w:p>
            <w:pPr>
              <w:textAlignment w:val="center"/>
              <w:rPr>
                <w:rFonts w:ascii="仿宋" w:hAnsi="仿宋" w:eastAsia="仿宋" w:cs="仿宋"/>
                <w:color w:val="auto"/>
                <w:sz w:val="24"/>
              </w:rPr>
            </w:pPr>
            <w:r>
              <w:rPr>
                <w:rFonts w:hint="eastAsia" w:ascii="仿宋" w:hAnsi="仿宋" w:eastAsia="仿宋" w:cs="仿宋"/>
                <w:color w:val="auto"/>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PMingLiU" w:cs="仿宋"/>
                <w:color w:val="auto"/>
                <w:sz w:val="24"/>
                <w:lang w:eastAsia="zh-TW"/>
              </w:rPr>
              <w:t>2.5</w:t>
            </w:r>
            <w:r>
              <w:rPr>
                <w:rFonts w:hint="eastAsia" w:ascii="仿宋" w:hAnsi="仿宋" w:eastAsia="仿宋" w:cs="仿宋"/>
                <w:color w:val="auto"/>
                <w:sz w:val="24"/>
              </w:rPr>
              <w:t>分</w:t>
            </w:r>
          </w:p>
        </w:tc>
      </w:tr>
    </w:tbl>
    <w:p>
      <w:pPr>
        <w:keepNext/>
        <w:keepLines/>
        <w:spacing w:before="100" w:line="360" w:lineRule="auto"/>
        <w:jc w:val="center"/>
        <w:outlineLvl w:val="2"/>
        <w:rPr>
          <w:rFonts w:ascii="仿宋" w:hAnsi="仿宋" w:eastAsia="仿宋" w:cs="仿宋"/>
          <w:b/>
          <w:bCs/>
          <w:color w:val="auto"/>
          <w:sz w:val="32"/>
          <w:szCs w:val="32"/>
        </w:rPr>
      </w:pPr>
      <w:bookmarkStart w:id="0" w:name="_Toc16125"/>
      <w:bookmarkStart w:id="1" w:name="_Toc7240"/>
      <w:r>
        <w:rPr>
          <w:rFonts w:hint="eastAsia" w:ascii="仿宋" w:hAnsi="仿宋" w:eastAsia="仿宋" w:cs="仿宋"/>
          <w:b/>
          <w:bCs/>
          <w:color w:val="auto"/>
          <w:sz w:val="32"/>
          <w:szCs w:val="32"/>
        </w:rPr>
        <w:t>商务部分（</w:t>
      </w:r>
      <w:r>
        <w:rPr>
          <w:rFonts w:ascii="仿宋" w:hAnsi="仿宋" w:eastAsia="PMingLiU" w:cs="仿宋"/>
          <w:b/>
          <w:bCs/>
          <w:color w:val="auto"/>
          <w:sz w:val="32"/>
          <w:szCs w:val="32"/>
          <w:lang w:eastAsia="zh-TW"/>
        </w:rPr>
        <w:t>4</w:t>
      </w:r>
      <w:r>
        <w:rPr>
          <w:rFonts w:hint="eastAsia" w:ascii="仿宋" w:hAnsi="仿宋" w:eastAsia="仿宋" w:cs="仿宋"/>
          <w:b/>
          <w:bCs/>
          <w:color w:val="auto"/>
          <w:sz w:val="32"/>
          <w:szCs w:val="32"/>
        </w:rPr>
        <w:t>0分）</w:t>
      </w:r>
      <w:bookmarkEnd w:id="0"/>
      <w:bookmarkEnd w:id="1"/>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156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color w:val="auto"/>
                <w:sz w:val="24"/>
                <w:lang w:eastAsia="zh-TW"/>
              </w:rPr>
            </w:pPr>
            <w:r>
              <w:rPr>
                <w:rFonts w:hint="eastAsia" w:ascii="仿宋" w:hAnsi="仿宋" w:eastAsia="PMingLiU" w:cs="仿宋"/>
                <w:color w:val="auto"/>
                <w:sz w:val="24"/>
                <w:lang w:eastAsia="zh-TW"/>
              </w:rPr>
              <w:t>5</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供应商自2020年1月1日（以合同签订时间为准）以来，承接现已完成的具有类似</w:t>
            </w:r>
            <w:r>
              <w:rPr>
                <w:rFonts w:hint="eastAsia" w:ascii="仿宋" w:hAnsi="仿宋" w:eastAsia="仿宋" w:cs="仿宋"/>
                <w:color w:val="auto"/>
                <w:sz w:val="24"/>
                <w:lang w:eastAsia="zh-TW"/>
              </w:rPr>
              <w:t>编制、顾问、评估</w:t>
            </w:r>
            <w:r>
              <w:rPr>
                <w:rFonts w:hint="eastAsia" w:ascii="仿宋" w:hAnsi="仿宋" w:eastAsia="仿宋" w:cs="仿宋"/>
                <w:color w:val="auto"/>
                <w:sz w:val="24"/>
              </w:rPr>
              <w:t>的项目(包括生物多样性评估、生态管理顾问、科普教育、义工服务)，一项得</w:t>
            </w:r>
            <w:r>
              <w:rPr>
                <w:rFonts w:hint="eastAsia" w:ascii="仿宋" w:hAnsi="仿宋" w:eastAsia="仿宋" w:cs="仿宋"/>
                <w:color w:val="auto"/>
                <w:sz w:val="24"/>
                <w:lang w:eastAsia="zh-TW"/>
              </w:rPr>
              <w:t>2</w:t>
            </w:r>
            <w:r>
              <w:rPr>
                <w:rFonts w:hint="eastAsia" w:ascii="仿宋" w:hAnsi="仿宋" w:eastAsia="仿宋" w:cs="仿宋"/>
                <w:color w:val="auto"/>
                <w:sz w:val="24"/>
              </w:rPr>
              <w:t>.5分，最多计</w:t>
            </w:r>
            <w:r>
              <w:rPr>
                <w:rFonts w:ascii="仿宋" w:hAnsi="仿宋" w:eastAsia="PMingLiU" w:cs="仿宋"/>
                <w:color w:val="auto"/>
                <w:sz w:val="24"/>
                <w:lang w:eastAsia="zh-TW"/>
              </w:rPr>
              <w:t>2</w:t>
            </w:r>
            <w:r>
              <w:rPr>
                <w:rFonts w:hint="eastAsia" w:ascii="仿宋" w:hAnsi="仿宋" w:eastAsia="仿宋" w:cs="仿宋"/>
                <w:color w:val="auto"/>
                <w:sz w:val="24"/>
              </w:rPr>
              <w:t>项业绩，满分</w:t>
            </w:r>
            <w:r>
              <w:rPr>
                <w:rFonts w:ascii="仿宋" w:hAnsi="仿宋" w:eastAsia="PMingLiU" w:cs="仿宋"/>
                <w:color w:val="auto"/>
                <w:sz w:val="24"/>
                <w:lang w:eastAsia="zh-TW"/>
              </w:rPr>
              <w:t>5</w:t>
            </w:r>
            <w:r>
              <w:rPr>
                <w:rFonts w:hint="eastAsia" w:ascii="仿宋" w:hAnsi="仿宋" w:eastAsia="仿宋" w:cs="仿宋"/>
                <w:color w:val="auto"/>
                <w:sz w:val="24"/>
              </w:rPr>
              <w:t>分。</w:t>
            </w:r>
          </w:p>
          <w:p>
            <w:pPr>
              <w:spacing w:before="120"/>
              <w:textAlignment w:val="center"/>
              <w:rPr>
                <w:rFonts w:ascii="仿宋" w:hAnsi="仿宋" w:eastAsia="仿宋" w:cs="仿宋"/>
                <w:color w:val="auto"/>
                <w:sz w:val="24"/>
              </w:rPr>
            </w:pPr>
            <w:r>
              <w:rPr>
                <w:rFonts w:hint="eastAsia" w:ascii="仿宋" w:hAnsi="仿宋" w:eastAsia="仿宋" w:cs="仿宋"/>
                <w:color w:val="auto"/>
                <w:sz w:val="24"/>
              </w:rPr>
              <w:t>注：投标文件中提供相关业绩的中标（成交）通知书或合同复印件并加盖公章，以及成果报告封面及扉页复印件并加盖公章。未提供有效证明材料的不得分。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ascii="仿宋" w:hAnsi="仿宋" w:eastAsia="PMingLiU" w:cs="仿宋"/>
                <w:color w:val="auto"/>
                <w:sz w:val="24"/>
                <w:lang w:eastAsia="zh-TW"/>
              </w:rPr>
              <w:t>5</w:t>
            </w:r>
            <w:r>
              <w:rPr>
                <w:rFonts w:hint="eastAsia" w:ascii="仿宋" w:hAnsi="仿宋" w:eastAsia="仿宋" w:cs="仿宋"/>
                <w:color w:val="auto"/>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color w:val="auto"/>
                <w:sz w:val="24"/>
                <w:lang w:eastAsia="zh-TW"/>
              </w:rPr>
            </w:pPr>
            <w:r>
              <w:rPr>
                <w:rFonts w:hint="eastAsia" w:ascii="仿宋" w:hAnsi="仿宋" w:eastAsia="PMingLiU" w:cs="仿宋"/>
                <w:color w:val="auto"/>
                <w:sz w:val="24"/>
                <w:lang w:eastAsia="zh-TW"/>
              </w:rPr>
              <w:t>6</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default" w:ascii="仿宋" w:hAnsi="仿宋" w:eastAsia="仿宋" w:cs="仿宋"/>
                <w:color w:val="auto"/>
                <w:kern w:val="0"/>
              </w:rPr>
            </w:pPr>
            <w:r>
              <w:rPr>
                <w:rStyle w:val="38"/>
                <w:rFonts w:hint="default" w:ascii="仿宋" w:hAnsi="仿宋" w:eastAsia="仿宋" w:cs="仿宋"/>
                <w:color w:val="auto"/>
                <w:kern w:val="0"/>
              </w:rPr>
              <w:t>1</w:t>
            </w:r>
            <w:r>
              <w:rPr>
                <w:rStyle w:val="38"/>
                <w:rFonts w:ascii="仿宋" w:hAnsi="仿宋" w:eastAsia="仿宋" w:cs="仿宋"/>
                <w:color w:val="auto"/>
                <w:kern w:val="0"/>
              </w:rPr>
              <w:t>）</w:t>
            </w:r>
            <w:r>
              <w:rPr>
                <w:rStyle w:val="38"/>
                <w:rFonts w:hint="default" w:ascii="仿宋" w:hAnsi="仿宋" w:eastAsia="仿宋" w:cs="仿宋"/>
                <w:color w:val="auto"/>
                <w:kern w:val="0"/>
              </w:rPr>
              <w:t>项目团队人员（项目负责人除外）具有博士</w:t>
            </w:r>
          </w:p>
          <w:p>
            <w:pPr>
              <w:textAlignment w:val="center"/>
              <w:rPr>
                <w:rStyle w:val="38"/>
                <w:rFonts w:hint="default" w:ascii="仿宋" w:hAnsi="仿宋" w:eastAsia="仿宋" w:cs="仿宋"/>
                <w:color w:val="auto"/>
                <w:kern w:val="0"/>
              </w:rPr>
            </w:pPr>
            <w:r>
              <w:rPr>
                <w:rStyle w:val="38"/>
                <w:rFonts w:hint="default" w:ascii="仿宋" w:hAnsi="仿宋" w:eastAsia="仿宋" w:cs="仿宋"/>
                <w:color w:val="auto"/>
                <w:kern w:val="0"/>
              </w:rPr>
              <w:t>及以上学位人员，每人得</w:t>
            </w:r>
            <w:r>
              <w:rPr>
                <w:rStyle w:val="38"/>
                <w:rFonts w:hint="default" w:ascii="仿宋" w:hAnsi="仿宋" w:eastAsia="仿宋" w:cs="仿宋"/>
                <w:color w:val="auto"/>
                <w:kern w:val="0"/>
                <w:lang w:eastAsia="zh-TW"/>
              </w:rPr>
              <w:t>2</w:t>
            </w:r>
            <w:r>
              <w:rPr>
                <w:rStyle w:val="38"/>
                <w:rFonts w:hint="default" w:ascii="仿宋" w:hAnsi="仿宋" w:eastAsia="仿宋" w:cs="仿宋"/>
                <w:color w:val="auto"/>
                <w:kern w:val="0"/>
              </w:rPr>
              <w:t>分</w:t>
            </w:r>
            <w:r>
              <w:rPr>
                <w:rStyle w:val="38"/>
                <w:rFonts w:hint="default" w:ascii="仿宋" w:hAnsi="仿宋" w:eastAsia="仿宋" w:cs="仿宋"/>
                <w:color w:val="auto"/>
                <w:kern w:val="0"/>
                <w:lang w:eastAsia="zh-TW"/>
              </w:rPr>
              <w:t>，</w:t>
            </w:r>
            <w:r>
              <w:rPr>
                <w:rStyle w:val="38"/>
                <w:rFonts w:hint="default" w:ascii="仿宋" w:hAnsi="仿宋" w:eastAsia="仿宋" w:cs="仿宋"/>
                <w:color w:val="auto"/>
                <w:kern w:val="0"/>
              </w:rPr>
              <w:t>硕士学位人员，每人得</w:t>
            </w:r>
            <w:r>
              <w:rPr>
                <w:rStyle w:val="38"/>
                <w:rFonts w:hint="default" w:ascii="仿宋" w:hAnsi="仿宋" w:eastAsia="仿宋" w:cs="仿宋"/>
                <w:color w:val="auto"/>
                <w:kern w:val="0"/>
                <w:lang w:eastAsia="zh-TW"/>
              </w:rPr>
              <w:t>1</w:t>
            </w:r>
            <w:r>
              <w:rPr>
                <w:rStyle w:val="38"/>
                <w:rFonts w:hint="default" w:ascii="仿宋" w:hAnsi="仿宋" w:eastAsia="仿宋" w:cs="仿宋"/>
                <w:color w:val="auto"/>
                <w:kern w:val="0"/>
              </w:rPr>
              <w:t>分，最高得</w:t>
            </w:r>
            <w:r>
              <w:rPr>
                <w:rStyle w:val="38"/>
                <w:rFonts w:hint="default" w:ascii="仿宋" w:hAnsi="仿宋" w:eastAsia="仿宋" w:cs="仿宋"/>
                <w:color w:val="auto"/>
                <w:kern w:val="0"/>
                <w:lang w:eastAsia="zh-TW"/>
              </w:rPr>
              <w:t>10</w:t>
            </w:r>
            <w:r>
              <w:rPr>
                <w:rStyle w:val="38"/>
                <w:rFonts w:hint="default" w:ascii="仿宋" w:hAnsi="仿宋" w:eastAsia="仿宋" w:cs="仿宋"/>
                <w:color w:val="auto"/>
                <w:kern w:val="0"/>
              </w:rPr>
              <w:t>分。</w:t>
            </w:r>
          </w:p>
          <w:p>
            <w:pPr>
              <w:textAlignment w:val="center"/>
              <w:rPr>
                <w:rStyle w:val="38"/>
                <w:rFonts w:hint="default" w:ascii="仿宋" w:hAnsi="仿宋" w:eastAsia="仿宋" w:cs="仿宋"/>
                <w:color w:val="auto"/>
                <w:kern w:val="0"/>
              </w:rPr>
            </w:pPr>
            <w:r>
              <w:rPr>
                <w:rStyle w:val="38"/>
                <w:rFonts w:hint="default" w:ascii="仿宋" w:hAnsi="仿宋" w:eastAsia="仿宋" w:cs="仿宋"/>
                <w:color w:val="auto"/>
                <w:kern w:val="0"/>
              </w:rPr>
              <w:t>2</w:t>
            </w:r>
            <w:r>
              <w:rPr>
                <w:rStyle w:val="38"/>
                <w:rFonts w:ascii="仿宋" w:hAnsi="仿宋" w:eastAsia="仿宋" w:cs="仿宋"/>
                <w:color w:val="auto"/>
                <w:kern w:val="0"/>
              </w:rPr>
              <w:t>）</w:t>
            </w:r>
            <w:r>
              <w:rPr>
                <w:rStyle w:val="38"/>
                <w:rFonts w:hint="default" w:ascii="仿宋" w:hAnsi="仿宋" w:eastAsia="仿宋" w:cs="仿宋"/>
                <w:color w:val="auto"/>
                <w:kern w:val="0"/>
              </w:rPr>
              <w:t>项目团队人员</w:t>
            </w:r>
            <w:r>
              <w:rPr>
                <w:rFonts w:hint="eastAsia" w:ascii="仿宋" w:hAnsi="仿宋" w:eastAsia="仿宋" w:cs="仿宋"/>
                <w:color w:val="auto"/>
                <w:sz w:val="24"/>
              </w:rPr>
              <w:t>自2020年1月1日以来，获得生态环境保护、生物多样性保护、科普宣教等相关奖项的，国家级奖项3分，省级奖项2分，市级奖项1分。最高得</w:t>
            </w:r>
            <w:r>
              <w:rPr>
                <w:rFonts w:ascii="仿宋" w:hAnsi="仿宋" w:eastAsia="仿宋" w:cs="仿宋"/>
                <w:color w:val="auto"/>
                <w:sz w:val="24"/>
              </w:rPr>
              <w:t>5</w:t>
            </w:r>
            <w:r>
              <w:rPr>
                <w:rFonts w:hint="eastAsia" w:ascii="仿宋" w:hAnsi="仿宋" w:eastAsia="仿宋" w:cs="仿宋"/>
                <w:color w:val="auto"/>
                <w:sz w:val="24"/>
              </w:rPr>
              <w:t>分。</w:t>
            </w:r>
          </w:p>
          <w:p>
            <w:pPr>
              <w:spacing w:before="120"/>
              <w:textAlignment w:val="center"/>
              <w:rPr>
                <w:rStyle w:val="38"/>
                <w:rFonts w:hint="default" w:ascii="仿宋" w:hAnsi="仿宋" w:eastAsia="仿宋" w:cs="仿宋"/>
                <w:color w:val="auto"/>
                <w:kern w:val="0"/>
              </w:rPr>
            </w:pPr>
            <w:r>
              <w:rPr>
                <w:rStyle w:val="38"/>
                <w:rFonts w:hint="default" w:ascii="仿宋" w:hAnsi="仿宋" w:eastAsia="仿宋" w:cs="仿宋"/>
                <w:color w:val="auto"/>
                <w:kern w:val="0"/>
              </w:rPr>
              <w:t>注：1）投标文件根据上述要求提供学历学位证明复印件。</w:t>
            </w:r>
          </w:p>
          <w:p>
            <w:pPr>
              <w:textAlignment w:val="center"/>
              <w:rPr>
                <w:rStyle w:val="38"/>
                <w:rFonts w:hint="default" w:ascii="仿宋" w:hAnsi="仿宋" w:eastAsia="仿宋" w:cs="仿宋"/>
                <w:color w:val="auto"/>
                <w:kern w:val="0"/>
              </w:rPr>
            </w:pPr>
            <w:r>
              <w:rPr>
                <w:rStyle w:val="38"/>
                <w:rFonts w:hint="default" w:ascii="仿宋" w:hAnsi="仿宋" w:eastAsia="仿宋" w:cs="仿宋"/>
                <w:color w:val="auto"/>
                <w:kern w:val="0"/>
              </w:rPr>
              <w:t>2）投标人须提供项目团队人员的工作证明或在读证明（彩色扫描件加盖公章）以证明项目团队人员系投标人所属人员。未按要求提供相应得分项不得分。</w:t>
            </w:r>
            <w:bookmarkStart w:id="2" w:name="_GoBack"/>
            <w:bookmarkEnd w:id="2"/>
          </w:p>
          <w:p>
            <w:pPr>
              <w:textAlignment w:val="center"/>
              <w:rPr>
                <w:rFonts w:ascii="仿宋" w:hAnsi="仿宋" w:eastAsia="仿宋" w:cs="仿宋"/>
                <w:color w:val="auto"/>
                <w:kern w:val="0"/>
                <w:sz w:val="24"/>
              </w:rPr>
            </w:pPr>
            <w:r>
              <w:rPr>
                <w:rStyle w:val="38"/>
                <w:rFonts w:hint="default" w:ascii="仿宋" w:hAnsi="仿宋" w:cs="仿宋"/>
                <w:color w:val="auto"/>
                <w:kern w:val="0"/>
              </w:rPr>
              <w:t>3）</w:t>
            </w:r>
            <w:r>
              <w:rPr>
                <w:rStyle w:val="38"/>
                <w:rFonts w:hint="default" w:ascii="仿宋" w:hAnsi="仿宋" w:eastAsia="仿宋" w:cs="仿宋"/>
                <w:color w:val="auto"/>
                <w:kern w:val="0"/>
              </w:rPr>
              <w:t>投标人须提供项目团队人员的获奖证明（彩色扫描件加盖公章）。未按要求提供相应得分项不得分。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cs="仿宋"/>
                <w:color w:val="auto"/>
                <w:sz w:val="24"/>
              </w:rPr>
              <w:t>1</w:t>
            </w:r>
            <w:r>
              <w:rPr>
                <w:rFonts w:ascii="仿宋" w:hAnsi="仿宋" w:eastAsia="PMingLiU" w:cs="仿宋"/>
                <w:color w:val="auto"/>
                <w:sz w:val="24"/>
                <w:lang w:eastAsia="zh-TW"/>
              </w:rPr>
              <w:t>5</w:t>
            </w:r>
            <w:r>
              <w:rPr>
                <w:rFonts w:hint="eastAsia" w:ascii="仿宋" w:hAnsi="仿宋" w:eastAsia="仿宋" w:cs="仿宋"/>
                <w:color w:val="auto"/>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cs="仿宋"/>
                <w:color w:val="auto"/>
                <w:sz w:val="24"/>
              </w:rPr>
            </w:pPr>
            <w:r>
              <w:rPr>
                <w:rFonts w:hint="eastAsia" w:ascii="仿宋" w:hAnsi="仿宋" w:cs="仿宋"/>
                <w:color w:val="auto"/>
                <w:sz w:val="24"/>
              </w:rPr>
              <w:t>7</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lang w:bidi="ar"/>
              </w:rPr>
              <w:t>团队科普宣教经验</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1）投标人负责的环境教育项目或课程得到省级或省级以上资助或奖励的，得</w:t>
            </w:r>
            <w:r>
              <w:rPr>
                <w:rFonts w:ascii="仿宋" w:hAnsi="仿宋" w:eastAsia="仿宋" w:cs="仿宋"/>
                <w:color w:val="auto"/>
                <w:kern w:val="0"/>
                <w:sz w:val="24"/>
                <w:lang w:bidi="ar"/>
              </w:rPr>
              <w:t>2</w:t>
            </w:r>
            <w:r>
              <w:rPr>
                <w:rFonts w:hint="eastAsia" w:ascii="仿宋" w:hAnsi="仿宋" w:eastAsia="仿宋" w:cs="仿宋"/>
                <w:color w:val="auto"/>
                <w:kern w:val="0"/>
                <w:sz w:val="24"/>
                <w:lang w:bidi="ar"/>
              </w:rPr>
              <w:t>分；获得市级资助或奖励的，得</w:t>
            </w:r>
            <w:r>
              <w:rPr>
                <w:rFonts w:ascii="仿宋" w:hAnsi="仿宋" w:eastAsia="仿宋" w:cs="仿宋"/>
                <w:color w:val="auto"/>
                <w:kern w:val="0"/>
                <w:sz w:val="24"/>
                <w:lang w:bidi="ar"/>
              </w:rPr>
              <w:t>1</w:t>
            </w:r>
            <w:r>
              <w:rPr>
                <w:rFonts w:hint="eastAsia" w:ascii="仿宋" w:hAnsi="仿宋" w:eastAsia="仿宋" w:cs="仿宋"/>
                <w:color w:val="auto"/>
                <w:kern w:val="0"/>
                <w:sz w:val="24"/>
                <w:lang w:bidi="ar"/>
              </w:rPr>
              <w:t>分。最高得</w:t>
            </w:r>
            <w:r>
              <w:rPr>
                <w:rFonts w:ascii="仿宋" w:hAnsi="仿宋" w:eastAsia="仿宋" w:cs="仿宋"/>
                <w:color w:val="auto"/>
                <w:kern w:val="0"/>
                <w:sz w:val="24"/>
                <w:lang w:bidi="ar"/>
              </w:rPr>
              <w:t>4</w:t>
            </w:r>
            <w:r>
              <w:rPr>
                <w:rFonts w:hint="eastAsia" w:ascii="仿宋" w:hAnsi="仿宋" w:eastAsia="仿宋" w:cs="仿宋"/>
                <w:color w:val="auto"/>
                <w:kern w:val="0"/>
                <w:sz w:val="24"/>
                <w:lang w:bidi="ar"/>
              </w:rPr>
              <w:t>分。</w:t>
            </w:r>
          </w:p>
          <w:p>
            <w:pPr>
              <w:textAlignment w:val="center"/>
              <w:rPr>
                <w:rStyle w:val="38"/>
                <w:rFonts w:hint="default" w:ascii="仿宋" w:hAnsi="仿宋" w:eastAsia="仿宋" w:cs="仿宋"/>
                <w:color w:val="auto"/>
                <w:kern w:val="0"/>
              </w:rPr>
            </w:pPr>
            <w:r>
              <w:rPr>
                <w:rFonts w:hint="eastAsia" w:ascii="仿宋" w:hAnsi="仿宋" w:eastAsia="仿宋" w:cs="仿宋"/>
                <w:color w:val="auto"/>
                <w:kern w:val="0"/>
                <w:sz w:val="24"/>
                <w:lang w:bidi="ar"/>
              </w:rPr>
              <w:t>2）</w:t>
            </w:r>
            <w:r>
              <w:rPr>
                <w:rStyle w:val="38"/>
                <w:rFonts w:hint="default" w:ascii="仿宋" w:hAnsi="仿宋" w:eastAsia="仿宋" w:cs="仿宋"/>
                <w:color w:val="auto"/>
                <w:kern w:val="0"/>
              </w:rPr>
              <w:t>项目团队人员拥有环境教育、义工服务等相关领域教学经验超过10年的，每人得3分；超过5年的，每人得2分；超过3年的，每人得1分。最高得5分。</w:t>
            </w:r>
          </w:p>
          <w:p>
            <w:pPr>
              <w:textAlignment w:val="center"/>
              <w:rPr>
                <w:rStyle w:val="38"/>
                <w:rFonts w:hint="default" w:ascii="仿宋" w:hAnsi="仿宋" w:eastAsia="仿宋" w:cs="仿宋"/>
                <w:color w:val="auto"/>
                <w:kern w:val="0"/>
              </w:rPr>
            </w:pPr>
            <w:r>
              <w:rPr>
                <w:rStyle w:val="38"/>
                <w:rFonts w:hint="default" w:ascii="仿宋" w:hAnsi="仿宋" w:eastAsia="仿宋" w:cs="仿宋"/>
                <w:color w:val="auto"/>
                <w:kern w:val="0"/>
              </w:rPr>
              <w:t>3)项目团队人员拥有</w:t>
            </w:r>
            <w:r>
              <w:rPr>
                <w:rStyle w:val="38"/>
                <w:rFonts w:ascii="仿宋" w:hAnsi="仿宋" w:eastAsia="仿宋" w:cs="仿宋"/>
                <w:color w:val="auto"/>
                <w:kern w:val="0"/>
              </w:rPr>
              <w:t>高等学校教师资格证</w:t>
            </w:r>
            <w:r>
              <w:rPr>
                <w:rStyle w:val="38"/>
                <w:rFonts w:hint="default" w:ascii="仿宋" w:hAnsi="仿宋" w:eastAsia="仿宋" w:cs="仿宋"/>
                <w:color w:val="auto"/>
                <w:kern w:val="0"/>
              </w:rPr>
              <w:t>的，每人得1分。最高得5分。</w:t>
            </w:r>
          </w:p>
          <w:p>
            <w:pPr>
              <w:textAlignment w:val="center"/>
              <w:rPr>
                <w:rStyle w:val="38"/>
                <w:rFonts w:hint="default" w:ascii="仿宋" w:hAnsi="仿宋" w:eastAsia="仿宋" w:cs="仿宋"/>
                <w:color w:val="auto"/>
                <w:kern w:val="0"/>
              </w:rPr>
            </w:pPr>
            <w:r>
              <w:rPr>
                <w:rFonts w:ascii="仿宋" w:hAnsi="仿宋" w:eastAsia="仿宋" w:cs="仿宋"/>
                <w:color w:val="auto"/>
                <w:kern w:val="0"/>
                <w:sz w:val="24"/>
                <w:lang w:bidi="ar"/>
              </w:rPr>
              <w:t>4</w:t>
            </w:r>
            <w:r>
              <w:rPr>
                <w:rFonts w:hint="eastAsia" w:ascii="仿宋" w:hAnsi="仿宋" w:eastAsia="仿宋" w:cs="仿宋"/>
                <w:color w:val="auto"/>
                <w:kern w:val="0"/>
                <w:sz w:val="24"/>
                <w:lang w:bidi="ar"/>
              </w:rPr>
              <w:t>）</w:t>
            </w:r>
            <w:r>
              <w:rPr>
                <w:rStyle w:val="38"/>
                <w:rFonts w:hint="default" w:ascii="仿宋" w:hAnsi="仿宋" w:eastAsia="仿宋" w:cs="仿宋"/>
                <w:color w:val="auto"/>
                <w:kern w:val="0"/>
              </w:rPr>
              <w:t>项目团队人员作为主编、主要作者（排名第一或第二）出版过自然教育、科普等相关书籍的，每一本得2分，满分6分。</w:t>
            </w:r>
          </w:p>
          <w:p>
            <w:pPr>
              <w:textAlignment w:val="center"/>
              <w:rPr>
                <w:rStyle w:val="38"/>
                <w:rFonts w:hint="default" w:ascii="仿宋" w:hAnsi="仿宋" w:eastAsia="仿宋" w:cs="仿宋"/>
                <w:color w:val="auto"/>
                <w:kern w:val="0"/>
              </w:rPr>
            </w:pPr>
            <w:r>
              <w:rPr>
                <w:rFonts w:hint="eastAsia" w:ascii="仿宋" w:hAnsi="仿宋" w:eastAsia="仿宋" w:cs="仿宋"/>
                <w:color w:val="auto"/>
                <w:kern w:val="0"/>
                <w:sz w:val="24"/>
                <w:lang w:bidi="ar"/>
              </w:rPr>
              <w:t>注：1）投标文件中须提供项目或课程的合同书或结项报告复印件，加盖投标人公章，未按要求提供，本项不得分。2）投标文件中须提供项目人员相关教学证明，加盖投标人公章，未按要求提供，本项不得分。3）投标文件中须提供项目人员</w:t>
            </w:r>
            <w:r>
              <w:rPr>
                <w:rStyle w:val="38"/>
                <w:rFonts w:ascii="仿宋" w:hAnsi="仿宋" w:eastAsia="仿宋" w:cs="仿宋"/>
                <w:color w:val="auto"/>
                <w:kern w:val="0"/>
              </w:rPr>
              <w:t>高等学校</w:t>
            </w:r>
            <w:r>
              <w:rPr>
                <w:rFonts w:hint="eastAsia" w:ascii="仿宋" w:hAnsi="仿宋" w:eastAsia="仿宋" w:cs="仿宋"/>
                <w:color w:val="auto"/>
                <w:kern w:val="0"/>
                <w:sz w:val="24"/>
                <w:lang w:bidi="ar"/>
              </w:rPr>
              <w:t>教师资格证复印件，加盖投标人公章，未按要求提供，本项不得分。</w:t>
            </w:r>
            <w:r>
              <w:rPr>
                <w:rFonts w:ascii="仿宋" w:hAnsi="仿宋" w:eastAsia="仿宋" w:cs="仿宋"/>
                <w:color w:val="auto"/>
                <w:kern w:val="0"/>
                <w:sz w:val="24"/>
                <w:lang w:bidi="ar"/>
              </w:rPr>
              <w:t>4</w:t>
            </w:r>
            <w:r>
              <w:rPr>
                <w:rFonts w:hint="eastAsia" w:ascii="仿宋" w:hAnsi="仿宋" w:eastAsia="仿宋" w:cs="仿宋"/>
                <w:color w:val="auto"/>
                <w:kern w:val="0"/>
                <w:sz w:val="24"/>
                <w:lang w:bidi="ar"/>
              </w:rPr>
              <w:t>）投标文件中须提供项目人员出版书籍的扉页复印件和国际标准书号（ISBN），加盖投标人公章。未按要求提供，本项不得分。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cs="仿宋"/>
                <w:color w:val="auto"/>
                <w:sz w:val="24"/>
              </w:rPr>
            </w:pPr>
            <w:r>
              <w:rPr>
                <w:rFonts w:hint="eastAsia" w:ascii="仿宋" w:hAnsi="仿宋" w:cs="仿宋"/>
                <w:color w:val="auto"/>
                <w:sz w:val="24"/>
              </w:rPr>
              <w:t>20</w:t>
            </w:r>
          </w:p>
        </w:tc>
      </w:tr>
    </w:tbl>
    <w:p>
      <w:pPr>
        <w:jc w:val="center"/>
        <w:rPr>
          <w:rFonts w:ascii="仿宋" w:hAnsi="仿宋" w:eastAsia="仿宋" w:cs="仿宋"/>
          <w:b/>
          <w:bCs/>
          <w:color w:val="auto"/>
          <w:sz w:val="24"/>
        </w:rPr>
      </w:pPr>
    </w:p>
    <w:p>
      <w:pPr>
        <w:keepNext/>
        <w:keepLines/>
        <w:spacing w:before="100" w:line="360" w:lineRule="auto"/>
        <w:jc w:val="center"/>
        <w:outlineLvl w:val="2"/>
        <w:rPr>
          <w:rFonts w:ascii="仿宋" w:hAnsi="仿宋" w:eastAsia="仿宋" w:cs="仿宋"/>
          <w:b/>
          <w:bCs/>
          <w:color w:val="auto"/>
          <w:sz w:val="32"/>
          <w:szCs w:val="32"/>
        </w:rPr>
      </w:pPr>
      <w:r>
        <w:rPr>
          <w:rFonts w:hint="eastAsia" w:ascii="仿宋" w:hAnsi="仿宋" w:eastAsia="仿宋" w:cs="仿宋"/>
          <w:b/>
          <w:bCs/>
          <w:color w:val="auto"/>
          <w:sz w:val="32"/>
          <w:szCs w:val="32"/>
        </w:rPr>
        <w:t>经济标评分表（</w:t>
      </w:r>
      <w:r>
        <w:rPr>
          <w:rFonts w:hint="eastAsia" w:ascii="仿宋" w:hAnsi="仿宋" w:cs="仿宋"/>
          <w:b/>
          <w:bCs/>
          <w:color w:val="auto"/>
          <w:sz w:val="32"/>
          <w:szCs w:val="32"/>
        </w:rPr>
        <w:t>1</w:t>
      </w:r>
      <w:r>
        <w:rPr>
          <w:rFonts w:hint="eastAsia" w:ascii="仿宋" w:hAnsi="仿宋" w:eastAsia="仿宋" w:cs="仿宋"/>
          <w:b/>
          <w:bCs/>
          <w:color w:val="auto"/>
          <w:sz w:val="32"/>
          <w:szCs w:val="32"/>
        </w:rPr>
        <w:t>0分）</w:t>
      </w:r>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26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eastAsia="仿宋" w:cs="仿宋"/>
                <w:color w:val="auto"/>
                <w:sz w:val="24"/>
              </w:rPr>
              <w:t>8</w:t>
            </w:r>
          </w:p>
        </w:tc>
        <w:tc>
          <w:tcPr>
            <w:tcW w:w="119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color w:val="auto"/>
                <w:sz w:val="24"/>
              </w:rPr>
            </w:pPr>
            <w:r>
              <w:rPr>
                <w:rFonts w:hint="eastAsia" w:ascii="仿宋" w:hAnsi="仿宋" w:eastAsia="仿宋" w:cs="仿宋"/>
                <w:color w:val="auto"/>
                <w:sz w:val="24"/>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eastAsia" w:ascii="仿宋" w:hAnsi="仿宋" w:eastAsia="仿宋" w:cs="仿宋"/>
                <w:color w:val="auto"/>
                <w:lang w:eastAsia="zh-CN"/>
              </w:rPr>
            </w:pPr>
            <w:r>
              <w:rPr>
                <w:rStyle w:val="38"/>
                <w:rFonts w:hint="default" w:ascii="仿宋" w:hAnsi="仿宋" w:eastAsia="仿宋" w:cs="仿宋"/>
                <w:color w:val="auto"/>
              </w:rPr>
              <w:t>各投标人的投标报价得分按以下公式进行计算：</w:t>
            </w:r>
          </w:p>
          <w:p>
            <w:pPr>
              <w:textAlignment w:val="center"/>
              <w:rPr>
                <w:rStyle w:val="38"/>
                <w:rFonts w:hint="eastAsia" w:ascii="仿宋" w:hAnsi="仿宋" w:eastAsia="仿宋" w:cs="仿宋"/>
                <w:color w:val="auto"/>
                <w:lang w:eastAsia="zh-CN"/>
              </w:rPr>
            </w:pPr>
            <w:r>
              <w:rPr>
                <w:rStyle w:val="38"/>
                <w:rFonts w:hint="default" w:ascii="仿宋" w:hAnsi="仿宋" w:eastAsia="仿宋" w:cs="仿宋"/>
                <w:color w:val="auto"/>
              </w:rPr>
              <w:t>经济价格得分= (评标基准价/评标价)×</w:t>
            </w:r>
            <w:r>
              <w:rPr>
                <w:rStyle w:val="38"/>
                <w:rFonts w:hint="default" w:ascii="仿宋" w:hAnsi="仿宋" w:cs="仿宋"/>
                <w:color w:val="auto"/>
              </w:rPr>
              <w:t>1</w:t>
            </w:r>
            <w:r>
              <w:rPr>
                <w:rStyle w:val="38"/>
                <w:rFonts w:hint="default" w:ascii="仿宋" w:hAnsi="仿宋" w:eastAsia="仿宋" w:cs="仿宋"/>
                <w:color w:val="auto"/>
              </w:rPr>
              <w:t>0%×100。</w:t>
            </w:r>
          </w:p>
          <w:p>
            <w:pPr>
              <w:textAlignment w:val="center"/>
              <w:rPr>
                <w:rFonts w:ascii="仿宋" w:hAnsi="仿宋" w:eastAsia="仿宋" w:cs="仿宋"/>
                <w:color w:val="auto"/>
                <w:sz w:val="24"/>
              </w:rPr>
            </w:pPr>
            <w:r>
              <w:rPr>
                <w:rStyle w:val="38"/>
                <w:rFonts w:hint="default" w:ascii="仿宋" w:hAnsi="仿宋" w:eastAsia="仿宋" w:cs="仿宋"/>
                <w:color w:val="auto"/>
              </w:rPr>
              <w:t>评标基准价为满足</w:t>
            </w:r>
            <w:r>
              <w:rPr>
                <w:rStyle w:val="36"/>
                <w:rFonts w:hint="default" w:ascii="仿宋" w:hAnsi="仿宋" w:eastAsia="仿宋" w:cs="仿宋"/>
                <w:color w:val="auto"/>
              </w:rPr>
              <w:t>采购需求文件</w:t>
            </w:r>
            <w:r>
              <w:rPr>
                <w:rStyle w:val="38"/>
                <w:rFonts w:hint="default" w:ascii="仿宋" w:hAnsi="仿宋" w:eastAsia="仿宋" w:cs="仿宋"/>
                <w:color w:val="auto"/>
              </w:rPr>
              <w:t>要求最低的评标价，其价格分为满分。评标价为在报价基础上作算术修正后的价格，无算术修正情况下，报价即为评标价。若投标报价高于报价上限，则其投标文件按无效投标文件处理。（保留小数点后二位）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auto"/>
                <w:sz w:val="24"/>
              </w:rPr>
            </w:pPr>
            <w:r>
              <w:rPr>
                <w:rFonts w:hint="eastAsia" w:ascii="仿宋" w:hAnsi="仿宋" w:cs="仿宋"/>
                <w:color w:val="auto"/>
                <w:sz w:val="24"/>
              </w:rPr>
              <w:t>1</w:t>
            </w:r>
            <w:r>
              <w:rPr>
                <w:rFonts w:hint="eastAsia" w:ascii="仿宋" w:hAnsi="仿宋" w:eastAsia="仿宋" w:cs="仿宋"/>
                <w:color w:val="auto"/>
                <w:sz w:val="24"/>
              </w:rPr>
              <w:t>0分</w:t>
            </w:r>
          </w:p>
        </w:tc>
      </w:tr>
    </w:tbl>
    <w:p>
      <w:pPr>
        <w:pStyle w:val="9"/>
        <w:rPr>
          <w:rFonts w:hint="eastAsia" w:ascii="仿宋_GB2312" w:hAnsi="仿宋_GB2312" w:eastAsia="仿宋_GB2312" w:cs="仿宋_GB2312"/>
          <w:b/>
          <w:color w:val="auto"/>
          <w:sz w:val="44"/>
        </w:rPr>
      </w:pPr>
    </w:p>
    <w:p>
      <w:pPr>
        <w:keepLines/>
        <w:widowControl/>
        <w:adjustRightInd w:val="0"/>
        <w:snapToGrid w:val="0"/>
        <w:spacing w:line="360" w:lineRule="auto"/>
        <w:rPr>
          <w:rFonts w:ascii="仿宋" w:hAnsi="仿宋" w:eastAsia="仿宋"/>
          <w:color w:val="auto"/>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NDE1Yzg0NjhkMzE4NTU3MDI3MmMxY2Q2ZDY4NzE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8A6"/>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5E0D"/>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2D51"/>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3FCF"/>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3D7A"/>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081"/>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B07"/>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6138"/>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C3CDD"/>
    <w:rsid w:val="007D01F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182"/>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0F8A"/>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10B8"/>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0"/>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83"/>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A6C"/>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1F2B"/>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8FE"/>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2367"/>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1B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16B0"/>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6F1E9B"/>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4113D7"/>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825502"/>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216C5"/>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049E2"/>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1D02E9"/>
    <w:rsid w:val="342C4328"/>
    <w:rsid w:val="345C2494"/>
    <w:rsid w:val="346A7A13"/>
    <w:rsid w:val="347A4A26"/>
    <w:rsid w:val="347C71B0"/>
    <w:rsid w:val="34806CB8"/>
    <w:rsid w:val="349F1481"/>
    <w:rsid w:val="34A21331"/>
    <w:rsid w:val="34A81CD0"/>
    <w:rsid w:val="34AD6D30"/>
    <w:rsid w:val="34BB1C2F"/>
    <w:rsid w:val="34CA3F2A"/>
    <w:rsid w:val="34D752C3"/>
    <w:rsid w:val="3504288B"/>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453900"/>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21F70"/>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42B71"/>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2495F"/>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ind w:firstLine="596" w:firstLineChars="200"/>
      <w:outlineLvl w:val="0"/>
    </w:pPr>
    <w:rPr>
      <w:rFonts w:ascii="黑体" w:eastAsia="黑体"/>
      <w:b/>
      <w:sz w:val="32"/>
      <w:szCs w:val="22"/>
    </w:rPr>
  </w:style>
  <w:style w:type="paragraph" w:styleId="3">
    <w:name w:val="heading 2"/>
    <w:basedOn w:val="1"/>
    <w:next w:val="1"/>
    <w:link w:val="37"/>
    <w:unhideWhenUsed/>
    <w:qFormat/>
    <w:uiPriority w:val="0"/>
    <w:pPr>
      <w:ind w:firstLine="596" w:firstLineChars="200"/>
      <w:outlineLvl w:val="1"/>
    </w:pPr>
    <w:rPr>
      <w:rFonts w:ascii="楷体_GB2312" w:eastAsia="楷体_GB2312"/>
      <w:b/>
      <w:sz w:val="32"/>
      <w:szCs w:val="2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pPr>
      <w:jc w:val="left"/>
    </w:pPr>
    <w:rPr>
      <w:szCs w:val="20"/>
    </w:rPr>
  </w:style>
  <w:style w:type="paragraph" w:styleId="7">
    <w:name w:val="Body Text"/>
    <w:basedOn w:val="1"/>
    <w:next w:val="1"/>
    <w:qFormat/>
    <w:uiPriority w:val="0"/>
    <w:pPr>
      <w:spacing w:after="120"/>
    </w:pPr>
  </w:style>
  <w:style w:type="paragraph" w:styleId="8">
    <w:name w:val="Body Text Indent"/>
    <w:basedOn w:val="1"/>
    <w:qFormat/>
    <w:uiPriority w:val="0"/>
    <w:pPr>
      <w:spacing w:line="600" w:lineRule="exact"/>
      <w:ind w:firstLine="560" w:firstLineChars="200"/>
    </w:pPr>
    <w:rPr>
      <w:rFonts w:ascii="宋体" w:hAnsi="宋体"/>
      <w:sz w:val="28"/>
      <w:szCs w:val="20"/>
    </w:rPr>
  </w:style>
  <w:style w:type="paragraph" w:styleId="9">
    <w:name w:val="Plain Text"/>
    <w:basedOn w:val="1"/>
    <w:qFormat/>
    <w:uiPriority w:val="0"/>
    <w:rPr>
      <w:rFonts w:ascii="宋体" w:hAnsi="Courier New"/>
    </w:rPr>
  </w:style>
  <w:style w:type="paragraph" w:styleId="10">
    <w:name w:val="Date"/>
    <w:basedOn w:val="1"/>
    <w:next w:val="1"/>
    <w:qFormat/>
    <w:uiPriority w:val="0"/>
    <w:pPr>
      <w:ind w:left="100" w:leftChars="2500"/>
    </w:pPr>
  </w:style>
  <w:style w:type="paragraph" w:styleId="11">
    <w:name w:val="Body Text Indent 2"/>
    <w:link w:val="4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仿宋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标题 2 字符"/>
    <w:link w:val="3"/>
    <w:qFormat/>
    <w:uiPriority w:val="0"/>
    <w:rPr>
      <w:rFonts w:ascii="楷体_GB2312" w:eastAsia="楷体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脚注文本 字符"/>
    <w:link w:val="15"/>
    <w:semiHidden/>
    <w:qFormat/>
    <w:uiPriority w:val="0"/>
    <w:rPr>
      <w:rFonts w:eastAsia="仿宋_GB2312"/>
      <w:kern w:val="2"/>
      <w:sz w:val="18"/>
      <w:szCs w:val="18"/>
      <w:lang w:val="en-US" w:eastAsia="zh-CN" w:bidi="ar-SA"/>
    </w:rPr>
  </w:style>
  <w:style w:type="character" w:customStyle="1" w:styleId="41">
    <w:name w:val="标题 1 字符"/>
    <w:link w:val="2"/>
    <w:qFormat/>
    <w:uiPriority w:val="0"/>
    <w:rPr>
      <w:rFonts w:ascii="黑体" w:eastAsia="黑体"/>
      <w:b/>
      <w:kern w:val="2"/>
      <w:sz w:val="32"/>
      <w:szCs w:val="22"/>
      <w:lang w:val="en-US" w:eastAsia="zh-CN" w:bidi="ar-SA"/>
    </w:rPr>
  </w:style>
  <w:style w:type="character" w:customStyle="1" w:styleId="42">
    <w:name w:val="正文文本缩进 2 字符"/>
    <w:basedOn w:val="19"/>
    <w:link w:val="11"/>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344</Words>
  <Characters>1965</Characters>
  <Lines>16</Lines>
  <Paragraphs>4</Paragraphs>
  <TotalTime>4</TotalTime>
  <ScaleCrop>false</ScaleCrop>
  <LinksUpToDate>false</LinksUpToDate>
  <CharactersWithSpaces>2305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2023-12-06T10:32:00Z</dcterms:created>
  <dc:creator>陈微:</dc:creator>
  <cp:lastModifiedBy>严言</cp:lastModifiedBy>
  <cp:lastPrinted>2023-12-07T01:27:00Z</cp:lastPrinted>
  <dcterms:modified xsi:type="dcterms:W3CDTF">2023-12-18T06:47:44Z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1F09B90624834D9A909B47E732BB8023_13</vt:lpwstr>
  </property>
</Properties>
</file>