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val="0"/>
        <w:adjustRightInd w:val="0"/>
        <w:spacing w:line="560" w:lineRule="exact"/>
        <w:ind w:right="1104"/>
        <w:jc w:val="center"/>
        <w:rPr>
          <w:rFonts w:ascii="仿宋_GB2312" w:eastAsia="仿宋_GB2312"/>
          <w:kern w:val="2"/>
          <w:sz w:val="32"/>
        </w:rPr>
      </w:pPr>
    </w:p>
    <w:p>
      <w:pPr>
        <w:pStyle w:val="26"/>
        <w:widowControl w:val="0"/>
        <w:adjustRightInd w:val="0"/>
        <w:spacing w:line="560" w:lineRule="exact"/>
        <w:ind w:right="1104"/>
        <w:jc w:val="center"/>
        <w:rPr>
          <w:rFonts w:ascii="仿宋_GB2312" w:hAnsi="仿宋_GB2312" w:eastAsia="仿宋_GB2312"/>
          <w:kern w:val="2"/>
          <w:sz w:val="32"/>
          <w:szCs w:val="32"/>
        </w:rPr>
      </w:pPr>
    </w:p>
    <w:p>
      <w:pPr>
        <w:jc w:val="center"/>
        <w:rPr>
          <w:b/>
          <w:bCs/>
          <w:sz w:val="44"/>
          <w:szCs w:val="44"/>
          <w:lang w:eastAsia="zh-TW"/>
        </w:rPr>
      </w:pPr>
    </w:p>
    <w:p>
      <w:pPr>
        <w:rPr>
          <w:b/>
          <w:bCs/>
          <w:sz w:val="44"/>
          <w:szCs w:val="44"/>
          <w:lang w:eastAsia="zh-TW"/>
        </w:rPr>
      </w:pPr>
    </w:p>
    <w:p>
      <w:pPr>
        <w:rPr>
          <w:b/>
          <w:bCs/>
          <w:sz w:val="44"/>
          <w:szCs w:val="44"/>
          <w:lang w:eastAsia="zh-TW"/>
        </w:rPr>
      </w:pPr>
    </w:p>
    <w:p>
      <w:pPr>
        <w:jc w:val="center"/>
        <w:rPr>
          <w:b/>
          <w:bCs/>
          <w:sz w:val="44"/>
          <w:szCs w:val="44"/>
          <w:lang w:eastAsia="zh-TW"/>
        </w:rPr>
      </w:pPr>
    </w:p>
    <w:p>
      <w:pPr>
        <w:jc w:val="center"/>
        <w:rPr>
          <w:b/>
          <w:bCs/>
          <w:sz w:val="44"/>
          <w:szCs w:val="44"/>
          <w:lang w:eastAsia="zh-TW"/>
        </w:rPr>
      </w:pPr>
    </w:p>
    <w:p>
      <w:pPr>
        <w:pStyle w:val="12"/>
        <w:rPr>
          <w:lang w:eastAsia="zh-TW"/>
        </w:rPr>
      </w:pPr>
    </w:p>
    <w:p>
      <w:pPr>
        <w:jc w:val="center"/>
        <w:rPr>
          <w:b/>
          <w:bCs/>
          <w:sz w:val="44"/>
          <w:szCs w:val="44"/>
          <w:lang w:eastAsia="zh-TW"/>
        </w:rPr>
      </w:pPr>
    </w:p>
    <w:p>
      <w:pPr>
        <w:ind w:firstLine="3120" w:firstLineChars="60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项目需求书</w:t>
      </w:r>
    </w:p>
    <w:p>
      <w:pPr>
        <w:jc w:val="center"/>
        <w:rPr>
          <w:b/>
          <w:bCs/>
          <w:sz w:val="44"/>
          <w:szCs w:val="44"/>
        </w:rPr>
      </w:pPr>
    </w:p>
    <w:p>
      <w:pPr>
        <w:rPr>
          <w:b/>
          <w:bCs/>
          <w:sz w:val="44"/>
          <w:szCs w:val="44"/>
        </w:rPr>
      </w:pPr>
    </w:p>
    <w:p>
      <w:pPr>
        <w:rPr>
          <w:b/>
          <w:bCs/>
          <w:sz w:val="44"/>
          <w:szCs w:val="44"/>
        </w:rPr>
      </w:pPr>
    </w:p>
    <w:p>
      <w:pPr>
        <w:pStyle w:val="12"/>
        <w:rPr>
          <w:b/>
          <w:bCs/>
          <w:sz w:val="44"/>
          <w:szCs w:val="44"/>
        </w:rPr>
      </w:pPr>
    </w:p>
    <w:p>
      <w:pPr>
        <w:pStyle w:val="12"/>
        <w:ind w:left="0" w:firstLine="0"/>
        <w:rPr>
          <w:b/>
          <w:bCs/>
          <w:sz w:val="44"/>
          <w:szCs w:val="44"/>
        </w:rPr>
      </w:pPr>
    </w:p>
    <w:p>
      <w:pPr>
        <w:pStyle w:val="12"/>
        <w:rPr>
          <w:b/>
          <w:bCs/>
          <w:sz w:val="44"/>
          <w:szCs w:val="44"/>
        </w:rPr>
      </w:pPr>
    </w:p>
    <w:p>
      <w:pPr>
        <w:pStyle w:val="12"/>
        <w:rPr>
          <w:b/>
          <w:bCs/>
          <w:sz w:val="44"/>
          <w:szCs w:val="44"/>
        </w:rPr>
      </w:pPr>
    </w:p>
    <w:p>
      <w:pPr>
        <w:pStyle w:val="12"/>
        <w:rPr>
          <w:b/>
          <w:bCs/>
          <w:sz w:val="44"/>
          <w:szCs w:val="44"/>
        </w:rPr>
      </w:pPr>
    </w:p>
    <w:p>
      <w:pPr>
        <w:pStyle w:val="12"/>
        <w:rPr>
          <w:b/>
          <w:bCs/>
          <w:sz w:val="44"/>
          <w:szCs w:val="44"/>
        </w:rPr>
      </w:pPr>
    </w:p>
    <w:p>
      <w:pPr>
        <w:pStyle w:val="12"/>
        <w:rPr>
          <w:b/>
          <w:bCs/>
          <w:sz w:val="44"/>
          <w:szCs w:val="44"/>
        </w:rPr>
      </w:pPr>
    </w:p>
    <w:p>
      <w:pPr>
        <w:pStyle w:val="12"/>
        <w:ind w:left="0" w:firstLine="0"/>
        <w:rPr>
          <w:b/>
          <w:bCs/>
          <w:sz w:val="44"/>
          <w:szCs w:val="44"/>
        </w:rPr>
      </w:pPr>
      <w:r>
        <w:rPr>
          <w:rFonts w:hint="eastAsia"/>
          <w:b/>
          <w:bCs/>
          <w:sz w:val="44"/>
          <w:szCs w:val="44"/>
        </w:rPr>
        <w:t xml:space="preserve">             </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widowControl/>
        <w:jc w:val="left"/>
        <w:rPr>
          <w:rFonts w:ascii="黑体" w:hAnsi="黑体" w:eastAsia="黑体" w:cs="黑体"/>
          <w:bCs/>
          <w:sz w:val="32"/>
          <w:szCs w:val="32"/>
        </w:rPr>
      </w:pPr>
      <w:r>
        <w:rPr>
          <w:rFonts w:hint="eastAsia"/>
          <w:b/>
          <w:bCs/>
          <w:sz w:val="44"/>
          <w:szCs w:val="44"/>
        </w:rPr>
        <w:t xml:space="preserve">   </w:t>
      </w:r>
      <w:r>
        <w:rPr>
          <w:rFonts w:hint="eastAsia" w:ascii="黑体" w:hAnsi="黑体" w:eastAsia="黑体" w:cs="黑体"/>
          <w:bCs/>
          <w:sz w:val="32"/>
          <w:szCs w:val="32"/>
        </w:rPr>
        <w:t>一、项目名称</w:t>
      </w:r>
    </w:p>
    <w:p>
      <w:pPr>
        <w:pStyle w:val="25"/>
        <w:spacing w:line="579" w:lineRule="exact"/>
        <w:ind w:firstLine="640"/>
        <w:rPr>
          <w:rFonts w:ascii="仿宋" w:hAnsi="仿宋" w:eastAsia="仿宋" w:cs="仿宋"/>
          <w:bCs/>
          <w:sz w:val="32"/>
          <w:szCs w:val="32"/>
        </w:rPr>
      </w:pPr>
      <w:r>
        <w:rPr>
          <w:rFonts w:hint="eastAsia" w:ascii="仿宋" w:hAnsi="仿宋" w:eastAsia="仿宋" w:cs="仿宋"/>
          <w:bCs/>
          <w:sz w:val="32"/>
          <w:szCs w:val="32"/>
        </w:rPr>
        <w:t>横琴粤澳深度合作区城市规划和建设局生态环保年度科普宣传主题活动服务项目</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pPr>
        <w:pStyle w:val="25"/>
        <w:spacing w:line="579" w:lineRule="exact"/>
        <w:ind w:firstLine="640"/>
        <w:rPr>
          <w:rFonts w:ascii="仿宋" w:hAnsi="仿宋" w:eastAsia="仿宋" w:cs="仿宋"/>
          <w:bCs/>
          <w:sz w:val="32"/>
          <w:szCs w:val="32"/>
        </w:rPr>
      </w:pPr>
      <w:r>
        <w:rPr>
          <w:rFonts w:hint="eastAsia" w:ascii="仿宋" w:hAnsi="仿宋" w:eastAsia="仿宋" w:cs="仿宋"/>
          <w:bCs/>
          <w:sz w:val="32"/>
          <w:szCs w:val="32"/>
        </w:rPr>
        <w:t>为进一步提升横琴生态岛的知名度和形象，增强公众对于生态保护的意识和参与度，扩大横琴生态品牌的影响力，2024年计划以“生态 24 节气”（共</w:t>
      </w:r>
      <w:r>
        <w:rPr>
          <w:rFonts w:hint="eastAsia" w:ascii="仿宋" w:hAnsi="仿宋" w:eastAsia="仿宋" w:cs="仿宋"/>
          <w:sz w:val="32"/>
          <w:szCs w:val="32"/>
        </w:rPr>
        <w:t>24个生态科普活动</w:t>
      </w:r>
      <w:r>
        <w:rPr>
          <w:rFonts w:hint="eastAsia" w:ascii="仿宋" w:hAnsi="仿宋" w:eastAsia="仿宋" w:cs="仿宋"/>
          <w:bCs/>
          <w:sz w:val="32"/>
          <w:szCs w:val="32"/>
        </w:rPr>
        <w:t>）为主题方向举办生态科普宣传活动。项目内容包括年度生态活动主题策划、视觉设计、文创物料设计及制作等内容。</w:t>
      </w:r>
    </w:p>
    <w:p>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三、服务期限</w:t>
      </w:r>
    </w:p>
    <w:p>
      <w:pPr>
        <w:pStyle w:val="25"/>
        <w:spacing w:line="579" w:lineRule="exact"/>
        <w:ind w:firstLine="64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cs="仿宋"/>
          <w:sz w:val="32"/>
          <w:szCs w:val="32"/>
        </w:rPr>
        <w:t>4</w:t>
      </w:r>
      <w:r>
        <w:rPr>
          <w:rFonts w:hint="eastAsia" w:ascii="仿宋" w:hAnsi="仿宋" w:eastAsia="仿宋" w:cs="仿宋"/>
          <w:sz w:val="32"/>
          <w:szCs w:val="32"/>
        </w:rPr>
        <w:t>年1月至2024年12月</w:t>
      </w:r>
    </w:p>
    <w:p>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四、服务内容及服务要求</w:t>
      </w:r>
    </w:p>
    <w:p>
      <w:pPr>
        <w:pStyle w:val="25"/>
        <w:spacing w:line="579" w:lineRule="exact"/>
        <w:ind w:firstLine="640"/>
        <w:rPr>
          <w:rFonts w:ascii="仿宋" w:hAnsi="仿宋" w:eastAsia="仿宋" w:cs="仿宋"/>
          <w:sz w:val="32"/>
          <w:szCs w:val="32"/>
        </w:rPr>
      </w:pPr>
      <w:r>
        <w:rPr>
          <w:rFonts w:hint="eastAsia" w:ascii="仿宋" w:hAnsi="仿宋" w:eastAsia="仿宋" w:cs="仿宋"/>
          <w:sz w:val="32"/>
          <w:szCs w:val="32"/>
        </w:rPr>
        <w:t>完成2024年度横琴粤澳深度合作区城市规划和建设局生态环保年度科普宣传需求的“生态24节气”为主轴线的生态科普宣传年度主题策划方案、视觉设计、文创设计及文创制作执行。</w:t>
      </w:r>
    </w:p>
    <w:p>
      <w:pPr>
        <w:pStyle w:val="25"/>
        <w:spacing w:line="579" w:lineRule="exact"/>
        <w:ind w:firstLine="640"/>
        <w:rPr>
          <w:rFonts w:ascii="仿宋" w:hAnsi="仿宋" w:eastAsia="仿宋" w:cs="仿宋"/>
          <w:sz w:val="32"/>
          <w:szCs w:val="32"/>
        </w:rPr>
      </w:pPr>
      <w:r>
        <w:rPr>
          <w:rFonts w:hint="eastAsia" w:ascii="仿宋" w:hAnsi="仿宋" w:eastAsia="仿宋" w:cs="仿宋"/>
          <w:sz w:val="32"/>
          <w:szCs w:val="32"/>
        </w:rPr>
        <w:t>1. 年度主题策划方案</w:t>
      </w:r>
    </w:p>
    <w:p>
      <w:pPr>
        <w:pStyle w:val="25"/>
        <w:spacing w:line="579" w:lineRule="exact"/>
        <w:ind w:firstLine="640"/>
        <w:rPr>
          <w:rFonts w:ascii="仿宋" w:hAnsi="仿宋" w:eastAsia="仿宋" w:cs="仿宋"/>
          <w:sz w:val="32"/>
          <w:szCs w:val="32"/>
        </w:rPr>
      </w:pPr>
      <w:r>
        <w:rPr>
          <w:rFonts w:hint="eastAsia" w:ascii="仿宋" w:hAnsi="仿宋" w:eastAsia="仿宋" w:cs="仿宋"/>
          <w:sz w:val="32"/>
          <w:szCs w:val="32"/>
        </w:rPr>
        <w:t>包括年度目标梳理、年度主题宣传语策划、年度主题下的系列倡导观点以及生态24节气文案等内容。</w:t>
      </w:r>
    </w:p>
    <w:p>
      <w:pPr>
        <w:pStyle w:val="25"/>
        <w:spacing w:line="579" w:lineRule="exact"/>
        <w:ind w:firstLine="640"/>
        <w:rPr>
          <w:rFonts w:ascii="仿宋" w:hAnsi="仿宋" w:eastAsia="仿宋" w:cs="仿宋"/>
          <w:sz w:val="32"/>
          <w:szCs w:val="32"/>
        </w:rPr>
      </w:pPr>
      <w:r>
        <w:rPr>
          <w:rFonts w:hint="eastAsia" w:ascii="仿宋" w:hAnsi="仿宋" w:eastAsia="仿宋" w:cs="仿宋"/>
          <w:sz w:val="32"/>
          <w:szCs w:val="32"/>
        </w:rPr>
        <w:t>2.年度主视觉设计</w:t>
      </w:r>
    </w:p>
    <w:p>
      <w:pPr>
        <w:pStyle w:val="25"/>
        <w:spacing w:line="579" w:lineRule="exact"/>
        <w:ind w:firstLine="640"/>
        <w:rPr>
          <w:rFonts w:ascii="仿宋" w:hAnsi="仿宋" w:eastAsia="仿宋" w:cs="仿宋"/>
          <w:sz w:val="32"/>
          <w:szCs w:val="32"/>
        </w:rPr>
      </w:pPr>
      <w:r>
        <w:rPr>
          <w:rFonts w:hint="eastAsia" w:ascii="仿宋" w:hAnsi="仿宋" w:eastAsia="仿宋" w:cs="仿宋"/>
          <w:sz w:val="32"/>
          <w:szCs w:val="32"/>
        </w:rPr>
        <w:t>（1）年度主题主视觉及应用规范设计：包括生态24节气生态科普宣传运用主视觉风格使用原则、规格说明、使用规范等。</w:t>
      </w:r>
    </w:p>
    <w:p>
      <w:pPr>
        <w:pStyle w:val="2"/>
        <w:ind w:firstLine="640" w:firstLineChars="200"/>
        <w:rPr>
          <w:rFonts w:ascii="仿宋" w:hAnsi="仿宋" w:eastAsia="仿宋" w:cs="仿宋"/>
          <w:sz w:val="32"/>
          <w:szCs w:val="32"/>
        </w:rPr>
      </w:pPr>
      <w:r>
        <w:rPr>
          <w:rFonts w:hint="eastAsia" w:ascii="仿宋" w:hAnsi="仿宋" w:eastAsia="仿宋" w:cs="仿宋"/>
          <w:sz w:val="32"/>
          <w:szCs w:val="32"/>
        </w:rPr>
        <w:t>（2）2024年度主题下生态24节气海报主视觉设计：包括24张海报设计。</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3.生态环保宣传科普2024年度文创设计与制作执行</w:t>
      </w:r>
    </w:p>
    <w:p>
      <w:pPr>
        <w:snapToGrid w:val="0"/>
        <w:spacing w:before="156" w:beforeLines="50" w:line="579" w:lineRule="exact"/>
        <w:ind w:firstLine="624" w:firstLineChars="200"/>
      </w:pPr>
      <w:r>
        <w:rPr>
          <w:rFonts w:hint="eastAsia" w:ascii="仿宋" w:hAnsi="仿宋" w:eastAsia="仿宋" w:cs="仿宋"/>
          <w:spacing w:val="-4"/>
          <w:sz w:val="32"/>
          <w:szCs w:val="32"/>
        </w:rPr>
        <w:t>（1）年度文创设计：包括4款主题徽章设计、4款主题手帕设计、4款主题填色挎包设计、2款主题T恤设计、1款主题马克杯设计、1款主题环保袋设计和1款主题折叠椅设计。</w:t>
      </w:r>
    </w:p>
    <w:p>
      <w:pPr>
        <w:snapToGrid w:val="0"/>
        <w:spacing w:before="156" w:beforeLines="50"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（2）年度文创制作执行</w:t>
      </w:r>
      <w:bookmarkStart w:id="0" w:name="_Toc77098321"/>
      <w:bookmarkStart w:id="1" w:name="_Toc76328165"/>
      <w:bookmarkStart w:id="2" w:name="_Toc529800909"/>
      <w:r>
        <w:rPr>
          <w:rFonts w:hint="eastAsia" w:ascii="仿宋" w:hAnsi="仿宋" w:eastAsia="仿宋" w:cs="仿宋"/>
          <w:spacing w:val="-4"/>
          <w:sz w:val="32"/>
          <w:szCs w:val="32"/>
        </w:rPr>
        <w:t>：包括500个主题徽章制作、500条主题手帕制作、500个主题填色挎包制作、1500件主题T恤制作、1500</w:t>
      </w:r>
      <w:r>
        <w:rPr>
          <w:rFonts w:hint="eastAsia" w:ascii="仿宋" w:hAnsi="仿宋" w:eastAsia="仿宋" w:cs="仿宋"/>
          <w:spacing w:val="-4"/>
          <w:sz w:val="32"/>
          <w:szCs w:val="32"/>
          <w:lang w:val="en-US" w:eastAsia="zh-CN"/>
        </w:rPr>
        <w:t>个</w:t>
      </w:r>
      <w:r>
        <w:rPr>
          <w:rFonts w:hint="eastAsia" w:ascii="仿宋" w:hAnsi="仿宋" w:eastAsia="仿宋" w:cs="仿宋"/>
          <w:spacing w:val="-4"/>
          <w:sz w:val="32"/>
          <w:szCs w:val="32"/>
        </w:rPr>
        <w:t>主题马克杯制作、1500个主题环保袋制作、1000个主题折叠椅制作。</w:t>
      </w:r>
      <w:bookmarkStart w:id="3" w:name="_GoBack"/>
      <w:bookmarkEnd w:id="3"/>
    </w:p>
    <w:p>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五、考核标准</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按照国家、广东省、横琴粤澳深度合作区及采购需求文件执行。</w:t>
      </w:r>
    </w:p>
    <w:bookmarkEnd w:id="0"/>
    <w:bookmarkEnd w:id="1"/>
    <w:bookmarkEnd w:id="2"/>
    <w:p>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六、采购预算及响应报价要求</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本项目为项目总价包干，响应人的报价应包括（但不限于）：人工费、设备费、运输费、保险费、技术服务费（含联络费、调试费、保修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七、付款方式</w:t>
      </w:r>
    </w:p>
    <w:p>
      <w:pPr>
        <w:snapToGrid w:val="0"/>
        <w:spacing w:line="579" w:lineRule="exact"/>
        <w:ind w:firstLine="624" w:firstLineChars="200"/>
        <w:rPr>
          <w:sz w:val="32"/>
          <w:szCs w:val="32"/>
        </w:rPr>
      </w:pPr>
      <w:r>
        <w:rPr>
          <w:rFonts w:hint="eastAsia" w:ascii="仿宋" w:hAnsi="仿宋" w:eastAsia="仿宋" w:cs="仿宋"/>
          <w:spacing w:val="-4"/>
          <w:sz w:val="32"/>
          <w:szCs w:val="32"/>
        </w:rPr>
        <w:t>1期：成交供应商与采购人签订合同 1</w:t>
      </w:r>
      <w:r>
        <w:rPr>
          <w:rFonts w:hint="eastAsia" w:ascii="仿宋" w:hAnsi="仿宋" w:eastAsia="PMingLiU" w:cs="仿宋"/>
          <w:spacing w:val="-4"/>
          <w:sz w:val="32"/>
          <w:szCs w:val="32"/>
        </w:rPr>
        <w:t>5</w:t>
      </w:r>
      <w:r>
        <w:rPr>
          <w:rFonts w:hint="eastAsia" w:ascii="仿宋" w:hAnsi="仿宋" w:eastAsia="仿宋" w:cs="仿宋"/>
          <w:spacing w:val="-4"/>
          <w:sz w:val="32"/>
          <w:szCs w:val="32"/>
        </w:rPr>
        <w:t xml:space="preserve">个工作日内，采购人向成交供应商支付合同总价款的 </w:t>
      </w:r>
      <w:r>
        <w:rPr>
          <w:rFonts w:hint="eastAsia" w:ascii="仿宋" w:hAnsi="仿宋" w:eastAsia="PMingLiU" w:cs="仿宋"/>
          <w:spacing w:val="-4"/>
          <w:sz w:val="32"/>
          <w:szCs w:val="32"/>
        </w:rPr>
        <w:t>30</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 期：成交供应商完成项目主题活动策划、设计方案中期汇报并提交文创制作成果的5个工作日内，采购人向成交供应商支付合同总价款的</w:t>
      </w:r>
      <w:r>
        <w:rPr>
          <w:rFonts w:hint="eastAsia" w:ascii="仿宋" w:hAnsi="仿宋" w:eastAsia="PMingLiU" w:cs="仿宋"/>
          <w:spacing w:val="-4"/>
          <w:sz w:val="32"/>
          <w:szCs w:val="32"/>
        </w:rPr>
        <w:t>60</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3 期：所有项目内容实施完毕验收合格后，成交供应商按照采购人要求申请付款，采购人向成交供应商支付合同总价款的剩余款项，即合同总价款的10%。</w:t>
      </w:r>
    </w:p>
    <w:p>
      <w:pPr>
        <w:snapToGrid w:val="0"/>
        <w:spacing w:line="579" w:lineRule="exact"/>
        <w:ind w:firstLine="624" w:firstLineChars="200"/>
        <w:rPr>
          <w:b/>
          <w:bCs/>
          <w:sz w:val="32"/>
          <w:szCs w:val="32"/>
        </w:rPr>
      </w:pPr>
      <w:r>
        <w:rPr>
          <w:rFonts w:hint="eastAsia" w:ascii="仿宋" w:hAnsi="仿宋" w:eastAsia="仿宋" w:cs="仿宋"/>
          <w:spacing w:val="-4"/>
          <w:sz w:val="32"/>
          <w:szCs w:val="32"/>
        </w:rPr>
        <w:t>注: 每次支付款时，成交供应商向采购人提供相应金额的正式发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560" w:lineRule="exact"/>
        <w:jc w:val="left"/>
        <w:rPr>
          <w:rFonts w:ascii="仿宋_GB2312" w:hAnsi="仿宋_GB2312" w:eastAsia="仿宋_GB2312" w:cs="仿宋_GB2312"/>
          <w:sz w:val="32"/>
          <w:szCs w:val="32"/>
        </w:rPr>
      </w:pPr>
    </w:p>
    <w:p>
      <w:pPr>
        <w:spacing w:line="560" w:lineRule="exact"/>
        <w:ind w:left="6072" w:leftChars="1520" w:hanging="2880" w:hangingChars="900"/>
        <w:jc w:val="left"/>
      </w:pPr>
      <w:r>
        <w:rPr>
          <w:rFonts w:hint="eastAsia" w:ascii="仿宋_GB2312" w:hAnsi="仿宋_GB2312" w:eastAsia="仿宋_GB2312" w:cs="仿宋_GB2312"/>
          <w:sz w:val="32"/>
          <w:szCs w:val="32"/>
        </w:rPr>
        <w:t>横琴粤澳深度合作区城市规划和建设局202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keepLines/>
        <w:widowControl/>
        <w:adjustRightInd w:val="0"/>
        <w:snapToGrid w:val="0"/>
        <w:spacing w:line="360" w:lineRule="auto"/>
        <w:rPr>
          <w:rFonts w:ascii="仿宋" w:hAnsi="仿宋" w:eastAsia="仿宋"/>
          <w:sz w:val="24"/>
          <w:u w:val="single"/>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- 3 -</w:t>
    </w:r>
    <w:r>
      <w:rPr>
        <w:rFonts w:ascii="宋体" w:hAnsi="宋体"/>
        <w:sz w:val="24"/>
        <w:szCs w:val="24"/>
      </w:rPr>
      <w:fldChar w:fldCharType="end"/>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- 2 -</w:t>
    </w:r>
    <w:r>
      <w:rPr>
        <w:rFonts w:ascii="宋体" w:hAnsi="宋体"/>
        <w:sz w:val="24"/>
        <w:szCs w:val="24"/>
      </w:rP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4OGVlZWQyMjNmOGJjMjc4ZDFhOGM3NDg5Mjc0YjAifQ=="/>
  </w:docVars>
  <w:rsids>
    <w:rsidRoot w:val="00172A27"/>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159DD"/>
    <w:rsid w:val="00020B80"/>
    <w:rsid w:val="00020EBD"/>
    <w:rsid w:val="00022282"/>
    <w:rsid w:val="00023909"/>
    <w:rsid w:val="00023BF5"/>
    <w:rsid w:val="00023EF7"/>
    <w:rsid w:val="00024F9F"/>
    <w:rsid w:val="0002539B"/>
    <w:rsid w:val="00025B4B"/>
    <w:rsid w:val="0002612E"/>
    <w:rsid w:val="00030101"/>
    <w:rsid w:val="000322DD"/>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2A27"/>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298"/>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ADA"/>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4DA3"/>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97FEC"/>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26B57"/>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0CE1"/>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263"/>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87D"/>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35C"/>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5CF4"/>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67F6D"/>
    <w:rsid w:val="00870AC5"/>
    <w:rsid w:val="00871121"/>
    <w:rsid w:val="00871865"/>
    <w:rsid w:val="008723F2"/>
    <w:rsid w:val="00876FCE"/>
    <w:rsid w:val="008773EF"/>
    <w:rsid w:val="008776EA"/>
    <w:rsid w:val="00877D12"/>
    <w:rsid w:val="008809BB"/>
    <w:rsid w:val="00882D3F"/>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6BE"/>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B7F7B"/>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705"/>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1FFB"/>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4F3F"/>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6DC"/>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45CA"/>
    <w:rsid w:val="00F2583D"/>
    <w:rsid w:val="00F25950"/>
    <w:rsid w:val="00F25C63"/>
    <w:rsid w:val="00F2634A"/>
    <w:rsid w:val="00F26414"/>
    <w:rsid w:val="00F26B18"/>
    <w:rsid w:val="00F26DF5"/>
    <w:rsid w:val="00F303D0"/>
    <w:rsid w:val="00F30A37"/>
    <w:rsid w:val="00F313B1"/>
    <w:rsid w:val="00F33B19"/>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04C0"/>
    <w:rsid w:val="00F52FF2"/>
    <w:rsid w:val="00F533A6"/>
    <w:rsid w:val="00F54567"/>
    <w:rsid w:val="00F54939"/>
    <w:rsid w:val="00F5553D"/>
    <w:rsid w:val="00F575E1"/>
    <w:rsid w:val="00F57A0D"/>
    <w:rsid w:val="00F61087"/>
    <w:rsid w:val="00F61DB2"/>
    <w:rsid w:val="00F622B5"/>
    <w:rsid w:val="00F62408"/>
    <w:rsid w:val="00F624CF"/>
    <w:rsid w:val="00F62E32"/>
    <w:rsid w:val="00F634DC"/>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E85014"/>
    <w:rsid w:val="07F03282"/>
    <w:rsid w:val="07FD3D8E"/>
    <w:rsid w:val="08003E79"/>
    <w:rsid w:val="08096E47"/>
    <w:rsid w:val="081C00FC"/>
    <w:rsid w:val="0825634E"/>
    <w:rsid w:val="08461C19"/>
    <w:rsid w:val="084F3510"/>
    <w:rsid w:val="0859605C"/>
    <w:rsid w:val="085977FC"/>
    <w:rsid w:val="086A47EF"/>
    <w:rsid w:val="08707BF8"/>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B3CDD"/>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03FB7"/>
    <w:rsid w:val="20C6178E"/>
    <w:rsid w:val="20F14F11"/>
    <w:rsid w:val="2101466E"/>
    <w:rsid w:val="21046A5A"/>
    <w:rsid w:val="211C60E8"/>
    <w:rsid w:val="21224FD1"/>
    <w:rsid w:val="21502BF8"/>
    <w:rsid w:val="217F706F"/>
    <w:rsid w:val="218D1E77"/>
    <w:rsid w:val="21980AD9"/>
    <w:rsid w:val="21CA535E"/>
    <w:rsid w:val="21D41167"/>
    <w:rsid w:val="21F84A06"/>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575FE"/>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66E86"/>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07478D"/>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40BBD"/>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1F5D98"/>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00126F"/>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700E6"/>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C74449"/>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AE20EA"/>
    <w:rsid w:val="52F12681"/>
    <w:rsid w:val="530E2425"/>
    <w:rsid w:val="53162448"/>
    <w:rsid w:val="531A3DB6"/>
    <w:rsid w:val="531F0A38"/>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A505DE"/>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D7DFB"/>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EF600D"/>
    <w:rsid w:val="6AFB0949"/>
    <w:rsid w:val="6AFF0939"/>
    <w:rsid w:val="6B0C4215"/>
    <w:rsid w:val="6B15362D"/>
    <w:rsid w:val="6B1B18B4"/>
    <w:rsid w:val="6B2111BF"/>
    <w:rsid w:val="6B316C06"/>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F525CF"/>
    <w:rsid w:val="6DF66533"/>
    <w:rsid w:val="6DFA4DAD"/>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EF6DD6"/>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ind w:firstLine="596" w:firstLineChars="200"/>
      <w:outlineLvl w:val="0"/>
    </w:pPr>
    <w:rPr>
      <w:rFonts w:ascii="黑体" w:eastAsia="黑体"/>
      <w:b/>
      <w:sz w:val="32"/>
      <w:szCs w:val="22"/>
    </w:rPr>
  </w:style>
  <w:style w:type="paragraph" w:styleId="5">
    <w:name w:val="heading 2"/>
    <w:basedOn w:val="1"/>
    <w:next w:val="1"/>
    <w:link w:val="38"/>
    <w:unhideWhenUsed/>
    <w:qFormat/>
    <w:uiPriority w:val="0"/>
    <w:pPr>
      <w:ind w:firstLine="596" w:firstLineChars="200"/>
      <w:outlineLvl w:val="1"/>
    </w:pPr>
    <w:rPr>
      <w:rFonts w:ascii="楷体_GB2312" w:eastAsia="楷体_GB2312"/>
      <w:b/>
      <w:sz w:val="32"/>
      <w:szCs w:val="2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color w:val="000000"/>
      <w:szCs w:val="20"/>
    </w:rPr>
  </w:style>
  <w:style w:type="paragraph" w:styleId="3">
    <w:name w:val="Body Text"/>
    <w:basedOn w:val="1"/>
    <w:next w:val="1"/>
    <w:qFormat/>
    <w:uiPriority w:val="0"/>
    <w:pPr>
      <w:spacing w:after="120"/>
    </w:pPr>
  </w:style>
  <w:style w:type="paragraph" w:styleId="8">
    <w:name w:val="annotation text"/>
    <w:basedOn w:val="1"/>
    <w:semiHidden/>
    <w:qFormat/>
    <w:uiPriority w:val="0"/>
    <w:pPr>
      <w:jc w:val="left"/>
    </w:pPr>
    <w:rPr>
      <w:szCs w:val="20"/>
    </w:r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41"/>
    <w:unhideWhenUsed/>
    <w:qFormat/>
    <w:uiPriority w:val="0"/>
    <w:pPr>
      <w:snapToGrid w:val="0"/>
      <w:jc w:val="left"/>
    </w:pPr>
    <w:rPr>
      <w:rFonts w:eastAsia="仿宋_GB2312"/>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qFormat/>
    <w:uiPriority w:val="0"/>
    <w:rPr>
      <w:sz w:val="21"/>
      <w:szCs w:val="21"/>
    </w:rPr>
  </w:style>
  <w:style w:type="character" w:styleId="23">
    <w:name w:val="footnote reference"/>
    <w:unhideWhenUsed/>
    <w:qFormat/>
    <w:uiPriority w:val="0"/>
    <w:rPr>
      <w:vertAlign w:val="superscript"/>
    </w:rPr>
  </w:style>
  <w:style w:type="paragraph" w:styleId="24">
    <w:name w:val="List Paragraph"/>
    <w:basedOn w:val="1"/>
    <w:unhideWhenUsed/>
    <w:qFormat/>
    <w:uiPriority w:val="99"/>
    <w:pPr>
      <w:ind w:firstLine="420" w:firstLineChars="200"/>
    </w:pPr>
  </w:style>
  <w:style w:type="paragraph" w:customStyle="1" w:styleId="25">
    <w:name w:val="_Style 3"/>
    <w:basedOn w:val="1"/>
    <w:qFormat/>
    <w:uiPriority w:val="34"/>
    <w:pPr>
      <w:ind w:firstLine="420" w:firstLineChars="200"/>
    </w:pPr>
  </w:style>
  <w:style w:type="paragraph" w:customStyle="1" w:styleId="26">
    <w:name w:val="p0"/>
    <w:basedOn w:val="1"/>
    <w:qFormat/>
    <w:uiPriority w:val="0"/>
    <w:pPr>
      <w:widowControl/>
      <w:jc w:val="left"/>
    </w:pPr>
    <w:rPr>
      <w:kern w:val="0"/>
      <w:sz w:val="20"/>
      <w:szCs w:val="20"/>
    </w:rPr>
  </w:style>
  <w:style w:type="paragraph" w:customStyle="1" w:styleId="27">
    <w:name w:val="列出段落"/>
    <w:basedOn w:val="1"/>
    <w:qFormat/>
    <w:uiPriority w:val="0"/>
    <w:pPr>
      <w:ind w:firstLine="420" w:firstLineChars="200"/>
    </w:pPr>
    <w:rPr>
      <w:rFonts w:ascii="Calibri" w:hAnsi="Calibri"/>
      <w:szCs w:val="22"/>
    </w:rPr>
  </w:style>
  <w:style w:type="paragraph" w:customStyle="1" w:styleId="28">
    <w:name w:val="默认段落字体 Para Char Char Char Char"/>
    <w:basedOn w:val="1"/>
    <w:qFormat/>
    <w:uiPriority w:val="0"/>
    <w:pPr>
      <w:adjustRightInd w:val="0"/>
      <w:spacing w:line="360" w:lineRule="auto"/>
    </w:pPr>
    <w:rPr>
      <w:szCs w:val="20"/>
    </w:rPr>
  </w:style>
  <w:style w:type="paragraph" w:customStyle="1" w:styleId="29">
    <w:name w:val="Char"/>
    <w:basedOn w:val="1"/>
    <w:qFormat/>
    <w:uiPriority w:val="0"/>
    <w:rPr>
      <w:szCs w:val="20"/>
    </w:rPr>
  </w:style>
  <w:style w:type="paragraph" w:customStyle="1" w:styleId="30">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1">
    <w:name w:val="Char1"/>
    <w:basedOn w:val="1"/>
    <w:qFormat/>
    <w:uiPriority w:val="0"/>
    <w:rPr>
      <w:rFonts w:ascii="Tahoma" w:hAnsi="Tahoma"/>
      <w:sz w:val="24"/>
      <w:szCs w:val="20"/>
    </w:rPr>
  </w:style>
  <w:style w:type="paragraph" w:customStyle="1" w:styleId="32">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3">
    <w:name w:val="Char Char Char1 Char1 Char Char Char"/>
    <w:basedOn w:val="1"/>
    <w:semiHidden/>
    <w:qFormat/>
    <w:uiPriority w:val="0"/>
  </w:style>
  <w:style w:type="paragraph" w:customStyle="1" w:styleId="34">
    <w:name w:val="样式2"/>
    <w:basedOn w:val="1"/>
    <w:qFormat/>
    <w:uiPriority w:val="0"/>
    <w:pPr>
      <w:jc w:val="center"/>
    </w:pPr>
    <w:rPr>
      <w:rFonts w:eastAsia="仿宋_GB2312"/>
      <w:b/>
      <w:bCs/>
      <w:sz w:val="44"/>
    </w:rPr>
  </w:style>
  <w:style w:type="paragraph" w:customStyle="1" w:styleId="35">
    <w:name w:val="1 Char Char Char Char Char Char Char"/>
    <w:basedOn w:val="1"/>
    <w:qFormat/>
    <w:uiPriority w:val="0"/>
  </w:style>
  <w:style w:type="paragraph" w:customStyle="1" w:styleId="36">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7">
    <w:name w:val="font01"/>
    <w:basedOn w:val="20"/>
    <w:qFormat/>
    <w:uiPriority w:val="0"/>
    <w:rPr>
      <w:rFonts w:hint="eastAsia" w:ascii="宋体" w:hAnsi="宋体" w:eastAsia="宋体" w:cs="宋体"/>
      <w:color w:val="333399"/>
      <w:sz w:val="24"/>
      <w:szCs w:val="24"/>
      <w:u w:val="none"/>
    </w:rPr>
  </w:style>
  <w:style w:type="character" w:customStyle="1" w:styleId="38">
    <w:name w:val="标题 2 字符"/>
    <w:link w:val="5"/>
    <w:qFormat/>
    <w:uiPriority w:val="0"/>
    <w:rPr>
      <w:rFonts w:ascii="楷体_GB2312" w:eastAsia="楷体_GB2312"/>
      <w:b/>
      <w:kern w:val="2"/>
      <w:sz w:val="32"/>
      <w:szCs w:val="22"/>
      <w:lang w:val="en-US" w:eastAsia="zh-CN" w:bidi="ar-SA"/>
    </w:rPr>
  </w:style>
  <w:style w:type="character" w:customStyle="1" w:styleId="39">
    <w:name w:val="font41"/>
    <w:basedOn w:val="20"/>
    <w:qFormat/>
    <w:uiPriority w:val="0"/>
    <w:rPr>
      <w:rFonts w:hint="eastAsia" w:ascii="宋体" w:hAnsi="宋体" w:eastAsia="宋体" w:cs="宋体"/>
      <w:color w:val="FF0000"/>
      <w:sz w:val="24"/>
      <w:szCs w:val="24"/>
      <w:u w:val="none"/>
    </w:rPr>
  </w:style>
  <w:style w:type="character" w:customStyle="1" w:styleId="40">
    <w:name w:val="article_f141"/>
    <w:basedOn w:val="20"/>
    <w:qFormat/>
    <w:uiPriority w:val="0"/>
    <w:rPr>
      <w:color w:val="000000"/>
      <w:sz w:val="21"/>
    </w:rPr>
  </w:style>
  <w:style w:type="character" w:customStyle="1" w:styleId="41">
    <w:name w:val="脚注文本 字符"/>
    <w:link w:val="16"/>
    <w:semiHidden/>
    <w:qFormat/>
    <w:uiPriority w:val="0"/>
    <w:rPr>
      <w:rFonts w:eastAsia="仿宋_GB2312"/>
      <w:kern w:val="2"/>
      <w:sz w:val="18"/>
      <w:szCs w:val="18"/>
      <w:lang w:val="en-US" w:eastAsia="zh-CN" w:bidi="ar-SA"/>
    </w:rPr>
  </w:style>
  <w:style w:type="character" w:customStyle="1" w:styleId="42">
    <w:name w:val="标题 1 字符"/>
    <w:link w:val="4"/>
    <w:qFormat/>
    <w:uiPriority w:val="0"/>
    <w:rPr>
      <w:rFonts w:ascii="黑体" w:eastAsia="黑体"/>
      <w:b/>
      <w:kern w:val="2"/>
      <w:sz w:val="32"/>
      <w:szCs w:val="22"/>
      <w:lang w:val="en-US" w:eastAsia="zh-CN" w:bidi="ar-SA"/>
    </w:rPr>
  </w:style>
  <w:style w:type="paragraph" w:customStyle="1" w:styleId="4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Words>
  <Characters>1170</Characters>
  <Lines>9</Lines>
  <Paragraphs>2</Paragraphs>
  <TotalTime>6</TotalTime>
  <ScaleCrop>false</ScaleCrop>
  <LinksUpToDate>false</LinksUpToDate>
  <CharactersWithSpaces>1373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2023-11-22T08:42:00Z</dcterms:created>
  <dc:creator>陈微:</dc:creator>
  <cp:lastModifiedBy>吴杏妍</cp:lastModifiedBy>
  <cp:lastPrinted>2023-12-28T01:02:00Z</cp:lastPrinted>
  <dcterms:modified xsi:type="dcterms:W3CDTF">2024-01-02T04:47:23Z</dcterms:modified>
  <dc:title>珠横新规国字〔2010〕20号                 签发人：王瑞森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EA2F9854C0D8439094094973AAB0F128</vt:lpwstr>
  </property>
</Properties>
</file>