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52"/>
          <w:szCs w:val="52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bdr w:val="none" w:color="auto" w:sz="0" w:space="0"/>
          <w:shd w:val="clear" w:fill="FFFFFF"/>
        </w:rPr>
        <w:t>横琴粤澳深度合作区免保税货物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bdr w:val="none" w:color="auto" w:sz="0" w:space="0"/>
          <w:shd w:val="clear" w:fill="FFFFFF"/>
        </w:rPr>
        <w:t>简化申报要求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bdr w:val="none" w:color="auto" w:sz="0" w:space="0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　　对海关实行简化申报备案管理的免税、保税货物，进出口货物收发货人或者其代理人可通过国际贸易“单一窗口”自行选择“极简”或者“次简”方式填制《中华人民共和国海关进（出）境货物备案清单》。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　　一、填报栏目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　　（一）“极简”方式需填报栏目。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　　境内收发货人、进境日期（出境日期自动生成）、备案号、境外收发货人、航次号、提运单号、消费使用单位/生产销售单位、监管方式、征免性质、贸易国（地区）、启运国（地区）/运抵国（地区）、包装种类、件数、毛重（千克）、净重（千克）、成交方式、随附单证及编码、标记唛码及备注、项号、商品编号、商品名称及规格型号、数量及单位、单价、总价、币制、原产国（地区）、最终目的国（地区）、申报单位等28个栏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　　（二）“次简”方式需填报栏目。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　　进出口货物收发货人或者其代理人在“极简”申报方式需填报栏目的基础上，还需填报许可证号、启运港、经停港/指运港、货物存放地点等4个栏目。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　　二、填报要求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　　（一）单价栏目填报要求。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　　进境货物单价，按照同一项号下进境货物的货价、货物运抵中华人民共和国境内输入地点起卸前的运输及其相关费用、保险费等费用或价值之和的单位价格填报。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　　出境货物单价，按照同一项号下出境货物的货价、货物运抵中华人民共和国境内输出地点装卸前的运输及其相关费用、保险费等费用或价值之和的单位价格填报。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　　（二）总价栏目填报要求。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　　进境货物总价，按照同一项号下进境货物的货价、货物运抵中华人民共和国境内输入地点起卸前的运输及其相关费用、保险费等费用或价值之总和填报。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　　出境货物总价，按照同一项号下出境货物的货价、货物运抵中华人民共和国境内输出地点装卸前的运输及其相关费用、保险费等费用或价值之总和填报。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　　（三）其他栏目填报要求。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　　其他栏目比照《中华人民共和国海关进出口货物报关单填制规范》的要求填制。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E7E27"/>
    <w:rsid w:val="6E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2024-01-12T10:45:00Z</dcterms:created>
  <dc:creator>凯瑟绿</dc:creator>
  <cp:lastModifiedBy>凯瑟绿</cp:lastModifiedBy>
  <dcterms:modified xsi:type="dcterms:W3CDTF">2024-01-12T10:46:16Z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B17D21CBBD3D0F7CB9A7A0654A4A607D_41</vt:lpwstr>
  </property>
</Properties>
</file>