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52"/>
          <w:szCs w:val="52"/>
          <w:u w:val="none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bdr w:val="none" w:color="auto" w:sz="0" w:space="0"/>
          <w:shd w:val="clear" w:fill="FFFFFF"/>
        </w:rPr>
        <w:t>横琴粤澳深度合作区免保税货物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jc w:val="center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bdr w:val="none" w:color="auto" w:sz="0" w:space="0"/>
          <w:shd w:val="clear" w:fill="FFFFFF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bdr w:val="none" w:color="auto" w:sz="0" w:space="0"/>
          <w:shd w:val="clear" w:fill="FFFFFF"/>
        </w:rPr>
        <w:t>简化申报要求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jc w:val="center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44"/>
          <w:szCs w:val="44"/>
          <w:u w:val="none"/>
          <w:bdr w:val="none" w:color="auto" w:sz="0" w:space="0"/>
          <w:shd w:val="clear" w:fill="FFFFFF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对海关实行简化申报备案管理的免税、保税货物，进出口货物收发货人或者其代理人可通过国际贸易“单一窗口”自行选择“极简”或者“次简”方式填制《中华人民共和国海关进（出）境货物备案清单》。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一、填报栏目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（一）“极简”方式需填报栏目。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境内收发货人、进境日期（出境日期自动生成）、备案号、境外收发货人、航次号、提运单号、消费使用单位/生产销售单位、监管方式、征免性质、贸易国（地区）、启运国（地区）/运抵国（地区）、包装种类、件数、毛重（千克）、净重（千克）、成交方式、随附单证及编码、标记唛码及备注、项号、商品编号、商品名称及规格型号、数量及单位、单价、总价、币制、原产国（地区）、最终目的国（地区）、申报单位等28个栏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（二）“次简”方式需填报栏目。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进出口货物收发货人或者其代理人在“极简”申报方式需填报栏目的基础上，还需填报许可证号、启运港、经停港/指运港、货物存放地点等4个栏目。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二、填报要求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（一）单价栏目填报要求。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进境货物单价，按照同一项号下进境货物的货价、货物运抵中华人民共和国境内输入地点起卸前的运输及其相关费用、保险费等费用或价值之和的单位价格填报。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出境货物单价，按照同一项号下出境货物的货价、货物运抵中华人民共和国境内输出地点装卸前的运输及其相关费用、保险费等费用或价值之和的单位价格填报。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（二）总价栏目填报要求。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进境货物总价，按照同一项号下进境货物的货价、货物运抵中华人民共和国境内输入地点起卸前的运输及其相关费用、保险费等费用或价值之总和填报。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出境货物总价，按照同一项号下出境货物的货价、货物运抵中华人民共和国境内输出地点装卸前的运输及其相关费用、保险费等费用或价值之总和填报。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（三）其他栏目填报要求。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0" w:beforeAutospacing="0" w:after="0" w:afterAutospacing="0" w:line="600" w:lineRule="atLeast"/>
        <w:ind w:left="0" w:right="0" w:firstLine="0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u w:val="none"/>
          <w:bdr w:val="none" w:color="auto" w:sz="0" w:space="0"/>
          <w:shd w:val="clear" w:fill="FFFFFF"/>
        </w:rPr>
        <w:t>　　其他栏目比照《中华人民共和国海关进出口货物报关单填制规范》的要求填制。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FE7E27"/>
    <w:rsid w:val="6EFE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2024-01-12T10:45:00Z</dcterms:created>
  <dc:creator>凯瑟绿</dc:creator>
  <cp:lastModifiedBy>凯瑟绿</cp:lastModifiedBy>
  <dcterms:modified xsi:type="dcterms:W3CDTF">2024-01-12T10:46:16Z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B17D21CBBD3D0F7CB9A7A0654A4A607D_41</vt:lpwstr>
  </property>
</Properties>
</file>