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jc w:val="both"/>
        <w:textAlignment w:val="auto"/>
        <w:rPr>
          <w:rFonts w:hint="eastAsia" w:ascii="仿宋_GB2312" w:hAnsi="仿宋_GB2312" w:eastAsia="仿宋_GB2312" w:cs="仿宋_GB2312"/>
          <w:b w:val="0"/>
          <w:bCs/>
          <w:i w:val="0"/>
          <w:caps w:val="0"/>
          <w:color w:val="auto"/>
          <w:spacing w:val="0"/>
          <w:sz w:val="28"/>
          <w:szCs w:val="28"/>
          <w:shd w:val="clear" w:fill="FFFFFF"/>
          <w:lang w:val="en-US" w:eastAsia="zh-CN"/>
        </w:rPr>
      </w:pPr>
      <w:r>
        <w:rPr>
          <w:rFonts w:hint="eastAsia" w:ascii="仿宋_GB2312" w:hAnsi="仿宋_GB2312" w:eastAsia="仿宋_GB2312" w:cs="仿宋_GB2312"/>
          <w:b w:val="0"/>
          <w:bCs/>
          <w:i w:val="0"/>
          <w:caps w:val="0"/>
          <w:color w:val="auto"/>
          <w:spacing w:val="0"/>
          <w:sz w:val="28"/>
          <w:szCs w:val="28"/>
          <w:shd w:val="clear" w:fill="FFFFFF"/>
          <w:lang w:val="en-US" w:eastAsia="zh-CN"/>
        </w:rPr>
        <w:t>附件7</w:t>
      </w:r>
    </w:p>
    <w:p>
      <w:pPr>
        <w:rPr>
          <w:rFonts w:hint="eastAsia"/>
          <w:lang w:val="en-US" w:eastAsia="zh-CN"/>
        </w:rPr>
      </w:pPr>
      <w:bookmarkStart w:id="3" w:name="_GoBack"/>
      <w:bookmarkEnd w:id="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i w:val="0"/>
          <w:caps w:val="0"/>
          <w:color w:val="auto"/>
          <w:spacing w:val="0"/>
          <w:sz w:val="44"/>
          <w:szCs w:val="44"/>
          <w:shd w:val="clear" w:fill="FFFFFF"/>
        </w:rPr>
        <w:t>关于横琴粤澳深度合作区符合条件的产业企业实质性运营有关问题的公告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2023年第1号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一、</w:t>
      </w:r>
      <w:r>
        <w:rPr>
          <w:rFonts w:hint="eastAsia" w:ascii="仿宋_GB2312" w:hAnsi="仿宋_GB2312" w:eastAsia="仿宋_GB2312" w:cs="仿宋_GB2312"/>
          <w:i w:val="0"/>
          <w:caps w:val="0"/>
          <w:color w:val="auto"/>
          <w:spacing w:val="0"/>
          <w:sz w:val="32"/>
          <w:szCs w:val="32"/>
          <w:shd w:val="clear" w:fill="FFFFFF"/>
        </w:rPr>
        <w:t>本公告适用于注册在合作区的居民企业、居民企业设立在合作区的分支机构以及非居民企业设立在合作区的机构、场所。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二、</w:t>
      </w:r>
      <w:r>
        <w:rPr>
          <w:rFonts w:hint="eastAsia" w:ascii="仿宋_GB2312" w:hAnsi="仿宋_GB2312" w:eastAsia="仿宋_GB2312" w:cs="仿宋_GB2312"/>
          <w:i w:val="0"/>
          <w:caps w:val="0"/>
          <w:color w:val="auto"/>
          <w:spacing w:val="0"/>
          <w:sz w:val="32"/>
          <w:szCs w:val="32"/>
          <w:shd w:val="clear" w:fill="FFFFFF"/>
        </w:rPr>
        <w:t>注册在合作区的居民企业，从事符合条件产业项目的，其生产经营、人员、账务、财产等在合作区，属于在合作区实质性运营。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对于仅在合作区注册登记，其生产经营、人员、账务、财产等任一项不在合作区的居民企业，不属于在合作区实质性运营，不得享受合作区企业所得税优惠政策。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（一）生产经营在合作区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指企业在合作区拥有固定生产经营场所和必要的生产经营设备设施等，主要生产经营地点在合作区，或对生产经营实施实质性全面管理和控制的机构在合作区；以本企业名义对外订立相关合同。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（二）人员在合作区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（三）账务在合作区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指企业会计凭证、会计账簿和财务报表等会计档案资料存放在合作区，基本存款账户和进行主营业务结算的银行账户开立在合作区。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（四）财产在合作区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指企业拥有享有所有权或使用权的财产，该财产在合作区实际使用或对财产实施实质性全面管理和控制的机构在合作区，且该财产需与企业的生产经营相匹配。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三、</w:t>
      </w:r>
      <w:r>
        <w:rPr>
          <w:rFonts w:hint="eastAsia" w:ascii="仿宋_GB2312" w:hAnsi="仿宋_GB2312" w:eastAsia="仿宋_GB2312" w:cs="仿宋_GB2312"/>
          <w:i w:val="0"/>
          <w:caps w:val="0"/>
          <w:color w:val="auto"/>
          <w:spacing w:val="0"/>
          <w:sz w:val="32"/>
          <w:szCs w:val="32"/>
          <w:shd w:val="clear" w:fill="FFFFFF"/>
        </w:rPr>
        <w:t>注册在合作区的居民企业，从事符合条件的产业项目，在合作区之外设立分支机构的，该居民企业对各分支机构的生产经营、人员、账务、财产等实施实质性全面管理和控制，属于在合作区实质性运营。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四、</w:t>
      </w:r>
      <w:r>
        <w:rPr>
          <w:rFonts w:hint="eastAsia" w:ascii="仿宋_GB2312" w:hAnsi="仿宋_GB2312" w:eastAsia="仿宋_GB2312" w:cs="仿宋_GB2312"/>
          <w:i w:val="0"/>
          <w:caps w:val="0"/>
          <w:color w:val="auto"/>
          <w:spacing w:val="0"/>
          <w:sz w:val="32"/>
          <w:szCs w:val="32"/>
          <w:shd w:val="clear" w:fill="FFFFFF"/>
        </w:rPr>
        <w:t>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五、</w:t>
      </w:r>
      <w:r>
        <w:rPr>
          <w:rFonts w:hint="eastAsia" w:ascii="仿宋_GB2312" w:hAnsi="仿宋_GB2312" w:eastAsia="仿宋_GB2312" w:cs="仿宋_GB2312"/>
          <w:i w:val="0"/>
          <w:caps w:val="0"/>
          <w:color w:val="auto"/>
          <w:spacing w:val="0"/>
          <w:sz w:val="32"/>
          <w:szCs w:val="32"/>
          <w:shd w:val="clear" w:fill="FFFFFF"/>
        </w:rPr>
        <w:t>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企业在完成年度汇算清缴后，需将与实质性运营有关的留存备查资料归集齐全并整理完成，包括：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（一）经营场所的产权或租赁证明；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（二）生产经营决策、财务决策、人事决策的会议纪要等；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（三）从业人员名单、劳动合同或聘用协议、有关社保缴纳证明材料；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（四）账务资料、银行开户资料、已开立银行结算账户清单；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（五）财产情况说明。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六、</w:t>
      </w:r>
      <w:r>
        <w:rPr>
          <w:rFonts w:hint="eastAsia" w:ascii="仿宋_GB2312" w:hAnsi="仿宋_GB2312" w:eastAsia="仿宋_GB2312" w:cs="仿宋_GB2312"/>
          <w:i w:val="0"/>
          <w:caps w:val="0"/>
          <w:color w:val="auto"/>
          <w:spacing w:val="0"/>
          <w:sz w:val="32"/>
          <w:szCs w:val="32"/>
          <w:shd w:val="clear" w:fill="FFFFFF"/>
        </w:rPr>
        <w:t>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七、</w:t>
      </w:r>
      <w:r>
        <w:rPr>
          <w:rFonts w:hint="eastAsia" w:ascii="仿宋_GB2312" w:hAnsi="仿宋_GB2312" w:eastAsia="仿宋_GB2312" w:cs="仿宋_GB2312"/>
          <w:i w:val="0"/>
          <w:caps w:val="0"/>
          <w:color w:val="auto"/>
          <w:spacing w:val="0"/>
          <w:sz w:val="32"/>
          <w:szCs w:val="32"/>
          <w:shd w:val="clear" w:fill="FFFFFF"/>
        </w:rPr>
        <w:t>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八、</w:t>
      </w:r>
      <w:r>
        <w:rPr>
          <w:rFonts w:hint="eastAsia" w:ascii="仿宋_GB2312" w:hAnsi="仿宋_GB2312" w:eastAsia="仿宋_GB2312" w:cs="仿宋_GB2312"/>
          <w:i w:val="0"/>
          <w:caps w:val="0"/>
          <w:color w:val="auto"/>
          <w:spacing w:val="0"/>
          <w:sz w:val="32"/>
          <w:szCs w:val="32"/>
          <w:shd w:val="clear" w:fill="FFFFFF"/>
        </w:rPr>
        <w:t>企业享受税收优惠政策，应执行查账征收方式征收企业所得税。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九、</w:t>
      </w:r>
      <w:r>
        <w:rPr>
          <w:rFonts w:hint="eastAsia" w:ascii="仿宋_GB2312" w:hAnsi="仿宋_GB2312" w:eastAsia="仿宋_GB2312" w:cs="仿宋_GB2312"/>
          <w:i w:val="0"/>
          <w:caps w:val="0"/>
          <w:color w:val="auto"/>
          <w:spacing w:val="0"/>
          <w:sz w:val="32"/>
          <w:szCs w:val="32"/>
          <w:shd w:val="clear" w:fill="FFFFFF"/>
        </w:rPr>
        <w:t>合作区税务局对享受优惠政策企业的实质性运营情况进行后续管理，对当年度新增享受的企业实施“全覆盖”核查，对存量企业按照一定比例抽查。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w:t>
      </w:r>
      <w:r>
        <w:rPr>
          <w:rFonts w:hint="eastAsia" w:ascii="仿宋_GB2312" w:hAnsi="仿宋_GB2312" w:eastAsia="仿宋_GB2312" w:cs="仿宋_GB2312"/>
          <w:i w:val="0"/>
          <w:caps w:val="0"/>
          <w:color w:val="auto"/>
          <w:spacing w:val="0"/>
          <w:sz w:val="32"/>
          <w:szCs w:val="32"/>
          <w:shd w:val="clear" w:fill="FFFFFF"/>
        </w:rPr>
        <w:t>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十一、</w:t>
      </w:r>
      <w:r>
        <w:rPr>
          <w:rFonts w:hint="eastAsia" w:ascii="仿宋_GB2312" w:hAnsi="仿宋_GB2312" w:eastAsia="仿宋_GB2312" w:cs="仿宋_GB2312"/>
          <w:i w:val="0"/>
          <w:caps w:val="0"/>
          <w:color w:val="auto"/>
          <w:spacing w:val="0"/>
          <w:sz w:val="32"/>
          <w:szCs w:val="32"/>
          <w:shd w:val="clear" w:fill="FFFFFF"/>
        </w:rPr>
        <w:t>本公告由合作区税务局负责解释，涉及多部门职责的，由合作区税务局会同合作区财政局、商事服务局、经济发展局、金融发展局等相关部门根据职责解释。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十二、</w:t>
      </w:r>
      <w:r>
        <w:rPr>
          <w:rFonts w:hint="eastAsia" w:ascii="仿宋_GB2312" w:hAnsi="仿宋_GB2312" w:eastAsia="仿宋_GB2312" w:cs="仿宋_GB2312"/>
          <w:i w:val="0"/>
          <w:caps w:val="0"/>
          <w:color w:val="auto"/>
          <w:spacing w:val="0"/>
          <w:sz w:val="32"/>
          <w:szCs w:val="32"/>
          <w:shd w:val="clear" w:fill="FFFFFF"/>
        </w:rPr>
        <w:t>本公告自2023年1月1日起执行。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特此公告。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附件1：实质性运营自评承诺表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附件2：关于《关于横琴粤澳深度合作区符合条件的产业企业实质性运营有关问题的公告》的解读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国家税务总局横琴粤澳深度合作区税务局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横琴粤澳深度合作区商事服务局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横琴粤澳深度合作区经济发展局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横琴粤澳深度合作区金融发展局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2023年2月1日</w:t>
      </w:r>
    </w:p>
    <w:p>
      <w:pPr>
        <w:rPr>
          <w:rFonts w:ascii="Times New Roman" w:hAnsi="Times New Roman" w:eastAsia="宋体" w:cs="Times New Roman"/>
        </w:rPr>
      </w:pPr>
    </w:p>
    <w:p>
      <w:pPr>
        <w:pStyle w:val="2"/>
        <w:rPr>
          <w:rFonts w:ascii="Times New Roman" w:hAnsi="Times New Roman" w:eastAsia="宋体" w:cs="Times New Roman"/>
        </w:rPr>
      </w:pPr>
    </w:p>
    <w:p>
      <w:pPr>
        <w:rPr>
          <w:rFonts w:ascii="Times New Roman" w:hAnsi="Times New Roman" w:eastAsia="宋体" w:cs="Times New Roma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center"/>
        <w:rPr>
          <w:rFonts w:hint="eastAsia" w:ascii="黑体" w:hAnsi="楷体" w:eastAsia="黑体" w:cs="Times New Roman"/>
          <w:sz w:val="44"/>
          <w:szCs w:val="44"/>
        </w:rPr>
      </w:pPr>
    </w:p>
    <w:p>
      <w:pPr>
        <w:jc w:val="center"/>
        <w:rPr>
          <w:rFonts w:hint="eastAsia" w:ascii="黑体" w:hAnsi="楷体" w:eastAsia="黑体" w:cs="Times New Roman"/>
          <w:sz w:val="44"/>
          <w:szCs w:val="44"/>
        </w:rPr>
      </w:pPr>
      <w:r>
        <w:rPr>
          <w:rFonts w:hint="eastAsia" w:ascii="黑体" w:hAnsi="楷体" w:eastAsia="黑体" w:cs="Times New Roman"/>
          <w:sz w:val="44"/>
          <w:szCs w:val="44"/>
        </w:rPr>
        <w:t>政 策 解 读</w:t>
      </w:r>
    </w:p>
    <w:p>
      <w:pPr>
        <w:jc w:val="both"/>
        <w:rPr>
          <w:rFonts w:hint="eastAsia" w:ascii="Times New Roman" w:hAnsi="Times New Roman" w:eastAsia="宋体" w:cs="Times New Roman"/>
          <w:sz w:val="32"/>
          <w:szCs w:val="32"/>
        </w:rPr>
      </w:pPr>
      <w:r>
        <w:rPr>
          <w:rFonts w:hint="eastAsia" w:ascii="宋体" w:hAnsi="宋体" w:eastAsia="宋体" w:cs="Times New Roman"/>
          <w:sz w:val="32"/>
          <w:szCs w:val="32"/>
          <w:lang w:val="en-US" w:eastAsia="zh-CN"/>
        </w:rPr>
        <w:t>国家税务总局</w:t>
      </w:r>
      <w:r>
        <w:rPr>
          <w:rFonts w:hint="eastAsia" w:ascii="宋体" w:hAnsi="宋体" w:eastAsia="宋体" w:cs="Times New Roman"/>
          <w:sz w:val="32"/>
          <w:szCs w:val="32"/>
          <w:lang w:eastAsia="zh-CN"/>
        </w:rPr>
        <w:t>横琴粤澳深度合作区税务局</w:t>
      </w:r>
      <w:r>
        <w:rPr>
          <w:rFonts w:hint="eastAsia" w:ascii="宋体" w:hAnsi="宋体" w:eastAsia="宋体" w:cs="Times New Roman"/>
          <w:sz w:val="32"/>
          <w:szCs w:val="32"/>
        </w:rPr>
        <w:t xml:space="preserve">       </w:t>
      </w:r>
    </w:p>
    <w:p>
      <w:pPr>
        <w:pStyle w:val="2"/>
        <w:rPr>
          <w:rFonts w:hint="eastAsia" w:ascii="宋体" w:hAnsi="宋体" w:eastAsia="宋体"/>
          <w:b w:val="0"/>
          <w:szCs w:val="32"/>
        </w:rPr>
      </w:pPr>
      <w:r>
        <w:rPr>
          <w:rFonts w:hint="eastAsia" w:ascii="宋体" w:hAnsi="宋体" w:eastAsia="宋体"/>
          <w:b w:val="0"/>
          <w:szCs w:val="32"/>
        </w:rPr>
        <w:t>横琴粤澳深度合作区财政局</w:t>
      </w:r>
    </w:p>
    <w:p>
      <w:pPr>
        <w:rPr>
          <w:rFonts w:hint="eastAsia" w:ascii="宋体" w:hAnsi="宋体" w:eastAsia="宋体" w:cs="Times New Roman"/>
          <w:sz w:val="32"/>
          <w:szCs w:val="32"/>
        </w:rPr>
      </w:pPr>
      <w:r>
        <w:rPr>
          <w:rFonts w:hint="eastAsia" w:ascii="宋体" w:hAnsi="宋体" w:eastAsia="宋体" w:cs="Times New Roman"/>
          <w:sz w:val="32"/>
          <w:szCs w:val="32"/>
        </w:rPr>
        <w:t>横琴粤澳深度合作区商事服务局</w:t>
      </w:r>
    </w:p>
    <w:p>
      <w:pPr>
        <w:pStyle w:val="2"/>
        <w:rPr>
          <w:rFonts w:hint="eastAsia" w:ascii="宋体" w:hAnsi="宋体" w:eastAsia="宋体"/>
          <w:b w:val="0"/>
          <w:szCs w:val="32"/>
        </w:rPr>
      </w:pPr>
      <w:r>
        <w:rPr>
          <w:rFonts w:hint="eastAsia" w:ascii="宋体" w:hAnsi="宋体" w:eastAsia="宋体"/>
          <w:b w:val="0"/>
          <w:szCs w:val="32"/>
        </w:rPr>
        <w:t>横琴粤澳深度合作区经济发展局</w:t>
      </w:r>
    </w:p>
    <w:p>
      <w:pPr>
        <w:rPr>
          <w:rFonts w:hint="eastAsia" w:ascii="宋体" w:hAnsi="宋体" w:eastAsia="宋体" w:cs="Times New Roman"/>
          <w:sz w:val="32"/>
          <w:szCs w:val="32"/>
        </w:rPr>
      </w:pPr>
      <w:r>
        <w:rPr>
          <w:rFonts w:hint="eastAsia" w:ascii="宋体" w:hAnsi="宋体" w:eastAsia="宋体" w:cs="Times New Roman"/>
          <w:sz w:val="32"/>
          <w:szCs w:val="32"/>
        </w:rPr>
        <w:t>横琴粤澳深度合作区金融发展局</w:t>
      </w:r>
      <w:r>
        <w:rPr>
          <w:rFonts w:hint="eastAsia" w:ascii="宋体" w:hAnsi="宋体" w:eastAsia="宋体" w:cs="Times New Roman"/>
          <w:sz w:val="32"/>
          <w:szCs w:val="32"/>
          <w:lang w:val="en-US" w:eastAsia="zh-CN"/>
        </w:rPr>
        <w:t xml:space="preserve">          2023</w:t>
      </w:r>
      <w:r>
        <w:rPr>
          <w:rFonts w:hint="eastAsia" w:ascii="Times New Roman" w:hAnsi="Times New Roman" w:eastAsia="宋体" w:cs="Times New Roman"/>
          <w:sz w:val="32"/>
          <w:szCs w:val="32"/>
        </w:rPr>
        <w:t>年</w:t>
      </w:r>
      <w:r>
        <w:rPr>
          <w:rFonts w:hint="eastAsia" w:ascii="宋体" w:hAnsi="宋体"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仿宋_GB2312" w:hAnsi="仿宋_GB2312" w:eastAsia="仿宋_GB2312" w:cs="仿宋_GB2312"/>
          <w:sz w:val="32"/>
          <w:szCs w:val="32"/>
          <w:lang w:val="en-US" w:eastAsia="zh-CN"/>
        </w:rPr>
        <w:t>1</w:t>
      </w:r>
      <w:r>
        <w:rPr>
          <w:rFonts w:hint="eastAsia" w:ascii="Times New Roman" w:hAnsi="Times New Roman" w:eastAsia="宋体" w:cs="Times New Roman"/>
          <w:sz w:val="32"/>
          <w:szCs w:val="32"/>
        </w:rPr>
        <w:t>日</w:t>
      </w:r>
    </w:p>
    <w:p>
      <w:pPr>
        <w:jc w:val="center"/>
        <w:rPr>
          <w:rFonts w:ascii="宋体" w:hAnsi="宋体" w:eastAsia="宋体" w:cs="Times New Roman"/>
          <w:sz w:val="32"/>
          <w:szCs w:val="32"/>
        </w:rPr>
      </w:pPr>
      <w:r>
        <w:rPr>
          <w:rFonts w:hint="eastAsia" w:ascii="宋体" w:hAnsi="宋体"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6985</wp:posOffset>
                </wp:positionV>
                <wp:extent cx="6162675" cy="0"/>
                <wp:effectExtent l="0" t="13970" r="9525" b="24130"/>
                <wp:wrapNone/>
                <wp:docPr id="1" name="直接箭头连接符 1"/>
                <wp:cNvGraphicFramePr/>
                <a:graphic xmlns:a="http://schemas.openxmlformats.org/drawingml/2006/main">
                  <a:graphicData uri="http://schemas.microsoft.com/office/word/2010/wordprocessingShape">
                    <wps:wsp>
                      <wps:cNvCnPr/>
                      <wps:spPr>
                        <a:xfrm>
                          <a:off x="0" y="0"/>
                          <a:ext cx="616267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0.55pt;height:0pt;width:485.25pt;z-index:251659264;mso-width-relative:page;mso-height-relative:page;" filled="f" stroked="t" coordsize="21600,21600" o:gfxdata="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kELVAAAABgEAAA8AAAAAAAAAAQAgAAAAIgAAAGRycy9kb3ducmV2Lnht&#10;bFBLAQIUABQAAAAIAIdO4kA/n6Y7/AEAAO0DAAAOAAAAAAAAAAEAIAAAACQBAABkcnMvZTJvRG9j&#10;LnhtbFBLBQYAAAAABgAGAFkBAACSBQAAAAA=&#10;">
                <v:fill on="f" focussize="0,0"/>
                <v:stroke weight="2.25pt" color="#000000" joinstyle="round"/>
                <v:imagedata o:title=""/>
                <o:lock v:ext="edit" aspectratio="f"/>
              </v:shape>
            </w:pict>
          </mc:Fallback>
        </mc:AlternateConten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bookmarkStart w:id="0" w:name="_Toc7591"/>
      <w:r>
        <w:rPr>
          <w:rFonts w:hint="eastAsia" w:ascii="Arial" w:hAnsi="Arial" w:eastAsia="方正小标宋简体" w:cs="Times New Roman"/>
          <w:kern w:val="44"/>
          <w:sz w:val="44"/>
          <w:szCs w:val="24"/>
          <w:lang w:val="en-US" w:eastAsia="zh-CN" w:bidi="ar-SA"/>
        </w:rPr>
        <w:t>关于《关于横琴粤澳深度合作区符合条件的</w:t>
      </w:r>
      <w:bookmarkEnd w:id="0"/>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bookmarkStart w:id="1" w:name="_Toc3913"/>
      <w:r>
        <w:rPr>
          <w:rFonts w:hint="eastAsia" w:ascii="Arial" w:hAnsi="Arial" w:eastAsia="方正小标宋简体" w:cs="Times New Roman"/>
          <w:kern w:val="44"/>
          <w:sz w:val="44"/>
          <w:szCs w:val="24"/>
          <w:lang w:val="en-US" w:eastAsia="zh-CN" w:bidi="ar-SA"/>
        </w:rPr>
        <w:t>产业企业实质性运营有关问题的公告</w:t>
      </w:r>
      <w:bookmarkEnd w:id="1"/>
      <w:bookmarkStart w:id="2" w:name="_Toc6949"/>
      <w:r>
        <w:rPr>
          <w:rFonts w:hint="eastAsia" w:ascii="Arial" w:hAnsi="Arial" w:eastAsia="方正小标宋简体" w:cs="Times New Roman"/>
          <w:kern w:val="44"/>
          <w:sz w:val="44"/>
          <w:szCs w:val="24"/>
          <w:lang w:val="en-US" w:eastAsia="zh-CN" w:bidi="ar-SA"/>
        </w:rPr>
        <w:t>》</w: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r>
        <w:rPr>
          <w:rFonts w:hint="eastAsia" w:ascii="Arial" w:hAnsi="Arial" w:eastAsia="方正小标宋简体" w:cs="Times New Roman"/>
          <w:kern w:val="44"/>
          <w:sz w:val="44"/>
          <w:szCs w:val="24"/>
          <w:lang w:val="en-US" w:eastAsia="zh-CN" w:bidi="ar-SA"/>
        </w:rPr>
        <w:t>的解读</w:t>
      </w:r>
      <w:bookmarkEnd w:id="2"/>
    </w:p>
    <w:p>
      <w:pPr>
        <w:pStyle w:val="2"/>
        <w:pageBreakBefore w:val="0"/>
        <w:kinsoku/>
        <w:wordWrap/>
        <w:overflowPunct/>
        <w:topLinePunct w:val="0"/>
        <w:autoSpaceDE/>
        <w:autoSpaceDN/>
        <w:bidi w:val="0"/>
        <w:spacing w:line="579" w:lineRule="exac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vertAlign w:val="baseline"/>
          <w:lang w:eastAsia="zh-CN"/>
        </w:rPr>
      </w:pPr>
      <w:r>
        <w:rPr>
          <w:rFonts w:hint="eastAsia" w:ascii="仿宋_GB2312" w:hAnsi="仿宋_GB2312" w:eastAsia="仿宋_GB2312" w:cs="仿宋_GB2312"/>
          <w:i w:val="0"/>
          <w:caps w:val="0"/>
          <w:color w:val="auto"/>
          <w:spacing w:val="0"/>
          <w:sz w:val="32"/>
          <w:szCs w:val="32"/>
          <w:shd w:val="clear" w:color="auto" w:fill="auto"/>
          <w:vertAlign w:val="baseline"/>
          <w:lang w:eastAsia="zh-CN"/>
        </w:rPr>
        <w:t>为贯彻落实《横琴粤澳深度合作区建设总体方案》，</w:t>
      </w:r>
      <w:r>
        <w:rPr>
          <w:rFonts w:hint="eastAsia" w:ascii="仿宋_GB2312" w:hAnsi="仿宋_GB2312" w:eastAsia="仿宋_GB2312" w:cs="仿宋_GB2312"/>
          <w:b w:val="0"/>
          <w:bCs w:val="0"/>
          <w:color w:val="auto"/>
          <w:sz w:val="32"/>
          <w:szCs w:val="32"/>
          <w:lang w:val="en-US" w:eastAsia="zh-CN"/>
        </w:rPr>
        <w:t>促进横琴粤澳深度合作区（以下简称合作区）实体经济充分发展，更好地推动澳门长期繁荣稳定和融入国家发展大局</w:t>
      </w:r>
      <w:r>
        <w:rPr>
          <w:rFonts w:hint="eastAsia" w:ascii="仿宋_GB2312" w:hAnsi="仿宋_GB2312" w:eastAsia="仿宋_GB2312" w:cs="仿宋_GB2312"/>
          <w:i w:val="0"/>
          <w:caps w:val="0"/>
          <w:color w:val="auto"/>
          <w:spacing w:val="0"/>
          <w:sz w:val="32"/>
          <w:szCs w:val="32"/>
          <w:shd w:val="clear" w:color="auto" w:fill="auto"/>
          <w:vertAlign w:val="baseline"/>
          <w:lang w:eastAsia="zh-CN"/>
        </w:rPr>
        <w:t>，合作区税务局、财政局、</w:t>
      </w:r>
      <w:r>
        <w:rPr>
          <w:rFonts w:hint="eastAsia" w:ascii="仿宋_GB2312" w:hAnsi="仿宋_GB2312" w:eastAsia="仿宋_GB2312" w:cs="仿宋_GB2312"/>
          <w:i w:val="0"/>
          <w:caps w:val="0"/>
          <w:color w:val="auto"/>
          <w:spacing w:val="0"/>
          <w:sz w:val="32"/>
          <w:szCs w:val="32"/>
          <w:shd w:val="clear" w:color="auto" w:fill="auto"/>
          <w:vertAlign w:val="baseline"/>
          <w:lang w:val="en-US" w:eastAsia="zh-CN"/>
        </w:rPr>
        <w:t>商事服务局、经济发展局、金融发</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展局</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联合发布《关于横琴粤澳深度合作区符合条件的产业企业实质性运营有关问题的公告》（</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以下简称《公告》</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就合作区符合条件的产业企业实质性运营有关问题</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作进一步明确</w:t>
      </w:r>
      <w:r>
        <w:rPr>
          <w:rFonts w:hint="eastAsia" w:ascii="仿宋_GB2312" w:hAnsi="仿宋_GB2312" w:eastAsia="仿宋_GB2312" w:cs="仿宋_GB2312"/>
          <w:i w:val="0"/>
          <w:caps w:val="0"/>
          <w:color w:val="auto"/>
          <w:spacing w:val="0"/>
          <w:sz w:val="32"/>
          <w:szCs w:val="32"/>
          <w:shd w:val="clear" w:color="auto" w:fill="FFFFFF"/>
          <w:vertAlign w:val="baseline"/>
        </w:rPr>
        <w:t>。</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现解读如下：</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一、为什么制发《公告》？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根据《横琴粤澳深度合作区建设总体方案》要求，财政部、税务总局印发《财政部 税务总局关于横琴粤澳深度合作区企业所得税优惠政策的通知》(财税〔2022〕19号)，就企业享受合作区符合条件产业企业所得税优惠政策提出实质性运营的要求；广东省财政厅、广东省税务局随后印发《广东省财政厅 国家税务总局广东省税务局转发财政部 税务总局关于横琴粤澳深度合作区企业所得税优惠政策的通知》（粤财税〔2022〕17号），要求细化政策落实措施。为</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明确</w:t>
      </w:r>
      <w:r>
        <w:rPr>
          <w:rFonts w:hint="eastAsia" w:ascii="仿宋_GB2312" w:hAnsi="仿宋_GB2312" w:eastAsia="仿宋_GB2312" w:cs="仿宋_GB2312"/>
          <w:color w:val="auto"/>
          <w:sz w:val="32"/>
          <w:szCs w:val="32"/>
          <w:lang w:val="en-US" w:eastAsia="zh-CN"/>
        </w:rPr>
        <w:t>实质性运营具体事项</w:t>
      </w:r>
      <w:r>
        <w:rPr>
          <w:rFonts w:hint="eastAsia" w:ascii="仿宋_GB2312" w:hAnsi="仿宋_GB2312" w:eastAsia="仿宋_GB2312" w:cs="仿宋_GB2312"/>
          <w:i w:val="0"/>
          <w:caps w:val="0"/>
          <w:color w:val="auto"/>
          <w:spacing w:val="0"/>
          <w:sz w:val="32"/>
          <w:szCs w:val="32"/>
          <w:shd w:val="clear" w:color="auto" w:fill="FFFFFF"/>
          <w:vertAlign w:val="baseline"/>
        </w:rPr>
        <w:t>，</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合作区税务局、财政局、</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商事服务局、经济发展局、金融发展局</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联合发布《公告》，在稳定市场主体预期的同时避免空壳公司违规享受税收优惠</w:t>
      </w:r>
      <w:r>
        <w:rPr>
          <w:rFonts w:hint="eastAsia" w:ascii="仿宋_GB2312" w:hAnsi="仿宋_GB2312" w:eastAsia="仿宋_GB2312" w:cs="仿宋_GB2312"/>
          <w:color w:val="auto"/>
          <w:sz w:val="32"/>
          <w:szCs w:val="32"/>
          <w:lang w:eastAsia="zh-CN"/>
        </w:rPr>
        <w:t>，服务合作区高质量发展，推动澳门长期繁荣稳定，更好融入国家发展大局。</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二、《公告》的适用对象有哪些？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适用对象</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注册在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的居民企业、居民企业设立在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的分支机构以及非居民企业设立在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的机构、场所。</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三、生产经营在合作区如何理解？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指</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企业在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拥有固定生产经营场所和必要的生产经营设备设施等，且主要生产经营地点在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，或对生产经营实施实质性全面管理和控制的机构在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；以本企业名义对外订立相关合同</w:t>
      </w:r>
      <w:r>
        <w:rPr>
          <w:rFonts w:hint="eastAsia" w:hAnsi="仿宋_GB2312" w:cs="仿宋_GB2312"/>
          <w:b w:val="0"/>
          <w:bCs w:val="0"/>
          <w:color w:val="auto"/>
          <w:sz w:val="32"/>
          <w:szCs w:val="32"/>
          <w:lang w:val="en-US" w:eastAsia="zh-CN"/>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生产经营在合作区</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从</w:t>
      </w:r>
      <w:r>
        <w:rPr>
          <w:rFonts w:hint="eastAsia" w:hAnsi="仿宋_GB2312" w:cs="仿宋_GB2312"/>
          <w:color w:val="auto"/>
          <w:sz w:val="32"/>
          <w:szCs w:val="32"/>
          <w:lang w:val="en-US" w:eastAsia="zh-CN"/>
        </w:rPr>
        <w:t>两</w:t>
      </w:r>
      <w:r>
        <w:rPr>
          <w:rFonts w:hint="eastAsia" w:ascii="仿宋_GB2312" w:hAnsi="仿宋_GB2312" w:eastAsia="仿宋_GB2312" w:cs="仿宋_GB2312"/>
          <w:color w:val="auto"/>
          <w:sz w:val="32"/>
          <w:szCs w:val="32"/>
          <w:lang w:val="en-US" w:eastAsia="zh-CN"/>
        </w:rPr>
        <w:t>个层面进行标准细化，满足其中一项即符合生产经营在合作区。</w:t>
      </w:r>
      <w:r>
        <w:rPr>
          <w:rFonts w:hint="eastAsia" w:ascii="仿宋_GB2312" w:hAnsi="仿宋_GB2312" w:eastAsia="仿宋_GB2312" w:cs="仿宋_GB2312"/>
          <w:b w:val="0"/>
          <w:bCs w:val="0"/>
          <w:color w:val="auto"/>
          <w:sz w:val="32"/>
          <w:szCs w:val="32"/>
          <w:lang w:val="en-US" w:eastAsia="zh-CN"/>
        </w:rPr>
        <w:t>一是业务层面标准，</w:t>
      </w:r>
      <w:r>
        <w:rPr>
          <w:rFonts w:hint="eastAsia" w:hAnsi="仿宋_GB2312" w:cs="仿宋_GB2312"/>
          <w:b w:val="0"/>
          <w:bCs w:val="0"/>
          <w:color w:val="auto"/>
          <w:sz w:val="32"/>
          <w:szCs w:val="32"/>
          <w:lang w:val="en-US" w:eastAsia="zh-CN"/>
        </w:rPr>
        <w:t>要求</w:t>
      </w:r>
      <w:r>
        <w:rPr>
          <w:rFonts w:hint="eastAsia" w:ascii="仿宋_GB2312" w:hAnsi="仿宋_GB2312" w:eastAsia="仿宋_GB2312" w:cs="仿宋_GB2312"/>
          <w:b w:val="0"/>
          <w:bCs w:val="0"/>
          <w:color w:val="auto"/>
          <w:sz w:val="32"/>
          <w:szCs w:val="32"/>
          <w:lang w:val="en-US" w:eastAsia="zh-CN"/>
        </w:rPr>
        <w:t>主要生产经营地点在合作区</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二是管控层面标准，对生产经营实施实质性全面管理和控制的机构在合作区，即企业的</w:t>
      </w:r>
      <w:r>
        <w:rPr>
          <w:rFonts w:hint="eastAsia" w:ascii="仿宋_GB2312" w:hAnsi="仿宋_GB2312" w:eastAsia="仿宋_GB2312" w:cs="仿宋_GB2312"/>
          <w:i w:val="0"/>
          <w:caps w:val="0"/>
          <w:color w:val="auto"/>
          <w:spacing w:val="0"/>
          <w:sz w:val="32"/>
          <w:szCs w:val="32"/>
          <w:shd w:val="clear" w:color="auto" w:fill="FFFFFF"/>
          <w:vertAlign w:val="baseline"/>
        </w:rPr>
        <w:t>生产经营决策（如计划、控制、考核、评价等）</w:t>
      </w:r>
      <w:r>
        <w:rPr>
          <w:rFonts w:hint="eastAsia" w:hAnsi="仿宋_GB2312" w:cs="仿宋_GB2312"/>
          <w:i w:val="0"/>
          <w:caps w:val="0"/>
          <w:color w:val="auto"/>
          <w:spacing w:val="0"/>
          <w:sz w:val="32"/>
          <w:szCs w:val="32"/>
          <w:shd w:val="clear" w:color="auto" w:fill="FFFFFF"/>
          <w:vertAlign w:val="baseline"/>
          <w:lang w:eastAsia="zh-CN"/>
        </w:rPr>
        <w:t>、</w:t>
      </w:r>
      <w:r>
        <w:rPr>
          <w:rFonts w:hint="eastAsia" w:ascii="仿宋_GB2312" w:hAnsi="仿宋_GB2312" w:eastAsia="仿宋_GB2312" w:cs="仿宋_GB2312"/>
          <w:b w:val="0"/>
          <w:bCs w:val="0"/>
          <w:color w:val="auto"/>
          <w:sz w:val="32"/>
          <w:szCs w:val="32"/>
          <w:lang w:val="en-US" w:eastAsia="zh-CN"/>
        </w:rPr>
        <w:t>财务决策（如借款、放款、融资、财务风险管理等）</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人事决策（如任命、解聘和薪酬等）由</w:t>
      </w:r>
      <w:r>
        <w:rPr>
          <w:rFonts w:hint="eastAsia" w:hAnsi="仿宋_GB2312" w:cs="仿宋_GB2312"/>
          <w:b w:val="0"/>
          <w:bCs w:val="0"/>
          <w:color w:val="auto"/>
          <w:sz w:val="32"/>
          <w:szCs w:val="32"/>
          <w:lang w:val="en-US" w:eastAsia="zh-CN"/>
        </w:rPr>
        <w:t>设立在</w:t>
      </w:r>
      <w:r>
        <w:rPr>
          <w:rFonts w:hint="eastAsia" w:ascii="仿宋_GB2312" w:hAnsi="仿宋_GB2312" w:eastAsia="仿宋_GB2312" w:cs="仿宋_GB2312"/>
          <w:b w:val="0"/>
          <w:bCs w:val="0"/>
          <w:color w:val="auto"/>
          <w:sz w:val="32"/>
          <w:szCs w:val="32"/>
          <w:lang w:val="en-US" w:eastAsia="zh-CN"/>
        </w:rPr>
        <w:t>合作区的机构</w:t>
      </w:r>
      <w:r>
        <w:rPr>
          <w:rFonts w:hint="eastAsia" w:hAnsi="仿宋_GB2312" w:cs="仿宋_GB2312"/>
          <w:b w:val="0"/>
          <w:bCs w:val="0"/>
          <w:color w:val="auto"/>
          <w:sz w:val="32"/>
          <w:szCs w:val="32"/>
          <w:lang w:val="en-US" w:eastAsia="zh-CN"/>
        </w:rPr>
        <w:t>作出或执行。</w:t>
      </w:r>
      <w:r>
        <w:rPr>
          <w:rFonts w:hint="eastAsia" w:ascii="仿宋_GB2312" w:hAnsi="仿宋_GB2312" w:eastAsia="仿宋_GB2312" w:cs="仿宋_GB2312"/>
          <w:i w:val="0"/>
          <w:caps w:val="0"/>
          <w:color w:val="auto"/>
          <w:spacing w:val="0"/>
          <w:sz w:val="32"/>
          <w:szCs w:val="32"/>
          <w:shd w:val="clear" w:color="auto" w:fill="FFFFFF"/>
          <w:vertAlign w:val="baseline"/>
        </w:rPr>
        <w:t>企业集团采取财务共享中心模式，集中统筹开展资金管理和配置的，</w:t>
      </w:r>
      <w:r>
        <w:rPr>
          <w:rFonts w:hint="eastAsia" w:hAnsi="仿宋_GB2312" w:cs="仿宋_GB2312"/>
          <w:i w:val="0"/>
          <w:caps w:val="0"/>
          <w:color w:val="auto"/>
          <w:spacing w:val="0"/>
          <w:sz w:val="32"/>
          <w:szCs w:val="32"/>
          <w:shd w:val="clear" w:color="auto" w:fill="FFFFFF"/>
          <w:vertAlign w:val="baseline"/>
          <w:lang w:val="en-US" w:eastAsia="zh-CN"/>
        </w:rPr>
        <w:t>合作区</w:t>
      </w:r>
      <w:r>
        <w:rPr>
          <w:rFonts w:hint="eastAsia" w:ascii="仿宋_GB2312" w:hAnsi="仿宋_GB2312" w:eastAsia="仿宋_GB2312" w:cs="仿宋_GB2312"/>
          <w:i w:val="0"/>
          <w:caps w:val="0"/>
          <w:color w:val="auto"/>
          <w:spacing w:val="0"/>
          <w:sz w:val="32"/>
          <w:szCs w:val="32"/>
          <w:shd w:val="clear" w:color="auto" w:fill="FFFFFF"/>
          <w:vertAlign w:val="baseline"/>
        </w:rPr>
        <w:t>的子公司具备借款、放款、融资、财务风险管理等职能中的一项或几项，即可视为财务决策由设立在</w:t>
      </w:r>
      <w:r>
        <w:rPr>
          <w:rFonts w:hint="eastAsia" w:hAnsi="仿宋_GB2312" w:cs="仿宋_GB2312"/>
          <w:i w:val="0"/>
          <w:caps w:val="0"/>
          <w:color w:val="auto"/>
          <w:spacing w:val="0"/>
          <w:sz w:val="32"/>
          <w:szCs w:val="32"/>
          <w:shd w:val="clear" w:color="auto" w:fill="FFFFFF"/>
          <w:vertAlign w:val="baseline"/>
          <w:lang w:val="en-US" w:eastAsia="zh-CN"/>
        </w:rPr>
        <w:t>合作区</w:t>
      </w:r>
      <w:r>
        <w:rPr>
          <w:rFonts w:hint="eastAsia" w:ascii="仿宋_GB2312" w:hAnsi="仿宋_GB2312" w:eastAsia="仿宋_GB2312" w:cs="仿宋_GB2312"/>
          <w:i w:val="0"/>
          <w:caps w:val="0"/>
          <w:color w:val="auto"/>
          <w:spacing w:val="0"/>
          <w:sz w:val="32"/>
          <w:szCs w:val="32"/>
          <w:shd w:val="clear" w:color="auto" w:fill="FFFFFF"/>
          <w:vertAlign w:val="baseline"/>
        </w:rPr>
        <w:t>的机构作出或执行。</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四、人员在合作区如何理解？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hAnsi="仿宋_GB2312" w:cs="仿宋_GB2312"/>
          <w:i w:val="0"/>
          <w:caps w:val="0"/>
          <w:color w:val="auto"/>
          <w:spacing w:val="0"/>
          <w:kern w:val="0"/>
          <w:sz w:val="32"/>
          <w:szCs w:val="32"/>
          <w:shd w:val="clear" w:color="auto" w:fill="FFFFFF"/>
          <w:vertAlign w:val="baseline"/>
          <w:lang w:val="en-US" w:eastAsia="zh-CN" w:bidi="ar-SA"/>
        </w:rPr>
        <w:t>指</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企业有满足生产经营需要的从业人员在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实际工作，从业人员的工资薪金通过本企业在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开立的银行账户发放；根据企业规模、从业人员的情况，一个纳税年度内至少需有3名（含）至30名（含）从业人员</w:t>
      </w:r>
      <w:r>
        <w:rPr>
          <w:rFonts w:hint="eastAsia" w:hAnsi="仿宋_GB2312" w:cs="仿宋_GB2312"/>
          <w:b w:val="0"/>
          <w:bCs w:val="0"/>
          <w:color w:val="auto"/>
          <w:sz w:val="32"/>
          <w:szCs w:val="32"/>
          <w:lang w:eastAsia="zh-CN"/>
        </w:rPr>
        <w:t>当年度</w:t>
      </w:r>
      <w:r>
        <w:rPr>
          <w:rFonts w:hint="eastAsia" w:ascii="仿宋_GB2312" w:hAnsi="仿宋_GB2312" w:eastAsia="仿宋_GB2312" w:cs="仿宋_GB2312"/>
          <w:b w:val="0"/>
          <w:bCs w:val="0"/>
          <w:color w:val="auto"/>
          <w:sz w:val="32"/>
          <w:szCs w:val="32"/>
          <w:lang w:eastAsia="zh-CN"/>
        </w:rPr>
        <w:t>在合作区缴纳六个月（含）以上基本养老保险等社会保险</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综合考虑当前合作区发展实际情况和各类规模企业发展现状，</w:t>
      </w:r>
      <w:r>
        <w:rPr>
          <w:rFonts w:hint="eastAsia" w:hAnsi="仿宋_GB2312" w:cs="仿宋_GB2312"/>
          <w:color w:val="auto"/>
          <w:sz w:val="32"/>
          <w:szCs w:val="32"/>
          <w:lang w:val="en-US" w:eastAsia="zh-CN"/>
        </w:rPr>
        <w:t>从有利于合作区提高就业、带动消费、促进高质量发展的角度出发，</w:t>
      </w:r>
      <w:r>
        <w:rPr>
          <w:rFonts w:hint="eastAsia" w:ascii="仿宋_GB2312" w:hAnsi="仿宋_GB2312" w:eastAsia="仿宋_GB2312" w:cs="仿宋_GB2312"/>
          <w:color w:val="auto"/>
          <w:sz w:val="32"/>
          <w:szCs w:val="32"/>
          <w:lang w:val="en-US" w:eastAsia="zh-CN"/>
        </w:rPr>
        <w:t>采取“分段”计算的方法对从业人员的数量要求进行细化，标准根据合作区经济社会发展状况实施动态调整。具体如下：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）企业从业人数不满</w:t>
      </w:r>
      <w:r>
        <w:rPr>
          <w:rFonts w:hint="default" w:ascii="仿宋_GB2312" w:hAnsi="仿宋_GB2312" w:eastAsia="仿宋_GB2312" w:cs="仿宋_GB2312"/>
          <w:color w:val="auto"/>
          <w:sz w:val="32"/>
          <w:szCs w:val="32"/>
          <w:lang w:val="en-US" w:eastAsia="zh-CN"/>
        </w:rPr>
        <w:t>10人的，一个纳税年度内至少需有3</w:t>
      </w:r>
      <w:r>
        <w:rPr>
          <w:rFonts w:hint="eastAsia" w:ascii="仿宋_GB2312" w:hAnsi="仿宋_GB2312" w:eastAsia="仿宋_GB2312" w:cs="仿宋_GB2312"/>
          <w:color w:val="auto"/>
          <w:sz w:val="32"/>
          <w:szCs w:val="32"/>
          <w:lang w:val="en-US" w:eastAsia="zh-CN"/>
        </w:rPr>
        <w:t>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）企业从业人数10人（含）以上不满100人的，一个纳税年度内至少需有30%（含）的人员当年度在合作区缴纳六个月（含）以上基本养老保险等社会保险；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）企业从业人数100人（含）以上的，</w:t>
      </w:r>
      <w:r>
        <w:rPr>
          <w:rFonts w:hint="default" w:ascii="仿宋_GB2312" w:hAnsi="仿宋_GB2312" w:eastAsia="仿宋_GB2312" w:cs="仿宋_GB2312"/>
          <w:color w:val="auto"/>
          <w:sz w:val="32"/>
          <w:szCs w:val="32"/>
          <w:lang w:val="en-US" w:eastAsia="zh-CN"/>
        </w:rPr>
        <w:t>一个纳税年度内至少需有</w:t>
      </w:r>
      <w:r>
        <w:rPr>
          <w:rFonts w:hint="eastAsia" w:ascii="仿宋_GB2312" w:hAnsi="仿宋_GB2312" w:eastAsia="仿宋_GB2312" w:cs="仿宋_GB2312"/>
          <w:color w:val="auto"/>
          <w:sz w:val="32"/>
          <w:szCs w:val="32"/>
          <w:lang w:val="en-US" w:eastAsia="zh-CN"/>
        </w:rPr>
        <w:t>30人（含）当年度在合作区缴纳六个月（含）以上基本养老保险等社会保险。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五、从业人员数量如何计算？社保缴纳时长如何确定？</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（一）从业人员数量的具体要求及计算规则</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包括与企业建立劳动关系的职工人数和企业接受的劳务派遣人数。总机构设在合作区的企业，从业人数是指其设在合作区的总机构和分支机构的从业人数；总机构设在合作区以外的企业，从业人数是指其设在合作区内的分支机构的从业人数；非居民企业设在合作区的机构、场所，从业人数是指合作区内机构、场所的从业人数。</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上述“合作区内分支机构”不包括在合作区以外的二级以下分支机构在合作区设立的三级以下分支机构。</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从业人数按企业全年的季度平均值确定,具体计算公式如下：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季度平均值＝（季初值＋季末值）÷2</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全年季度平均值＝全年各季度平均值之和÷4</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年度中间开业或者终止经营活动的，以其实际经营期作为一个纳税年度确定上述相关指标。</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（二）从业人员社保缴纳时长的具体要求</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年度中间开业或者终止经营活动的，且实际经营期不足半年的，其从业人员当年度在合作区缴纳基本养老保险等社会保险的时长，至少按实际经营期的月份数减半计算；实际经营期满1个月不足2个月的，其从业人员在合作区缴纳基本养老保险等社会保险的时长至少为1个月；实际经营期不足1个月的，其从业人员不受社保缴纳条件限制。实际经营期不含办理税务登记当月。</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（三）有关案例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案例：某企业2023年7月5日在工商注册登记，7月15日进行税务登记确认，从业人数情况如下表所示：</w:t>
      </w:r>
    </w:p>
    <w:tbl>
      <w:tblPr>
        <w:tblStyle w:val="8"/>
        <w:tblW w:w="70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5"/>
        <w:gridCol w:w="2265"/>
        <w:gridCol w:w="2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季度</w:t>
            </w:r>
          </w:p>
        </w:tc>
        <w:tc>
          <w:tcPr>
            <w:tcW w:w="4605"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从业人数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季初</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第三季度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第四季度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34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79" w:lineRule="exact"/>
        <w:ind w:left="0" w:righ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 </w:t>
      </w:r>
      <w:r>
        <w:rPr>
          <w:rFonts w:hint="eastAsia" w:ascii="仿宋_GB2312" w:hAnsi="仿宋_GB2312" w:eastAsia="仿宋_GB2312" w:cs="仿宋_GB2312"/>
          <w:i w:val="0"/>
          <w:caps w:val="0"/>
          <w:color w:val="auto"/>
          <w:spacing w:val="0"/>
          <w:sz w:val="32"/>
          <w:szCs w:val="32"/>
          <w:shd w:val="clear" w:color="auto" w:fill="FFFFFF"/>
          <w:vertAlign w:val="baseline"/>
        </w:rPr>
        <w:t>解析</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步骤一：计算该企业从业人数。</w:t>
      </w:r>
    </w:p>
    <w:tbl>
      <w:tblPr>
        <w:tblStyle w:val="8"/>
        <w:tblW w:w="77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1"/>
        <w:gridCol w:w="2349"/>
        <w:gridCol w:w="1650"/>
        <w:gridCol w:w="2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0"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指标</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第三季度</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第四季度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从业人数</w:t>
            </w: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季初</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季末</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15</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全年季度平均值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该企业全年季度平均值为21人，因此从业人数为21人，当年度至少需有30%（含）</w:t>
      </w:r>
      <w:r>
        <w:rPr>
          <w:rFonts w:hint="eastAsia" w:ascii="仿宋_GB2312" w:hAnsi="仿宋_GB2312" w:eastAsia="仿宋_GB2312" w:cs="仿宋_GB2312"/>
          <w:color w:val="auto"/>
          <w:kern w:val="0"/>
          <w:sz w:val="32"/>
          <w:szCs w:val="32"/>
          <w:lang w:val="en-US" w:eastAsia="zh-CN" w:bidi="ar-SA"/>
        </w:rPr>
        <w:t>的从业人员</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即7个人</w:t>
      </w:r>
      <w:r>
        <w:rPr>
          <w:rFonts w:hint="eastAsia" w:ascii="仿宋_GB2312" w:hAnsi="仿宋_GB2312" w:eastAsia="仿宋_GB2312" w:cs="仿宋_GB2312"/>
          <w:color w:val="auto"/>
          <w:kern w:val="0"/>
          <w:sz w:val="32"/>
          <w:szCs w:val="32"/>
          <w:lang w:val="en-US" w:eastAsia="zh-CN" w:bidi="ar-SA"/>
        </w:rPr>
        <w:t>在合作区工作</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步骤二：确定需</w:t>
      </w:r>
      <w:r>
        <w:rPr>
          <w:rFonts w:hint="eastAsia" w:ascii="仿宋_GB2312" w:hAnsi="仿宋_GB2312" w:eastAsia="仿宋_GB2312" w:cs="仿宋_GB2312"/>
          <w:color w:val="auto"/>
          <w:kern w:val="0"/>
          <w:sz w:val="32"/>
          <w:szCs w:val="32"/>
          <w:lang w:val="en-US" w:eastAsia="zh-CN" w:bidi="ar-SA"/>
        </w:rPr>
        <w:t>在合作区缴纳基本养老保险等社会保险的时长</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。由于该企业于7月15日进行税务登记确认，当年度实际经营期为5个月，不足半年，其从业人员</w:t>
      </w:r>
      <w:r>
        <w:rPr>
          <w:rFonts w:hint="eastAsia" w:ascii="仿宋_GB2312" w:hAnsi="仿宋_GB2312" w:eastAsia="仿宋_GB2312" w:cs="仿宋_GB2312"/>
          <w:color w:val="auto"/>
          <w:kern w:val="0"/>
          <w:sz w:val="32"/>
          <w:szCs w:val="32"/>
          <w:lang w:val="en-US" w:eastAsia="zh-CN" w:bidi="ar-SA"/>
        </w:rPr>
        <w:t>在合作区缴纳基本养老保险等社会保险的时长，至少按实际经营期的月份数减半计算，</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即3个月。</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因此，该企业</w:t>
      </w:r>
      <w:r>
        <w:rPr>
          <w:rFonts w:hint="eastAsia" w:ascii="仿宋_GB2312" w:hAnsi="仿宋_GB2312" w:eastAsia="仿宋_GB2312" w:cs="仿宋_GB2312"/>
          <w:i w:val="0"/>
          <w:caps w:val="0"/>
          <w:color w:val="auto"/>
          <w:spacing w:val="0"/>
          <w:sz w:val="32"/>
          <w:szCs w:val="32"/>
          <w:shd w:val="clear" w:color="auto" w:fill="FFFFFF"/>
          <w:vertAlign w:val="baseline"/>
        </w:rPr>
        <w:t>当年度至少需有</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7</w:t>
      </w:r>
      <w:r>
        <w:rPr>
          <w:rFonts w:hint="eastAsia" w:ascii="仿宋_GB2312" w:hAnsi="仿宋_GB2312" w:eastAsia="仿宋_GB2312" w:cs="仿宋_GB2312"/>
          <w:i w:val="0"/>
          <w:caps w:val="0"/>
          <w:color w:val="auto"/>
          <w:spacing w:val="0"/>
          <w:sz w:val="32"/>
          <w:szCs w:val="32"/>
          <w:shd w:val="clear" w:color="auto" w:fill="FFFFFF"/>
          <w:vertAlign w:val="baseline"/>
        </w:rPr>
        <w:t>个人</w:t>
      </w:r>
      <w:r>
        <w:rPr>
          <w:rFonts w:hint="eastAsia" w:ascii="仿宋_GB2312" w:hAnsi="仿宋_GB2312" w:eastAsia="仿宋_GB2312" w:cs="仿宋_GB2312"/>
          <w:color w:val="auto"/>
          <w:sz w:val="32"/>
          <w:szCs w:val="32"/>
          <w:lang w:val="en-US" w:eastAsia="zh-CN"/>
        </w:rPr>
        <w:t>在合作区缴纳3个月（含）以上基本养老保险等社会保险。</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六、账务在合作区如何理解？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同时满足下列两个条件，一是指企业会计凭证、会计账簿和财务报表等会计档案资料存放在合作区。会计档案资料包括企业在进行会计核算等过程中接收或形成的，记录和反映企业经济业务事项，具有保存价值的文字、图形等各种形式的资料，如果是纸质保存的应存放在合作区，如果是电子形式保存的应能够在合作区提供查阅。采取财务共享中心模式核算财务的企业，应当按照后续管理的要求，提供相关会计档案资料以便相关部门查阅或者检查。二是企业的基本存款账户和进行主营业务结算的银行账户开立在合作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七、财产在合作区如何理解？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hAnsi="仿宋_GB2312" w:cs="仿宋_GB2312"/>
          <w:i w:val="0"/>
          <w:caps w:val="0"/>
          <w:color w:val="auto"/>
          <w:spacing w:val="0"/>
          <w:sz w:val="32"/>
          <w:szCs w:val="32"/>
          <w:shd w:val="clear" w:color="auto" w:fill="FFFFFF"/>
          <w:vertAlign w:val="baseline"/>
          <w:lang w:val="en-US" w:eastAsia="zh-CN"/>
        </w:rPr>
        <w:t>指</w:t>
      </w:r>
      <w:r>
        <w:rPr>
          <w:rFonts w:hint="eastAsia" w:ascii="仿宋_GB2312" w:hAnsi="仿宋_GB2312" w:eastAsia="仿宋_GB2312" w:cs="仿宋_GB2312"/>
          <w:b w:val="0"/>
          <w:bCs w:val="0"/>
          <w:color w:val="auto"/>
          <w:sz w:val="32"/>
          <w:szCs w:val="32"/>
        </w:rPr>
        <w:t>企业</w:t>
      </w:r>
      <w:r>
        <w:rPr>
          <w:rFonts w:hint="eastAsia" w:ascii="仿宋_GB2312" w:hAnsi="仿宋_GB2312" w:eastAsia="仿宋_GB2312" w:cs="仿宋_GB2312"/>
          <w:i w:val="0"/>
          <w:caps w:val="0"/>
          <w:color w:val="auto"/>
          <w:spacing w:val="0"/>
          <w:sz w:val="32"/>
          <w:szCs w:val="32"/>
          <w:shd w:val="clear" w:color="auto" w:fill="FFFFFF"/>
          <w:vertAlign w:val="baseline"/>
        </w:rPr>
        <w:t>为开展生产经营活动而</w:t>
      </w:r>
      <w:r>
        <w:rPr>
          <w:rFonts w:hint="eastAsia" w:ascii="仿宋_GB2312" w:hAnsi="仿宋_GB2312" w:eastAsia="仿宋_GB2312" w:cs="仿宋_GB2312"/>
          <w:b w:val="0"/>
          <w:bCs w:val="0"/>
          <w:color w:val="auto"/>
          <w:sz w:val="32"/>
          <w:szCs w:val="32"/>
        </w:rPr>
        <w:t>享有所有权或使用权的</w:t>
      </w:r>
      <w:r>
        <w:rPr>
          <w:rFonts w:hint="eastAsia" w:hAnsi="仿宋_GB2312" w:cs="仿宋_GB2312"/>
          <w:b w:val="0"/>
          <w:bCs w:val="0"/>
          <w:color w:val="auto"/>
          <w:sz w:val="32"/>
          <w:szCs w:val="32"/>
          <w:lang w:eastAsia="zh-CN"/>
        </w:rPr>
        <w:t>财</w:t>
      </w:r>
      <w:r>
        <w:rPr>
          <w:rFonts w:hint="eastAsia" w:ascii="仿宋_GB2312" w:hAnsi="仿宋_GB2312" w:eastAsia="仿宋_GB2312" w:cs="仿宋_GB2312"/>
          <w:b w:val="0"/>
          <w:bCs w:val="0"/>
          <w:color w:val="auto"/>
          <w:sz w:val="32"/>
          <w:szCs w:val="32"/>
        </w:rPr>
        <w:t>产在合作区实际使用</w:t>
      </w:r>
      <w:r>
        <w:rPr>
          <w:rFonts w:hint="eastAsia"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或对</w:t>
      </w:r>
      <w:r>
        <w:rPr>
          <w:rFonts w:hint="eastAsia" w:hAnsi="仿宋_GB2312" w:cs="仿宋_GB2312"/>
          <w:b w:val="0"/>
          <w:bCs w:val="0"/>
          <w:color w:val="auto"/>
          <w:sz w:val="32"/>
          <w:szCs w:val="32"/>
          <w:lang w:eastAsia="zh-CN"/>
        </w:rPr>
        <w:t>该财</w:t>
      </w:r>
      <w:r>
        <w:rPr>
          <w:rFonts w:hint="eastAsia" w:ascii="仿宋_GB2312" w:hAnsi="仿宋_GB2312" w:eastAsia="仿宋_GB2312" w:cs="仿宋_GB2312"/>
          <w:b w:val="0"/>
          <w:bCs w:val="0"/>
          <w:color w:val="auto"/>
          <w:sz w:val="32"/>
          <w:szCs w:val="32"/>
        </w:rPr>
        <w:t>产实施实质性全面管理和控制的机构在合作区</w:t>
      </w:r>
      <w:r>
        <w:rPr>
          <w:rFonts w:hint="eastAsia"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该</w:t>
      </w:r>
      <w:r>
        <w:rPr>
          <w:rFonts w:hint="eastAsia" w:hAnsi="仿宋_GB2312" w:cs="仿宋_GB2312"/>
          <w:b w:val="0"/>
          <w:bCs w:val="0"/>
          <w:color w:val="auto"/>
          <w:sz w:val="32"/>
          <w:szCs w:val="32"/>
          <w:lang w:eastAsia="zh-CN"/>
        </w:rPr>
        <w:t>财</w:t>
      </w:r>
      <w:r>
        <w:rPr>
          <w:rFonts w:hint="eastAsia" w:ascii="仿宋_GB2312" w:hAnsi="仿宋_GB2312" w:eastAsia="仿宋_GB2312" w:cs="仿宋_GB2312"/>
          <w:b w:val="0"/>
          <w:bCs w:val="0"/>
          <w:color w:val="auto"/>
          <w:sz w:val="32"/>
          <w:szCs w:val="32"/>
        </w:rPr>
        <w:t>产需与企业的生产经营相匹配。</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i w:val="0"/>
          <w:caps w:val="0"/>
          <w:color w:val="auto"/>
          <w:spacing w:val="0"/>
          <w:sz w:val="32"/>
          <w:szCs w:val="32"/>
          <w:shd w:val="clear" w:color="auto" w:fill="FFFFFF"/>
          <w:vertAlign w:val="baseline"/>
        </w:rPr>
      </w:pPr>
      <w:r>
        <w:rPr>
          <w:rFonts w:hint="eastAsia" w:ascii="黑体" w:hAnsi="黑体" w:eastAsia="黑体" w:cs="黑体"/>
          <w:i w:val="0"/>
          <w:caps w:val="0"/>
          <w:color w:val="auto"/>
          <w:spacing w:val="0"/>
          <w:sz w:val="32"/>
          <w:szCs w:val="32"/>
          <w:shd w:val="clear" w:color="auto" w:fill="FFFFFF"/>
          <w:vertAlign w:val="baseline"/>
          <w:lang w:val="en-US" w:eastAsia="zh-CN"/>
        </w:rPr>
        <w:t>八</w:t>
      </w:r>
      <w:r>
        <w:rPr>
          <w:rFonts w:hint="eastAsia" w:ascii="黑体" w:hAnsi="黑体" w:eastAsia="黑体" w:cs="黑体"/>
          <w:i w:val="0"/>
          <w:caps w:val="0"/>
          <w:color w:val="auto"/>
          <w:spacing w:val="0"/>
          <w:sz w:val="32"/>
          <w:szCs w:val="32"/>
          <w:shd w:val="clear" w:color="auto" w:fill="FFFFFF"/>
          <w:vertAlign w:val="baseline"/>
        </w:rPr>
        <w:t>、</w:t>
      </w:r>
      <w:r>
        <w:rPr>
          <w:rFonts w:hint="eastAsia" w:ascii="黑体" w:hAnsi="黑体" w:eastAsia="黑体" w:cs="黑体"/>
          <w:i w:val="0"/>
          <w:caps w:val="0"/>
          <w:color w:val="auto"/>
          <w:spacing w:val="0"/>
          <w:sz w:val="32"/>
          <w:szCs w:val="32"/>
          <w:shd w:val="clear" w:color="auto" w:fill="FFFFFF"/>
          <w:vertAlign w:val="baseline"/>
          <w:lang w:eastAsia="zh-CN"/>
        </w:rPr>
        <w:t>存在哪些情形视为不符合实质性运营</w:t>
      </w:r>
      <w:r>
        <w:rPr>
          <w:rFonts w:hint="eastAsia" w:ascii="黑体" w:hAnsi="黑体" w:eastAsia="黑体" w:cs="黑体"/>
          <w:i w:val="0"/>
          <w:caps w:val="0"/>
          <w:color w:val="auto"/>
          <w:spacing w:val="0"/>
          <w:sz w:val="32"/>
          <w:szCs w:val="32"/>
          <w:shd w:val="clear" w:color="auto" w:fill="FFFFFF"/>
          <w:vertAlign w:val="baseline"/>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b w:val="0"/>
          <w:bCs w:val="0"/>
          <w:strike/>
          <w:dstrike w:val="0"/>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存在下列情形之一的，视为不符合实质性运营：</w:t>
      </w:r>
      <w:r>
        <w:rPr>
          <w:rFonts w:hint="eastAsia" w:hAnsi="仿宋_GB2312" w:cs="仿宋_GB2312"/>
          <w:i w:val="0"/>
          <w:caps w:val="0"/>
          <w:color w:val="auto"/>
          <w:spacing w:val="0"/>
          <w:kern w:val="0"/>
          <w:sz w:val="32"/>
          <w:szCs w:val="32"/>
          <w:shd w:val="clear" w:color="auto" w:fill="FFFFFF"/>
          <w:vertAlign w:val="baseline"/>
          <w:lang w:val="en-US" w:eastAsia="zh-CN" w:bidi="ar-SA"/>
        </w:rPr>
        <w:t>一是</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不具有生产经营职能，仅承担对</w:t>
      </w:r>
      <w:r>
        <w:rPr>
          <w:rFonts w:hint="eastAsia" w:hAnsi="仿宋_GB2312" w:cs="仿宋_GB2312"/>
          <w:i w:val="0"/>
          <w:caps w:val="0"/>
          <w:color w:val="auto"/>
          <w:spacing w:val="0"/>
          <w:kern w:val="0"/>
          <w:sz w:val="32"/>
          <w:szCs w:val="32"/>
          <w:shd w:val="clear" w:color="auto" w:fill="FFFFFF"/>
          <w:vertAlign w:val="baseline"/>
          <w:lang w:val="en-US" w:eastAsia="zh-CN" w:bidi="ar-SA"/>
        </w:rPr>
        <w:t>合作区外</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业务的财务结算、申报纳税、开具发票等功能；</w:t>
      </w:r>
      <w:r>
        <w:rPr>
          <w:rFonts w:hint="eastAsia" w:hAnsi="仿宋_GB2312" w:cs="仿宋_GB2312"/>
          <w:i w:val="0"/>
          <w:caps w:val="0"/>
          <w:color w:val="auto"/>
          <w:spacing w:val="0"/>
          <w:kern w:val="0"/>
          <w:sz w:val="32"/>
          <w:szCs w:val="32"/>
          <w:shd w:val="clear" w:color="auto" w:fill="FFFFFF"/>
          <w:vertAlign w:val="baseline"/>
          <w:lang w:val="en-US" w:eastAsia="zh-CN" w:bidi="ar-SA"/>
        </w:rPr>
        <w:t>二是</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注册地址与实际经营地址不一致，且无法联系或者联系后无法提供实际经营地址。</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九、相关部门对企业实质性运营如何开展监管？</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相关部门将坚持包容审慎监管原则，建立事中政策辅导、事后风险防控机制，为企业提供公开、透明、可预期的营商环境。一是在企业</w:t>
      </w:r>
      <w:r>
        <w:rPr>
          <w:rFonts w:hint="eastAsia" w:hAnsi="仿宋_GB2312" w:cs="仿宋_GB2312"/>
          <w:color w:val="auto"/>
          <w:sz w:val="32"/>
          <w:szCs w:val="32"/>
          <w:lang w:val="en-US" w:eastAsia="zh-CN"/>
        </w:rPr>
        <w:t>预缴</w:t>
      </w:r>
      <w:r>
        <w:rPr>
          <w:rFonts w:hint="eastAsia" w:ascii="仿宋_GB2312" w:hAnsi="仿宋_GB2312" w:eastAsia="仿宋_GB2312" w:cs="仿宋_GB2312"/>
          <w:color w:val="auto"/>
          <w:sz w:val="32"/>
          <w:szCs w:val="32"/>
          <w:lang w:val="en-US" w:eastAsia="zh-CN"/>
        </w:rPr>
        <w:t>申报享受合作区优惠政策</w:t>
      </w:r>
      <w:r>
        <w:rPr>
          <w:rFonts w:hint="eastAsia" w:hAnsi="仿宋_GB2312" w:cs="仿宋_GB2312"/>
          <w:color w:val="auto"/>
          <w:sz w:val="32"/>
          <w:szCs w:val="32"/>
          <w:lang w:val="en-US" w:eastAsia="zh-CN"/>
        </w:rPr>
        <w:t>事项</w:t>
      </w:r>
      <w:r>
        <w:rPr>
          <w:rFonts w:hint="eastAsia" w:ascii="仿宋_GB2312" w:hAnsi="仿宋_GB2312" w:eastAsia="仿宋_GB2312" w:cs="仿宋_GB2312"/>
          <w:color w:val="auto"/>
          <w:sz w:val="32"/>
          <w:szCs w:val="32"/>
          <w:lang w:val="en-US" w:eastAsia="zh-CN"/>
        </w:rPr>
        <w:t>后，强化事中辅导和风险提示提醒；</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是强化后续管理，</w:t>
      </w:r>
      <w:r>
        <w:rPr>
          <w:rFonts w:hint="eastAsia" w:hAnsi="仿宋_GB2312" w:cs="仿宋_GB2312"/>
          <w:color w:val="auto"/>
          <w:sz w:val="32"/>
          <w:szCs w:val="32"/>
          <w:lang w:val="en-US" w:eastAsia="zh-CN"/>
        </w:rPr>
        <w:t>明确</w:t>
      </w:r>
      <w:r>
        <w:rPr>
          <w:rFonts w:hint="eastAsia" w:hAnsi="仿宋_GB2312" w:cs="仿宋_GB2312"/>
          <w:b w:val="0"/>
          <w:bCs w:val="0"/>
          <w:color w:val="auto"/>
          <w:sz w:val="32"/>
          <w:szCs w:val="32"/>
          <w:lang w:val="en-US" w:eastAsia="zh-CN"/>
        </w:rPr>
        <w:t>合作区税务局对享受优惠政策企业的实质性运营情况进行后续管理</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是</w:t>
      </w:r>
      <w:r>
        <w:rPr>
          <w:rFonts w:hint="eastAsia" w:hAnsi="仿宋_GB2312" w:cs="仿宋_GB2312"/>
          <w:color w:val="auto"/>
          <w:sz w:val="32"/>
          <w:szCs w:val="32"/>
          <w:lang w:val="en-US" w:eastAsia="zh-CN"/>
        </w:rPr>
        <w:t>明确合作区税务局</w:t>
      </w:r>
      <w:r>
        <w:rPr>
          <w:rFonts w:hint="eastAsia" w:ascii="仿宋_GB2312" w:hAnsi="仿宋_GB2312" w:eastAsia="仿宋_GB2312" w:cs="仿宋_GB2312"/>
          <w:color w:val="auto"/>
          <w:sz w:val="32"/>
          <w:szCs w:val="32"/>
          <w:lang w:val="en-US" w:eastAsia="zh-CN"/>
        </w:rPr>
        <w:t>对享受优惠政策企业的实质性运营情况难以界定的，</w:t>
      </w:r>
      <w:r>
        <w:rPr>
          <w:rFonts w:hint="eastAsia" w:hAnsi="仿宋_GB2312" w:cs="仿宋_GB2312"/>
          <w:color w:val="auto"/>
          <w:sz w:val="32"/>
          <w:szCs w:val="32"/>
          <w:lang w:val="en-US" w:eastAsia="zh-CN"/>
        </w:rPr>
        <w:t>通过</w:t>
      </w:r>
      <w:r>
        <w:rPr>
          <w:rFonts w:hint="eastAsia" w:hAnsi="仿宋_GB2312" w:cs="仿宋_GB2312"/>
          <w:b w:val="0"/>
          <w:bCs w:val="0"/>
          <w:color w:val="auto"/>
          <w:sz w:val="32"/>
          <w:szCs w:val="32"/>
          <w:lang w:val="en-US" w:eastAsia="zh-CN"/>
        </w:rPr>
        <w:t>合作区企业实质性运营判定工作机制</w:t>
      </w:r>
      <w:r>
        <w:rPr>
          <w:rFonts w:hint="eastAsia" w:ascii="仿宋_GB2312" w:hAnsi="仿宋_GB2312" w:eastAsia="仿宋_GB2312" w:cs="仿宋_GB2312"/>
          <w:color w:val="auto"/>
          <w:sz w:val="32"/>
          <w:szCs w:val="32"/>
          <w:lang w:val="en-US" w:eastAsia="zh-CN"/>
        </w:rPr>
        <w:t>研究予以确定，确保实质性运营判定结果的权威性、准确性，维护合法经营市场主体权益。</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十、《公告》自什么时候开始执行？</w:t>
      </w:r>
    </w:p>
    <w:p>
      <w:pPr>
        <w:pStyle w:val="12"/>
        <w:pageBreakBefore w:val="0"/>
        <w:numPr>
          <w:ilvl w:val="0"/>
          <w:numId w:val="0"/>
        </w:numPr>
        <w:pBdr>
          <w:bottom w:val="none" w:color="auto" w:sz="0" w:space="17"/>
        </w:pBdr>
        <w:kinsoku/>
        <w:wordWrap/>
        <w:overflowPunct/>
        <w:topLinePunct w:val="0"/>
        <w:autoSpaceDE/>
        <w:autoSpaceDN/>
        <w:bidi w:val="0"/>
        <w:adjustRightInd w:val="0"/>
        <w:snapToGrid w:val="0"/>
        <w:spacing w:line="579" w:lineRule="exact"/>
        <w:ind w:firstLine="640" w:firstLineChars="200"/>
        <w:rPr>
          <w:rFonts w:cs="Times New Roman"/>
          <w:sz w:val="30"/>
          <w:szCs w:val="30"/>
        </w:rPr>
      </w:pPr>
      <w:r>
        <w:rPr>
          <w:rFonts w:hint="eastAsia" w:ascii="仿宋_GB2312" w:hAnsi="仿宋_GB2312" w:eastAsia="仿宋_GB2312" w:cs="仿宋_GB2312"/>
          <w:color w:val="auto"/>
          <w:sz w:val="32"/>
          <w:szCs w:val="32"/>
          <w:lang w:val="en-US" w:eastAsia="zh-CN"/>
        </w:rPr>
        <w:t>《公告》自2023年1月1日起执行，即符合条件的产业企业自申报2023年度所属期企业所得税</w:t>
      </w:r>
      <w:r>
        <w:rPr>
          <w:rFonts w:hint="eastAsia" w:hAnsi="仿宋_GB2312" w:cs="仿宋_GB2312"/>
          <w:color w:val="auto"/>
          <w:sz w:val="32"/>
          <w:szCs w:val="32"/>
          <w:lang w:val="en-US" w:eastAsia="zh-CN"/>
        </w:rPr>
        <w:t>起</w:t>
      </w:r>
      <w:r>
        <w:rPr>
          <w:rFonts w:hint="eastAsia" w:ascii="仿宋_GB2312" w:hAnsi="仿宋_GB2312" w:eastAsia="仿宋_GB2312" w:cs="仿宋_GB2312"/>
          <w:color w:val="auto"/>
          <w:sz w:val="32"/>
          <w:szCs w:val="32"/>
          <w:lang w:val="en-US" w:eastAsia="zh-CN"/>
        </w:rPr>
        <w:t>适用《公告》规定。</w:t>
      </w:r>
    </w:p>
    <w:p>
      <w:pPr>
        <w:pageBreakBefore w:val="0"/>
        <w:kinsoku/>
        <w:wordWrap/>
        <w:overflowPunct/>
        <w:topLinePunct w:val="0"/>
        <w:autoSpaceDE/>
        <w:autoSpaceDN/>
        <w:bidi w:val="0"/>
        <w:spacing w:line="579"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6361"/>
    <w:rsid w:val="1108661B"/>
    <w:rsid w:val="20DD6F3A"/>
    <w:rsid w:val="2A067565"/>
    <w:rsid w:val="2FBA25EF"/>
    <w:rsid w:val="338A2696"/>
    <w:rsid w:val="46205F36"/>
    <w:rsid w:val="4FE75B79"/>
    <w:rsid w:val="4FFE7642"/>
    <w:rsid w:val="586A25AC"/>
    <w:rsid w:val="5A563DF8"/>
    <w:rsid w:val="60950263"/>
    <w:rsid w:val="6DF42226"/>
    <w:rsid w:val="760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next w:val="1"/>
    <w:qFormat/>
    <w:uiPriority w:val="0"/>
    <w:pPr>
      <w:keepNext/>
      <w:keepLines/>
      <w:widowControl w:val="0"/>
      <w:spacing w:line="413" w:lineRule="auto"/>
      <w:jc w:val="both"/>
      <w:outlineLvl w:val="1"/>
    </w:pPr>
    <w:rPr>
      <w:rFonts w:ascii="Arial" w:hAnsi="Arial" w:eastAsia="楷体_GB2312"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0"/>
    <w:pPr>
      <w:widowControl w:val="0"/>
      <w:jc w:val="both"/>
    </w:pPr>
    <w:rPr>
      <w:rFonts w:ascii="Arial" w:hAnsi="Arial" w:eastAsia="宋体" w:cs="Times New Roman"/>
      <w:kern w:val="2"/>
      <w:sz w:val="24"/>
      <w:szCs w:val="24"/>
      <w:lang w:val="en-US" w:eastAsia="zh-CN" w:bidi="ar-SA"/>
    </w:rPr>
  </w:style>
  <w:style w:type="paragraph" w:styleId="5">
    <w:name w:val="footer"/>
    <w:unhideWhenUsed/>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正文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2023-06-12T02:19:00Z</dcterms:created>
  <dc:creator>FLSWJ</dc:creator>
  <cp:lastModifiedBy>张云霞</cp:lastModifiedBy>
  <dcterms:modified xsi:type="dcterms:W3CDTF">2024-02-19T02:59:39Z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2CA1D4CF06EB4A99ADE1ECE207F72A7D</vt:lpwstr>
  </property>
</Properties>
</file>