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t>珠海市统计局关于统计守信</w:t>
      </w:r>
      <w:r>
        <w:rPr>
          <w:rFonts w:hint="eastAsia" w:ascii="方正小标宋简体" w:hAnsi="方正小标宋简体" w:eastAsia="方正小标宋简体" w:cs="方正小标宋简体"/>
          <w:bCs/>
          <w:color w:val="auto"/>
          <w:sz w:val="44"/>
          <w:szCs w:val="44"/>
          <w:lang w:val="en-US" w:eastAsia="zh-CN"/>
        </w:rPr>
        <w:t>A级</w:t>
      </w:r>
      <w:r>
        <w:rPr>
          <w:rFonts w:hint="eastAsia" w:ascii="方正小标宋简体" w:hAnsi="方正小标宋简体" w:eastAsia="方正小标宋简体" w:cs="方正小标宋简体"/>
          <w:bCs/>
          <w:color w:val="auto"/>
          <w:sz w:val="44"/>
          <w:szCs w:val="44"/>
          <w:lang w:eastAsia="zh-CN"/>
        </w:rPr>
        <w:t>企业</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hint="eastAsia" w:ascii="方正小标宋_GBK" w:hAnsi="方正小标宋_GBK" w:eastAsia="方正小标宋_GBK" w:cs="方正小标宋_GBK"/>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t>认定工作实施方案</w:t>
      </w:r>
    </w:p>
    <w:p>
      <w:pPr>
        <w:adjustRightInd w:val="0"/>
        <w:snapToGrid w:val="0"/>
        <w:spacing w:line="336" w:lineRule="auto"/>
        <w:ind w:firstLine="640" w:firstLineChars="200"/>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深入贯彻落实《关于更加有效发挥统计监督职能作用的意见》精神，落实《关于推进社会信用体系建设高质量发展促进形成新发展格局的意见》，根据《中华人民共和国统计法》《中华人民共和国统计法实施条例》《广东省统计条例》《广东省统计局企业统计信用管理办法》《广东省统计局统计诚信示范企业认定工作方案》，制定本实施方案。</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一、指导思想</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坚持以习近平新时代中国特色社会主义思想为指导，深入贯彻落实</w:t>
      </w:r>
      <w:r>
        <w:rPr>
          <w:rFonts w:hint="eastAsia" w:ascii="仿宋_GB2312" w:hAnsi="仿宋_GB2312" w:eastAsia="仿宋_GB2312" w:cs="仿宋_GB2312"/>
          <w:color w:val="auto"/>
          <w:sz w:val="32"/>
          <w:szCs w:val="32"/>
          <w:lang w:eastAsia="zh-CN"/>
        </w:rPr>
        <w:t>《关于更加有效发挥统计监督职能作用的意见》精神，推进全市统计领域诚信建设，引导企业依法统计、诚信统计，营造支持统计、配合统计的良好氛围，进一步夯实统计数据质量。</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二、基本原则</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（一）自主自愿。</w:t>
      </w:r>
      <w:r>
        <w:rPr>
          <w:rFonts w:hint="eastAsia" w:ascii="仿宋_GB2312" w:hAnsi="仿宋_GB2312" w:eastAsia="仿宋_GB2312" w:cs="仿宋_GB2312"/>
          <w:color w:val="auto"/>
          <w:sz w:val="32"/>
          <w:szCs w:val="32"/>
          <w:lang w:val="en-US" w:eastAsia="zh-CN"/>
        </w:rPr>
        <w:t>符合条件的企业自主申报、自愿承诺，形成以企业主动创建为主、统计部门引导推动、信用服务机构及社会舆论广泛参与的工作格局。</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（二）实事求是。</w:t>
      </w:r>
      <w:r>
        <w:rPr>
          <w:rFonts w:hint="eastAsia" w:ascii="仿宋_GB2312" w:hAnsi="仿宋_GB2312" w:eastAsia="仿宋_GB2312" w:cs="仿宋_GB2312"/>
          <w:color w:val="auto"/>
          <w:sz w:val="32"/>
          <w:szCs w:val="32"/>
          <w:lang w:val="en-US" w:eastAsia="zh-CN"/>
        </w:rPr>
        <w:t>坚持以事实为依据、以法律为准绳进行申报、审核和认定，申报企业对参评过程中所提供信息的真实性负责，审核认定机构要全面准确了解情况，防止以偏概全，杜绝弄虚作假。认定工作不收取任何费用。</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（三）公平公正。</w:t>
      </w:r>
      <w:r>
        <w:rPr>
          <w:rFonts w:hint="eastAsia" w:ascii="仿宋_GB2312" w:hAnsi="仿宋_GB2312" w:eastAsia="仿宋_GB2312" w:cs="仿宋_GB2312"/>
          <w:color w:val="auto"/>
          <w:sz w:val="32"/>
          <w:szCs w:val="32"/>
          <w:lang w:val="en-US" w:eastAsia="zh-CN"/>
        </w:rPr>
        <w:t>统一标准规范，严格工作程序，坚持优中选优，确保统计守信A级企业认定公平、公正、科学，切实发挥引领作用。</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三、职责分工</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统计局成立认定工作小组，由分管法治工作局领导任组长，各专业科室、执法监督科负责人任组员，负责组织全市统计守信A级企业的认定活动，做好组织领导、综合评估、结果认定工作。日常工作协调、资料收集、认定公示等工作由执法监督科负责。各区（功能区）统计局负责宣传动员、企业培育、业务辅导、企业申报、资格审查等工作。</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四、认定流程</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统计守信A级企业认定坚持依法、公正、公平、公开、择优，按照统一的工作流程及审核标准进行认定。</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（一）申报范围</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认定工作在统计调查企业中开展，全市范围内承担法定的统计资料报送义务且未在其他领域被列入“黑名单”的企业均可申报。其中“一套表调查单位”可作为重点培育对象。</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（二）认定数量</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结合全市实际，每年统计守信A级企业认定数量按照全市“一套表调查单位”总数1%以内的比例控制。各区（功能区）每年按照该比例做好统计守信A级企业宣传动员、企业培育、资格审查工作。</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（三）申报、认定、公布</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采取企业自荐和各区（功能区）统计局推荐相结合的方式，由企业申报并填写《统计守信A级企业申报表》和《调查企业诚信统计承诺书》，申报企业统计从业人员填写《统计从业人员守信承诺书》，各区（功能区）统计局对申报资格进行初步审核。</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认定：市统计局统一对申报企业进行综合评估，坚持优中选优的原则确定统计守信A级企业拟认定名单。经过公示程序后，最终确定认定结果。</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公布：对认定的统计守信A级企业，通过市统计局网站、统计微信、统计联网直报平台等官方渠道进行公布，自公布之日起有效期为2年。</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五、申报条件及认定标准</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（一）申报条件</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1.为履行法定的统计资料报送义务提供组织、人员和工作条件保障，设立独立或相对独立的统计部门负责组织协调统计工作；</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2.按照国家有关规定设置原始记录、统计台账，建立健全统计资料的审核、签署、交接、归档等管理制度；</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3.执行统计调查制度，真实、准确、完整、及时地提供统计调查所需资料；</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4.积极配合统计执法检查、统计数据核查和统计普法宣传等工作；</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5.统计负责人、统计人员连续在岗从事统计工作2年以上，积极参加统计培训及统计工作布置会议等；</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6.2年内无任何违反统计法律法规和统计调查制度的行为;未发现有任何违反统计法律法规和统计调查制度的行为正处于公示期内；未在其他领域被列入失信名单；</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7.无《广东省统计局企业统计信用管理办法》第九、十、十一条情形。</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（二）认定标准</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1.满足本方案第五部分第（一）项所列全部申报条件；</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2.企业申报信息真实，愿意配合开展调查、宣传等相关工作；</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3.认真履行企业应尽的统计法定义务，执行统计法律法规和统计制度，保证本企业统计工作正常开展，高质量完成政府统计调查任务；</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4.自觉规范统计行为、抵制弄虚作假、维护独立报数权利，在保障企业统计数据真实性方面表现突出；</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5.重视统计在本企业决策管理中的重要作用，充分运用统计信息为企业生产经营服务；</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6.符合法律法规规章和认定工作实际的其他要求。</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六、工作步骤</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统计守信A级企业认定工作分四个阶段，由认定工作小组统一组织。</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第一阶段：宣传动员（每年1-3月）</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组织宣传发动工作。通过市统计局网站、统计微信、统计联网直报平台等通知相关事宜、动员准备。</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第二阶段：申报审核（每年4-6月）</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（一）企业申报。符合条件的企业自主填写《统计守信A级企业申报表》和《调查企业诚信统计承诺书》《统计从业人员守信承诺书》，并报送所在区（功能区）统计局。</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（二）资格审核。各区（功能区）统计局对企业申报材料进行初步审核后，报送市统计局，市统计局收到相关材料后对申报企业资格条件进行复审。通过资格复审的企业，列入候选名单。</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第三阶段：评估公示（每年7-9月）</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（一）评估。对列入候选名单的企业，由认定工作小组进行审核和综合评估，从中选拔出制度健全、基础扎实、统计数据质量较好的企业列入统计守信A级企业拟认定名单并报市统计</w:t>
      </w:r>
      <w:r>
        <w:rPr>
          <w:rFonts w:hint="eastAsia" w:ascii="仿宋_GB2312" w:hAnsi="仿宋_GB2312" w:eastAsia="仿宋_GB2312" w:cs="仿宋_GB2312"/>
          <w:color w:val="auto"/>
          <w:sz w:val="32"/>
          <w:szCs w:val="32"/>
          <w:highlight w:val="none"/>
          <w:lang w:val="en-US" w:eastAsia="zh-CN"/>
        </w:rPr>
        <w:t>局局</w:t>
      </w:r>
      <w:r>
        <w:rPr>
          <w:rFonts w:hint="eastAsia" w:ascii="仿宋_GB2312" w:hAnsi="仿宋_GB2312" w:eastAsia="仿宋_GB2312" w:cs="仿宋_GB2312"/>
          <w:color w:val="auto"/>
          <w:sz w:val="32"/>
          <w:szCs w:val="32"/>
          <w:lang w:val="en-US" w:eastAsia="zh-CN"/>
        </w:rPr>
        <w:t>务会议审议。</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（二）公示。对列入拟认定名单的企业，在市统计局网站进行公示，公示期7天。公示期间有异议经核查属实的，取消认定资格。</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第四阶段：认定激励（每年10-11月）</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1.对“统计守信A级企业”及企业统计负责人、统计人员进行通报，并在珠海统计信息网、“珠海统计”微信公众号等平台公布认定结果；</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2.上报省统计局，公布有效期内在省、市、区级统计机构组织开展的统计执法“双随机”检查中免于检查；</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结合《珠海市优质诚信企业认定实施方案》相关规定，将“统计守信A级企业”作为珠海市统计领域诚信企业，重点推荐参评“珠海市优质诚信企业”。符合条件的企业经认定后，可享受珠海市优质诚信企业相应守信激励措施（见附件4）。</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七、统计守信A级企业的管理与培育</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（一）统计守信A级企业的管理</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1.对统计守信A级企业实行动态管理。日常监管以各区（功能区）统计局为主体，市统计局专业科室为辅助，协同对统计守信A级企业进行监督、指导、服务，推动统计守信A级企业各项统计工作不断提升。</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2.统计守信A级企业应接受社会监督，主动听取社会意见。</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3.统计守信A级企业两年有效期内，发生合并或者分立等情况时，应重新申报。</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4.统计守信A级企业两年有效期内发现存在统计违法行为或者其他违法行为，不再符合统计守信标准的，经认定机构审核后，移除统计守信A级企业名单。</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5.统计守信A级企业两年有效期满，根据统计法律法规和认定工作要求，由市统计局组织对相关企业情况进行复核，复核通过的，予以保留；复核未通过的，移除统计守信A级企业名单。</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（二）统计守信A级企业的培育</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强统计守信A级企业的培育，对于有意愿参与认定但又不完全符合统计守信A级企业认定标准的企业，经认定工作小组批准，可纳入培育计划。两年内在接受国家、省、市统计局执法检查中未发现数据差错的企业，可优先纳入培育计划。</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2.市统计局加强对培育企业的督导，帮助指导企业、培训统计人员、建立健全各项统计规章制度，强化基础工作规范化建设，不断提升统计业务能力和水平。</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附件：1.统计守信A级企业申报材料</w:t>
      </w:r>
    </w:p>
    <w:p>
      <w:pPr>
        <w:keepNext w:val="0"/>
        <w:keepLines w:val="0"/>
        <w:pageBreakBefore w:val="0"/>
        <w:widowControl w:val="0"/>
        <w:kinsoku/>
        <w:wordWrap/>
        <w:overflowPunct/>
        <w:topLinePunct w:val="0"/>
        <w:autoSpaceDE/>
        <w:autoSpaceDN/>
        <w:bidi w:val="0"/>
        <w:adjustRightInd w:val="0"/>
        <w:snapToGrid w:val="0"/>
        <w:spacing w:line="336"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2.调查企业诚信统计承诺书</w:t>
      </w:r>
    </w:p>
    <w:p>
      <w:pPr>
        <w:keepNext w:val="0"/>
        <w:keepLines w:val="0"/>
        <w:pageBreakBefore w:val="0"/>
        <w:widowControl w:val="0"/>
        <w:kinsoku/>
        <w:wordWrap/>
        <w:overflowPunct/>
        <w:topLinePunct w:val="0"/>
        <w:autoSpaceDE/>
        <w:autoSpaceDN/>
        <w:bidi w:val="0"/>
        <w:adjustRightInd w:val="0"/>
        <w:snapToGrid w:val="0"/>
        <w:spacing w:line="336"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3.统计从业人员守信承诺书</w:t>
      </w:r>
    </w:p>
    <w:p>
      <w:pPr>
        <w:keepNext w:val="0"/>
        <w:keepLines w:val="0"/>
        <w:pageBreakBefore w:val="0"/>
        <w:widowControl w:val="0"/>
        <w:kinsoku/>
        <w:wordWrap/>
        <w:overflowPunct/>
        <w:topLinePunct w:val="0"/>
        <w:autoSpaceDE/>
        <w:autoSpaceDN/>
        <w:bidi w:val="0"/>
        <w:adjustRightInd w:val="0"/>
        <w:snapToGrid w:val="0"/>
        <w:spacing w:line="336" w:lineRule="auto"/>
        <w:ind w:firstLine="1600" w:firstLineChars="5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珠海市优质诚信企业认定实施方案</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黑体" w:hAnsi="黑体" w:eastAsia="黑体" w:cs="黑体"/>
          <w:color w:val="auto"/>
          <w:kern w:val="0"/>
          <w:sz w:val="32"/>
          <w:szCs w:val="48"/>
        </w:rPr>
      </w:pPr>
      <w:r>
        <w:rPr>
          <w:rFonts w:hint="eastAsia" w:ascii="仿宋_GB2312" w:hAnsi="仿宋_GB2312" w:eastAsia="仿宋_GB2312" w:cs="仿宋_GB2312"/>
          <w:color w:val="auto"/>
          <w:sz w:val="32"/>
          <w:szCs w:val="32"/>
          <w:lang w:eastAsia="zh-CN"/>
        </w:rPr>
        <w:br w:type="page"/>
      </w:r>
      <w:r>
        <w:rPr>
          <w:rFonts w:hint="eastAsia" w:ascii="黑体" w:hAnsi="黑体" w:eastAsia="黑体" w:cs="黑体"/>
          <w:color w:val="auto"/>
          <w:sz w:val="32"/>
          <w:szCs w:val="32"/>
        </w:rPr>
        <w:t>附件1</w:t>
      </w:r>
    </w:p>
    <w:p>
      <w:pPr>
        <w:spacing w:line="360" w:lineRule="auto"/>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lang w:val="en-US" w:eastAsia="zh-CN"/>
        </w:rPr>
        <w:t>XX市</w:t>
      </w:r>
      <w:r>
        <w:rPr>
          <w:rFonts w:hint="eastAsia" w:ascii="方正小标宋简体" w:hAnsi="方正小标宋简体" w:eastAsia="方正小标宋简体" w:cs="方正小标宋简体"/>
          <w:color w:val="auto"/>
          <w:kern w:val="0"/>
          <w:sz w:val="44"/>
          <w:szCs w:val="44"/>
        </w:rPr>
        <w:t>统计</w:t>
      </w:r>
      <w:r>
        <w:rPr>
          <w:rFonts w:hint="eastAsia" w:ascii="方正小标宋简体" w:hAnsi="方正小标宋简体" w:eastAsia="方正小标宋简体" w:cs="方正小标宋简体"/>
          <w:color w:val="auto"/>
          <w:kern w:val="0"/>
          <w:sz w:val="44"/>
          <w:szCs w:val="44"/>
          <w:lang w:eastAsia="zh-CN"/>
        </w:rPr>
        <w:t>守信</w:t>
      </w:r>
      <w:r>
        <w:rPr>
          <w:rFonts w:hint="eastAsia" w:ascii="方正小标宋简体" w:hAnsi="方正小标宋简体" w:eastAsia="方正小标宋简体" w:cs="方正小标宋简体"/>
          <w:color w:val="auto"/>
          <w:kern w:val="0"/>
          <w:sz w:val="44"/>
          <w:szCs w:val="44"/>
          <w:lang w:val="en-US" w:eastAsia="zh-CN"/>
        </w:rPr>
        <w:t>A级</w:t>
      </w:r>
      <w:r>
        <w:rPr>
          <w:rFonts w:hint="eastAsia" w:ascii="方正小标宋简体" w:hAnsi="方正小标宋简体" w:eastAsia="方正小标宋简体" w:cs="方正小标宋简体"/>
          <w:color w:val="auto"/>
          <w:kern w:val="0"/>
          <w:sz w:val="44"/>
          <w:szCs w:val="44"/>
        </w:rPr>
        <w:t>企业</w:t>
      </w:r>
    </w:p>
    <w:p>
      <w:pPr>
        <w:spacing w:line="360" w:lineRule="auto"/>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申报材料</w:t>
      </w:r>
    </w:p>
    <w:p>
      <w:pPr>
        <w:spacing w:line="360" w:lineRule="auto"/>
        <w:ind w:right="84" w:rightChars="40"/>
        <w:jc w:val="center"/>
        <w:rPr>
          <w:rFonts w:hint="eastAsia" w:ascii="仿宋_GB2312" w:hAnsi="仿宋_GB2312" w:eastAsia="仿宋_GB2312" w:cs="仿宋_GB2312"/>
          <w:b/>
          <w:color w:val="auto"/>
          <w:kern w:val="0"/>
          <w:sz w:val="32"/>
          <w:szCs w:val="48"/>
        </w:rPr>
      </w:pPr>
    </w:p>
    <w:p>
      <w:pPr>
        <w:spacing w:line="360" w:lineRule="auto"/>
        <w:ind w:right="84" w:rightChars="40"/>
        <w:jc w:val="center"/>
        <w:rPr>
          <w:rFonts w:hint="eastAsia" w:ascii="仿宋_GB2312" w:hAnsi="仿宋_GB2312" w:eastAsia="仿宋_GB2312" w:cs="仿宋_GB2312"/>
          <w:b/>
          <w:color w:val="auto"/>
          <w:kern w:val="0"/>
          <w:sz w:val="32"/>
          <w:szCs w:val="48"/>
        </w:rPr>
      </w:pPr>
    </w:p>
    <w:p>
      <w:pPr>
        <w:spacing w:line="360" w:lineRule="auto"/>
        <w:ind w:right="84" w:rightChars="40"/>
        <w:jc w:val="center"/>
        <w:rPr>
          <w:rFonts w:hint="eastAsia" w:ascii="仿宋_GB2312" w:hAnsi="仿宋_GB2312" w:eastAsia="仿宋_GB2312" w:cs="仿宋_GB2312"/>
          <w:b/>
          <w:color w:val="auto"/>
          <w:kern w:val="0"/>
          <w:sz w:val="32"/>
          <w:szCs w:val="48"/>
        </w:rPr>
      </w:pPr>
    </w:p>
    <w:p>
      <w:pPr>
        <w:spacing w:line="360" w:lineRule="auto"/>
        <w:ind w:right="84" w:rightChars="40"/>
        <w:jc w:val="center"/>
        <w:rPr>
          <w:rFonts w:hint="eastAsia" w:ascii="仿宋_GB2312" w:hAnsi="仿宋_GB2312" w:eastAsia="仿宋_GB2312" w:cs="仿宋_GB2312"/>
          <w:b/>
          <w:color w:val="auto"/>
          <w:kern w:val="0"/>
          <w:sz w:val="32"/>
          <w:szCs w:val="48"/>
        </w:rPr>
      </w:pPr>
    </w:p>
    <w:p>
      <w:pPr>
        <w:spacing w:line="360" w:lineRule="auto"/>
        <w:ind w:right="84" w:rightChars="40" w:firstLine="800" w:firstLineChars="250"/>
        <w:rPr>
          <w:rFonts w:hint="eastAsia" w:ascii="仿宋_GB2312" w:hAnsi="仿宋_GB2312" w:eastAsia="仿宋_GB2312" w:cs="仿宋_GB2312"/>
          <w:color w:val="auto"/>
          <w:kern w:val="0"/>
          <w:sz w:val="32"/>
          <w:szCs w:val="30"/>
          <w:u w:val="single"/>
        </w:rPr>
      </w:pPr>
      <w:r>
        <w:rPr>
          <w:rFonts w:hint="eastAsia" w:ascii="仿宋_GB2312" w:hAnsi="仿宋_GB2312" w:eastAsia="仿宋_GB2312" w:cs="仿宋_GB2312"/>
          <w:color w:val="auto"/>
          <w:kern w:val="0"/>
          <w:sz w:val="32"/>
          <w:szCs w:val="30"/>
        </w:rPr>
        <w:t>申报企业：</w:t>
      </w:r>
      <w:r>
        <w:rPr>
          <w:rFonts w:hint="eastAsia" w:ascii="仿宋_GB2312" w:hAnsi="仿宋_GB2312" w:eastAsia="仿宋_GB2312" w:cs="仿宋_GB2312"/>
          <w:color w:val="auto"/>
          <w:kern w:val="0"/>
          <w:sz w:val="32"/>
          <w:szCs w:val="30"/>
          <w:u w:val="single"/>
        </w:rPr>
        <w:t xml:space="preserve">                                   </w:t>
      </w:r>
    </w:p>
    <w:p>
      <w:pPr>
        <w:spacing w:line="360" w:lineRule="auto"/>
        <w:ind w:right="84" w:rightChars="40"/>
        <w:rPr>
          <w:rFonts w:hint="eastAsia" w:ascii="仿宋_GB2312" w:hAnsi="仿宋_GB2312" w:eastAsia="仿宋_GB2312" w:cs="仿宋_GB2312"/>
          <w:color w:val="auto"/>
          <w:kern w:val="0"/>
          <w:sz w:val="32"/>
          <w:szCs w:val="30"/>
        </w:rPr>
      </w:pPr>
    </w:p>
    <w:p>
      <w:pPr>
        <w:spacing w:line="360" w:lineRule="auto"/>
        <w:ind w:right="84" w:rightChars="40" w:firstLine="800" w:firstLineChars="250"/>
        <w:rPr>
          <w:rFonts w:hint="eastAsia" w:ascii="仿宋_GB2312" w:hAnsi="仿宋_GB2312" w:eastAsia="仿宋_GB2312" w:cs="仿宋_GB2312"/>
          <w:color w:val="auto"/>
          <w:kern w:val="0"/>
          <w:sz w:val="32"/>
          <w:szCs w:val="30"/>
        </w:rPr>
      </w:pPr>
      <w:r>
        <w:rPr>
          <w:rFonts w:hint="eastAsia" w:ascii="仿宋_GB2312" w:hAnsi="仿宋_GB2312" w:eastAsia="仿宋_GB2312" w:cs="仿宋_GB2312"/>
          <w:color w:val="auto"/>
          <w:kern w:val="0"/>
          <w:sz w:val="32"/>
          <w:szCs w:val="30"/>
        </w:rPr>
        <w:t>填表日期：</w:t>
      </w:r>
      <w:r>
        <w:rPr>
          <w:rFonts w:hint="eastAsia" w:ascii="仿宋_GB2312" w:hAnsi="仿宋_GB2312" w:eastAsia="仿宋_GB2312" w:cs="仿宋_GB2312"/>
          <w:color w:val="auto"/>
          <w:kern w:val="0"/>
          <w:sz w:val="32"/>
          <w:szCs w:val="30"/>
          <w:u w:val="single"/>
        </w:rPr>
        <w:t xml:space="preserve">                                   </w:t>
      </w:r>
      <w:r>
        <w:rPr>
          <w:rFonts w:hint="eastAsia" w:ascii="仿宋_GB2312" w:hAnsi="仿宋_GB2312" w:eastAsia="仿宋_GB2312" w:cs="仿宋_GB2312"/>
          <w:color w:val="auto"/>
          <w:kern w:val="0"/>
          <w:sz w:val="32"/>
          <w:szCs w:val="30"/>
        </w:rPr>
        <w:t xml:space="preserve">     </w:t>
      </w:r>
    </w:p>
    <w:p>
      <w:pPr>
        <w:spacing w:line="360" w:lineRule="auto"/>
        <w:ind w:right="84" w:rightChars="40" w:firstLine="800" w:firstLineChars="250"/>
        <w:rPr>
          <w:rFonts w:hint="eastAsia" w:ascii="仿宋_GB2312" w:hAnsi="仿宋_GB2312" w:eastAsia="仿宋_GB2312" w:cs="仿宋_GB2312"/>
          <w:color w:val="auto"/>
          <w:kern w:val="0"/>
          <w:sz w:val="32"/>
          <w:szCs w:val="30"/>
        </w:rPr>
      </w:pPr>
    </w:p>
    <w:p>
      <w:pPr>
        <w:spacing w:line="360" w:lineRule="auto"/>
        <w:ind w:right="84" w:rightChars="40" w:firstLine="800" w:firstLineChars="250"/>
        <w:rPr>
          <w:rFonts w:hint="eastAsia" w:ascii="仿宋_GB2312" w:hAnsi="仿宋_GB2312" w:eastAsia="仿宋_GB2312" w:cs="仿宋_GB2312"/>
          <w:color w:val="auto"/>
          <w:kern w:val="0"/>
          <w:sz w:val="32"/>
          <w:szCs w:val="30"/>
        </w:rPr>
      </w:pPr>
    </w:p>
    <w:p>
      <w:pPr>
        <w:spacing w:after="120" w:afterLines="50" w:line="360" w:lineRule="auto"/>
        <w:ind w:right="84" w:rightChars="40"/>
        <w:jc w:val="center"/>
        <w:rPr>
          <w:rFonts w:hint="eastAsia" w:ascii="仿宋_GB2312" w:hAnsi="仿宋_GB2312" w:eastAsia="仿宋_GB2312" w:cs="仿宋_GB2312"/>
          <w:b/>
          <w:color w:val="auto"/>
          <w:kern w:val="0"/>
          <w:sz w:val="32"/>
          <w:szCs w:val="30"/>
        </w:rPr>
      </w:pPr>
    </w:p>
    <w:p>
      <w:pPr>
        <w:keepNext w:val="0"/>
        <w:keepLines w:val="0"/>
        <w:pageBreakBefore w:val="0"/>
        <w:widowControl w:val="0"/>
        <w:kinsoku/>
        <w:wordWrap/>
        <w:overflowPunct/>
        <w:topLinePunct w:val="0"/>
        <w:autoSpaceDE/>
        <w:autoSpaceDN/>
        <w:bidi w:val="0"/>
        <w:adjustRightInd/>
        <w:snapToGrid w:val="0"/>
        <w:spacing w:after="120" w:afterLines="50" w:line="240" w:lineRule="auto"/>
        <w:ind w:right="84" w:rightChars="40"/>
        <w:jc w:val="center"/>
        <w:textAlignment w:val="auto"/>
        <w:rPr>
          <w:rFonts w:hint="eastAsia" w:ascii="仿宋_GB2312" w:hAnsi="仿宋_GB2312" w:eastAsia="仿宋_GB2312" w:cs="仿宋_GB2312"/>
          <w:b/>
          <w:color w:val="auto"/>
          <w:kern w:val="0"/>
          <w:sz w:val="32"/>
          <w:szCs w:val="30"/>
        </w:rPr>
      </w:pPr>
      <w:r>
        <w:rPr>
          <w:rFonts w:hint="eastAsia" w:ascii="仿宋_GB2312" w:hAnsi="仿宋_GB2312" w:eastAsia="仿宋_GB2312" w:cs="仿宋_GB2312"/>
          <w:b/>
          <w:color w:val="auto"/>
          <w:kern w:val="0"/>
          <w:sz w:val="32"/>
          <w:szCs w:val="30"/>
        </w:rPr>
        <w:br w:type="page"/>
      </w:r>
      <w:r>
        <w:rPr>
          <w:rFonts w:hint="eastAsia" w:ascii="方正小标宋简体" w:hAnsi="方正小标宋简体" w:eastAsia="方正小标宋简体" w:cs="方正小标宋简体"/>
          <w:color w:val="auto"/>
          <w:kern w:val="0"/>
          <w:sz w:val="44"/>
          <w:szCs w:val="44"/>
        </w:rPr>
        <w:t>统计</w:t>
      </w:r>
      <w:r>
        <w:rPr>
          <w:rFonts w:hint="eastAsia" w:ascii="方正小标宋简体" w:hAnsi="方正小标宋简体" w:eastAsia="方正小标宋简体" w:cs="方正小标宋简体"/>
          <w:color w:val="auto"/>
          <w:kern w:val="0"/>
          <w:sz w:val="44"/>
          <w:szCs w:val="44"/>
          <w:lang w:eastAsia="zh-CN"/>
        </w:rPr>
        <w:t>守信</w:t>
      </w:r>
      <w:r>
        <w:rPr>
          <w:rFonts w:hint="eastAsia" w:ascii="方正小标宋简体" w:hAnsi="方正小标宋简体" w:eastAsia="方正小标宋简体" w:cs="方正小标宋简体"/>
          <w:color w:val="auto"/>
          <w:kern w:val="0"/>
          <w:sz w:val="44"/>
          <w:szCs w:val="44"/>
          <w:lang w:val="en-US" w:eastAsia="zh-CN"/>
        </w:rPr>
        <w:t>A级</w:t>
      </w:r>
      <w:r>
        <w:rPr>
          <w:rFonts w:hint="eastAsia" w:ascii="方正小标宋简体" w:hAnsi="方正小标宋简体" w:eastAsia="方正小标宋简体" w:cs="方正小标宋简体"/>
          <w:color w:val="auto"/>
          <w:kern w:val="0"/>
          <w:sz w:val="44"/>
          <w:szCs w:val="44"/>
        </w:rPr>
        <w:t>企业申报表</w:t>
      </w:r>
    </w:p>
    <w:tbl>
      <w:tblPr>
        <w:tblStyle w:val="7"/>
        <w:tblW w:w="10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685"/>
        <w:gridCol w:w="1349"/>
        <w:gridCol w:w="1355"/>
        <w:gridCol w:w="1363"/>
        <w:gridCol w:w="1517"/>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30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distribute"/>
              <w:textAlignment w:val="auto"/>
              <w:rPr>
                <w:rFonts w:hint="eastAsia" w:ascii="宋体" w:hAnsi="宋体" w:eastAsia="宋体" w:cs="宋体"/>
                <w:b/>
                <w:color w:val="auto"/>
                <w:sz w:val="21"/>
                <w:szCs w:val="21"/>
              </w:rPr>
            </w:pPr>
            <w:r>
              <w:rPr>
                <w:rFonts w:hint="eastAsia" w:ascii="宋体" w:hAnsi="宋体" w:eastAsia="宋体" w:cs="宋体"/>
                <w:b/>
                <w:color w:val="auto"/>
                <w:kern w:val="0"/>
                <w:sz w:val="21"/>
                <w:szCs w:val="21"/>
              </w:rPr>
              <w:t>申报企业名称</w:t>
            </w:r>
          </w:p>
        </w:tc>
        <w:tc>
          <w:tcPr>
            <w:tcW w:w="767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30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distribute"/>
              <w:textAlignment w:val="auto"/>
              <w:rPr>
                <w:rFonts w:hint="eastAsia" w:ascii="宋体" w:hAnsi="宋体" w:eastAsia="宋体" w:cs="宋体"/>
                <w:b/>
                <w:color w:val="auto"/>
                <w:sz w:val="21"/>
                <w:szCs w:val="21"/>
              </w:rPr>
            </w:pPr>
            <w:r>
              <w:rPr>
                <w:rFonts w:hint="eastAsia" w:ascii="宋体" w:hAnsi="宋体" w:eastAsia="宋体" w:cs="宋体"/>
                <w:b/>
                <w:color w:val="auto"/>
                <w:kern w:val="0"/>
                <w:sz w:val="21"/>
                <w:szCs w:val="21"/>
              </w:rPr>
              <w:t>统一社会信用代码</w:t>
            </w:r>
          </w:p>
        </w:tc>
        <w:tc>
          <w:tcPr>
            <w:tcW w:w="767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30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distribute"/>
              <w:textAlignment w:val="auto"/>
              <w:rPr>
                <w:rFonts w:hint="eastAsia" w:ascii="宋体" w:hAnsi="宋体" w:eastAsia="宋体" w:cs="宋体"/>
                <w:b/>
                <w:color w:val="auto"/>
                <w:sz w:val="21"/>
                <w:szCs w:val="21"/>
              </w:rPr>
            </w:pPr>
            <w:r>
              <w:rPr>
                <w:rFonts w:hint="eastAsia" w:ascii="宋体" w:hAnsi="宋体" w:eastAsia="宋体" w:cs="宋体"/>
                <w:b/>
                <w:color w:val="auto"/>
                <w:kern w:val="0"/>
                <w:sz w:val="21"/>
                <w:szCs w:val="21"/>
              </w:rPr>
              <w:t>经营地址</w:t>
            </w:r>
          </w:p>
        </w:tc>
        <w:tc>
          <w:tcPr>
            <w:tcW w:w="40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法定代表人</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30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distribute"/>
              <w:textAlignment w:val="auto"/>
              <w:rPr>
                <w:rFonts w:hint="eastAsia" w:ascii="宋体" w:hAnsi="宋体" w:eastAsia="宋体" w:cs="宋体"/>
                <w:b/>
                <w:color w:val="auto"/>
                <w:sz w:val="21"/>
                <w:szCs w:val="21"/>
              </w:rPr>
            </w:pPr>
            <w:r>
              <w:rPr>
                <w:rFonts w:hint="eastAsia" w:ascii="宋体" w:hAnsi="宋体" w:eastAsia="宋体" w:cs="宋体"/>
                <w:b/>
                <w:color w:val="auto"/>
                <w:kern w:val="0"/>
                <w:sz w:val="21"/>
                <w:szCs w:val="21"/>
              </w:rPr>
              <w:t>所属行业</w:t>
            </w:r>
          </w:p>
        </w:tc>
        <w:tc>
          <w:tcPr>
            <w:tcW w:w="40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kern w:val="0"/>
                <w:sz w:val="21"/>
                <w:szCs w:val="21"/>
              </w:rPr>
              <w:t>统计负责人</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30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distribute"/>
              <w:textAlignment w:val="auto"/>
              <w:rPr>
                <w:rFonts w:hint="eastAsia" w:ascii="宋体" w:hAnsi="宋体" w:eastAsia="宋体" w:cs="宋体"/>
                <w:b/>
                <w:color w:val="auto"/>
                <w:sz w:val="21"/>
                <w:szCs w:val="21"/>
              </w:rPr>
            </w:pPr>
            <w:r>
              <w:rPr>
                <w:rFonts w:hint="eastAsia" w:ascii="宋体" w:hAnsi="宋体" w:eastAsia="宋体" w:cs="宋体"/>
                <w:b/>
                <w:color w:val="auto"/>
                <w:kern w:val="0"/>
                <w:sz w:val="21"/>
                <w:szCs w:val="21"/>
              </w:rPr>
              <w:t>承担统计工作部门名称</w:t>
            </w:r>
          </w:p>
        </w:tc>
        <w:tc>
          <w:tcPr>
            <w:tcW w:w="767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3002"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distribute"/>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统计人员基本情况</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岗位</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姓名</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年龄</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学历</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在本企业从事</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统计工作年限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3002"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distribute"/>
              <w:textAlignment w:val="auto"/>
              <w:rPr>
                <w:rFonts w:hint="eastAsia" w:ascii="宋体" w:hAnsi="宋体" w:eastAsia="宋体" w:cs="宋体"/>
                <w:b/>
                <w:color w:val="auto"/>
                <w:kern w:val="0"/>
                <w:sz w:val="21"/>
                <w:szCs w:val="21"/>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pacing w:val="-10"/>
                <w:sz w:val="21"/>
                <w:szCs w:val="21"/>
              </w:rPr>
            </w:pPr>
            <w:r>
              <w:rPr>
                <w:rFonts w:hint="eastAsia" w:ascii="宋体" w:hAnsi="宋体" w:eastAsia="宋体" w:cs="宋体"/>
                <w:b/>
                <w:color w:val="auto"/>
                <w:spacing w:val="-10"/>
                <w:sz w:val="21"/>
                <w:szCs w:val="21"/>
              </w:rPr>
              <w:t>统计员</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3002"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distribute"/>
              <w:textAlignment w:val="auto"/>
              <w:rPr>
                <w:rFonts w:hint="eastAsia" w:ascii="宋体" w:hAnsi="宋体" w:eastAsia="宋体" w:cs="宋体"/>
                <w:b/>
                <w:color w:val="auto"/>
                <w:kern w:val="0"/>
                <w:sz w:val="21"/>
                <w:szCs w:val="21"/>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其他</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3002"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distribute"/>
              <w:textAlignment w:val="auto"/>
              <w:rPr>
                <w:rFonts w:hint="eastAsia" w:ascii="宋体" w:hAnsi="宋体" w:eastAsia="宋体" w:cs="宋体"/>
                <w:b/>
                <w:color w:val="auto"/>
                <w:kern w:val="0"/>
                <w:sz w:val="21"/>
                <w:szCs w:val="21"/>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其他</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30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distribute"/>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两年内参加统计培训次数</w:t>
            </w:r>
          </w:p>
        </w:tc>
        <w:tc>
          <w:tcPr>
            <w:tcW w:w="27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 w:val="21"/>
                <w:szCs w:val="21"/>
              </w:rPr>
            </w:pP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distribute"/>
              <w:textAlignment w:val="auto"/>
              <w:rPr>
                <w:rFonts w:hint="eastAsia" w:ascii="宋体" w:hAnsi="宋体" w:eastAsia="宋体" w:cs="宋体"/>
                <w:b/>
                <w:color w:val="auto"/>
                <w:spacing w:val="-10"/>
                <w:kern w:val="0"/>
                <w:sz w:val="21"/>
                <w:szCs w:val="21"/>
              </w:rPr>
            </w:pPr>
            <w:r>
              <w:rPr>
                <w:rFonts w:hint="eastAsia" w:ascii="宋体" w:hAnsi="宋体" w:eastAsia="宋体" w:cs="宋体"/>
                <w:b/>
                <w:color w:val="auto"/>
                <w:spacing w:val="-10"/>
                <w:kern w:val="0"/>
                <w:sz w:val="21"/>
                <w:szCs w:val="21"/>
              </w:rPr>
              <w:t>统计原始记录是否真实准确</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0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distribute"/>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统计台账是否完整规范</w:t>
            </w:r>
          </w:p>
        </w:tc>
        <w:tc>
          <w:tcPr>
            <w:tcW w:w="27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 w:val="21"/>
                <w:szCs w:val="21"/>
              </w:rPr>
            </w:pP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distribute"/>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报送统计资料是否</w:t>
            </w:r>
          </w:p>
          <w:p>
            <w:pPr>
              <w:keepNext w:val="0"/>
              <w:keepLines w:val="0"/>
              <w:pageBreakBefore w:val="0"/>
              <w:widowControl w:val="0"/>
              <w:kinsoku/>
              <w:overflowPunct/>
              <w:topLinePunct w:val="0"/>
              <w:autoSpaceDE/>
              <w:autoSpaceDN/>
              <w:bidi w:val="0"/>
              <w:adjustRightInd/>
              <w:snapToGrid/>
              <w:spacing w:line="360" w:lineRule="exact"/>
              <w:jc w:val="distribute"/>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真实、准确、完整、及时</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30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distribute"/>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两年内是否存在违反统计法律法规和调查制度的行为</w:t>
            </w:r>
          </w:p>
        </w:tc>
        <w:tc>
          <w:tcPr>
            <w:tcW w:w="27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 w:val="21"/>
                <w:szCs w:val="21"/>
              </w:rPr>
            </w:pP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distribute"/>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两年内是否受到</w:t>
            </w:r>
          </w:p>
          <w:p>
            <w:pPr>
              <w:keepNext w:val="0"/>
              <w:keepLines w:val="0"/>
              <w:pageBreakBefore w:val="0"/>
              <w:widowControl w:val="0"/>
              <w:kinsoku/>
              <w:overflowPunct/>
              <w:topLinePunct w:val="0"/>
              <w:autoSpaceDE/>
              <w:autoSpaceDN/>
              <w:bidi w:val="0"/>
              <w:adjustRightInd/>
              <w:snapToGrid/>
              <w:spacing w:line="360" w:lineRule="exact"/>
              <w:jc w:val="distribute"/>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行政处罚或失信惩戒</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30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统</w:t>
            </w:r>
            <w:r>
              <w:rPr>
                <w:rFonts w:hint="eastAsia" w:ascii="宋体" w:hAnsi="宋体" w:eastAsia="宋体" w:cs="宋体"/>
                <w:b/>
                <w:color w:val="auto"/>
                <w:spacing w:val="-6"/>
                <w:kern w:val="0"/>
                <w:sz w:val="21"/>
                <w:szCs w:val="21"/>
              </w:rPr>
              <w:t>计负责人、统计人员遵守统计法律法规和国家有关规定情况</w:t>
            </w:r>
          </w:p>
        </w:tc>
        <w:tc>
          <w:tcPr>
            <w:tcW w:w="767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0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宋体" w:hAnsi="宋体" w:eastAsia="宋体" w:cs="宋体"/>
                <w:b/>
                <w:color w:val="auto"/>
                <w:kern w:val="0"/>
                <w:sz w:val="21"/>
                <w:szCs w:val="21"/>
              </w:rPr>
            </w:pPr>
            <w:r>
              <w:rPr>
                <w:rFonts w:hint="eastAsia" w:ascii="宋体" w:hAnsi="宋体" w:eastAsia="宋体" w:cs="宋体"/>
                <w:b/>
                <w:color w:val="auto"/>
                <w:spacing w:val="-10"/>
                <w:kern w:val="0"/>
                <w:sz w:val="21"/>
                <w:szCs w:val="21"/>
              </w:rPr>
              <w:t>两年内接受统计执法检查情况</w:t>
            </w:r>
            <w:r>
              <w:rPr>
                <w:rFonts w:hint="eastAsia" w:ascii="宋体" w:hAnsi="宋体" w:eastAsia="宋体" w:cs="宋体"/>
                <w:color w:val="auto"/>
                <w:kern w:val="0"/>
                <w:sz w:val="21"/>
                <w:szCs w:val="21"/>
              </w:rPr>
              <w:t>（有则注明检查时间、单位及结果，没有则填“无”）</w:t>
            </w:r>
          </w:p>
        </w:tc>
        <w:tc>
          <w:tcPr>
            <w:tcW w:w="767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30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宋体" w:hAnsi="宋体" w:eastAsia="宋体" w:cs="宋体"/>
                <w:b/>
                <w:color w:val="auto"/>
                <w:spacing w:val="-2"/>
                <w:kern w:val="0"/>
                <w:sz w:val="21"/>
                <w:szCs w:val="21"/>
              </w:rPr>
            </w:pPr>
            <w:r>
              <w:rPr>
                <w:rFonts w:hint="eastAsia" w:ascii="宋体" w:hAnsi="宋体" w:eastAsia="宋体" w:cs="宋体"/>
                <w:b/>
                <w:color w:val="auto"/>
                <w:spacing w:val="-2"/>
                <w:kern w:val="0"/>
                <w:sz w:val="21"/>
                <w:szCs w:val="21"/>
              </w:rPr>
              <w:t>县（市、区）统计局审核意见</w:t>
            </w:r>
          </w:p>
        </w:tc>
        <w:tc>
          <w:tcPr>
            <w:tcW w:w="767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30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pacing w:val="-2"/>
                <w:kern w:val="0"/>
                <w:sz w:val="21"/>
                <w:szCs w:val="21"/>
              </w:rPr>
            </w:pPr>
            <w:r>
              <w:rPr>
                <w:rFonts w:hint="eastAsia" w:ascii="宋体" w:hAnsi="宋体" w:eastAsia="宋体" w:cs="宋体"/>
                <w:b/>
                <w:color w:val="auto"/>
                <w:spacing w:val="-2"/>
                <w:kern w:val="0"/>
                <w:sz w:val="21"/>
                <w:szCs w:val="21"/>
              </w:rPr>
              <w:t>市统计局审核意见</w:t>
            </w:r>
          </w:p>
        </w:tc>
        <w:tc>
          <w:tcPr>
            <w:tcW w:w="767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9"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after="360" w:afterLines="150"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统</w:t>
            </w:r>
          </w:p>
          <w:p>
            <w:pPr>
              <w:keepNext w:val="0"/>
              <w:keepLines w:val="0"/>
              <w:pageBreakBefore w:val="0"/>
              <w:widowControl w:val="0"/>
              <w:kinsoku/>
              <w:overflowPunct/>
              <w:topLinePunct w:val="0"/>
              <w:autoSpaceDE/>
              <w:autoSpaceDN/>
              <w:bidi w:val="0"/>
              <w:adjustRightInd/>
              <w:snapToGrid/>
              <w:spacing w:after="360" w:afterLines="150"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计</w:t>
            </w:r>
          </w:p>
          <w:p>
            <w:pPr>
              <w:keepNext w:val="0"/>
              <w:keepLines w:val="0"/>
              <w:pageBreakBefore w:val="0"/>
              <w:widowControl w:val="0"/>
              <w:kinsoku/>
              <w:overflowPunct/>
              <w:topLinePunct w:val="0"/>
              <w:autoSpaceDE/>
              <w:autoSpaceDN/>
              <w:bidi w:val="0"/>
              <w:adjustRightInd/>
              <w:snapToGrid/>
              <w:spacing w:after="360" w:afterLines="150"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工</w:t>
            </w:r>
          </w:p>
          <w:p>
            <w:pPr>
              <w:keepNext w:val="0"/>
              <w:keepLines w:val="0"/>
              <w:pageBreakBefore w:val="0"/>
              <w:widowControl w:val="0"/>
              <w:kinsoku/>
              <w:overflowPunct/>
              <w:topLinePunct w:val="0"/>
              <w:autoSpaceDE/>
              <w:autoSpaceDN/>
              <w:bidi w:val="0"/>
              <w:adjustRightInd/>
              <w:snapToGrid/>
              <w:spacing w:after="360" w:afterLines="150"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作</w:t>
            </w:r>
          </w:p>
          <w:p>
            <w:pPr>
              <w:keepNext w:val="0"/>
              <w:keepLines w:val="0"/>
              <w:pageBreakBefore w:val="0"/>
              <w:widowControl w:val="0"/>
              <w:kinsoku/>
              <w:overflowPunct/>
              <w:topLinePunct w:val="0"/>
              <w:autoSpaceDE/>
              <w:autoSpaceDN/>
              <w:bidi w:val="0"/>
              <w:adjustRightInd/>
              <w:snapToGrid/>
              <w:spacing w:after="360" w:afterLines="150"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情</w:t>
            </w:r>
          </w:p>
          <w:p>
            <w:pPr>
              <w:keepNext w:val="0"/>
              <w:keepLines w:val="0"/>
              <w:pageBreakBefore w:val="0"/>
              <w:widowControl w:val="0"/>
              <w:kinsoku/>
              <w:overflowPunct/>
              <w:topLinePunct w:val="0"/>
              <w:autoSpaceDE/>
              <w:autoSpaceDN/>
              <w:bidi w:val="0"/>
              <w:adjustRightInd/>
              <w:snapToGrid/>
              <w:spacing w:after="360" w:afterLines="150"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况</w:t>
            </w:r>
          </w:p>
          <w:p>
            <w:pPr>
              <w:keepNext w:val="0"/>
              <w:keepLines w:val="0"/>
              <w:pageBreakBefore w:val="0"/>
              <w:widowControl w:val="0"/>
              <w:kinsoku/>
              <w:overflowPunct/>
              <w:topLinePunct w:val="0"/>
              <w:autoSpaceDE/>
              <w:autoSpaceDN/>
              <w:bidi w:val="0"/>
              <w:adjustRightInd/>
              <w:snapToGrid/>
              <w:spacing w:after="360" w:afterLines="150"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介</w:t>
            </w:r>
          </w:p>
          <w:p>
            <w:pPr>
              <w:keepNext w:val="0"/>
              <w:keepLines w:val="0"/>
              <w:pageBreakBefore w:val="0"/>
              <w:widowControl w:val="0"/>
              <w:kinsoku/>
              <w:overflowPunct/>
              <w:topLinePunct w:val="0"/>
              <w:autoSpaceDE/>
              <w:autoSpaceDN/>
              <w:bidi w:val="0"/>
              <w:adjustRightInd/>
              <w:snapToGrid/>
              <w:spacing w:after="360" w:afterLines="150" w:line="360" w:lineRule="exact"/>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绍</w:t>
            </w:r>
          </w:p>
        </w:tc>
        <w:tc>
          <w:tcPr>
            <w:tcW w:w="9363"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6"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申</w:t>
            </w:r>
          </w:p>
          <w:p>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报</w:t>
            </w:r>
          </w:p>
          <w:p>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承</w:t>
            </w:r>
          </w:p>
          <w:p>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诺</w:t>
            </w:r>
          </w:p>
        </w:tc>
        <w:tc>
          <w:tcPr>
            <w:tcW w:w="9363"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我们承诺，所提交的材料真实，并承担若因材料虚假所引发的一切后果。</w:t>
            </w: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overflowPunct/>
              <w:topLinePunct w:val="0"/>
              <w:autoSpaceDE/>
              <w:autoSpaceDN/>
              <w:bidi w:val="0"/>
              <w:adjustRightInd/>
              <w:snapToGrid/>
              <w:spacing w:line="360" w:lineRule="exact"/>
              <w:ind w:firstLine="2940" w:firstLineChars="14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企业法定代表人签字：</w:t>
            </w:r>
          </w:p>
          <w:p>
            <w:pPr>
              <w:keepNext w:val="0"/>
              <w:keepLines w:val="0"/>
              <w:pageBreakBefore w:val="0"/>
              <w:widowControl w:val="0"/>
              <w:kinsoku/>
              <w:overflowPunct/>
              <w:topLinePunct w:val="0"/>
              <w:autoSpaceDE/>
              <w:autoSpaceDN/>
              <w:bidi w:val="0"/>
              <w:adjustRightInd/>
              <w:snapToGrid/>
              <w:spacing w:line="360" w:lineRule="exact"/>
              <w:ind w:firstLine="3360" w:firstLineChars="16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日（公章）</w:t>
            </w:r>
          </w:p>
        </w:tc>
      </w:tr>
    </w:tbl>
    <w:p>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企业联系人及电话：</w:t>
      </w:r>
    </w:p>
    <w:p>
      <w:pPr>
        <w:spacing w:line="360" w:lineRule="auto"/>
        <w:ind w:right="84" w:rightChars="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r>
        <w:rPr>
          <w:rFonts w:hint="eastAsia" w:ascii="黑体" w:hAnsi="黑体" w:eastAsia="黑体" w:cs="黑体"/>
          <w:color w:val="auto"/>
          <w:kern w:val="0"/>
          <w:sz w:val="32"/>
          <w:szCs w:val="32"/>
        </w:rPr>
        <w:t>附件2</w:t>
      </w:r>
    </w:p>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企业诚信统计承诺书</w:t>
      </w:r>
    </w:p>
    <w:p>
      <w:pPr>
        <w:spacing w:line="360" w:lineRule="auto"/>
        <w:jc w:val="left"/>
        <w:rPr>
          <w:rFonts w:hint="eastAsia" w:ascii="仿宋_GB2312" w:hAnsi="仿宋_GB2312" w:eastAsia="仿宋_GB2312" w:cs="仿宋_GB2312"/>
          <w:color w:val="auto"/>
          <w:kern w:val="0"/>
          <w:sz w:val="32"/>
          <w:szCs w:val="30"/>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珠海市</w:t>
      </w:r>
      <w:r>
        <w:rPr>
          <w:rFonts w:hint="eastAsia" w:ascii="仿宋_GB2312" w:hAnsi="仿宋_GB2312" w:eastAsia="仿宋_GB2312" w:cs="仿宋_GB2312"/>
          <w:color w:val="auto"/>
          <w:kern w:val="0"/>
          <w:sz w:val="32"/>
          <w:szCs w:val="32"/>
        </w:rPr>
        <w:t>统计局: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我单位积极响应诚信统计的倡议,作出如下承诺: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一、为履行法定的统计资料报送义务提供组织、人员和工作条件保障。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二、按照国家有关规定设置原始记录、统计台账，建立健全统计资料的审核、签署、交接、归档等管理制度。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三、执行统计调查制度，真实、准确、完整、及时地提供统计调查所需资料。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四、积极配合统计执法检查和统计数据核查。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五、自觉抵制违反统计法律法规和统计调查制度的行为。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六、未被其他部门列入联合惩戒失信名单。           </w:t>
      </w: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jc w:val="left"/>
        <w:textAlignment w:val="auto"/>
        <w:rPr>
          <w:rFonts w:hint="eastAsia" w:ascii="仿宋_GB2312" w:hAnsi="仿宋_GB2312" w:eastAsia="仿宋_GB2312" w:cs="仿宋_GB2312"/>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jc w:val="left"/>
        <w:textAlignment w:val="auto"/>
        <w:rPr>
          <w:rFonts w:hint="eastAsia" w:ascii="仿宋_GB2312" w:hAnsi="仿宋_GB2312" w:eastAsia="仿宋_GB2312" w:cs="仿宋_GB2312"/>
          <w:color w:val="auto"/>
          <w:kern w:val="0"/>
          <w:sz w:val="32"/>
          <w:szCs w:val="32"/>
        </w:rPr>
      </w:pPr>
    </w:p>
    <w:p>
      <w:pPr>
        <w:pStyle w:val="4"/>
        <w:rPr>
          <w:rFonts w:hint="eastAsia"/>
          <w:color w:val="auto"/>
        </w:rPr>
      </w:pP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承诺企业法人签字</w:t>
      </w: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单位公章：</w:t>
      </w:r>
    </w:p>
    <w:p>
      <w:pPr>
        <w:keepNext w:val="0"/>
        <w:keepLines w:val="0"/>
        <w:pageBreakBefore w:val="0"/>
        <w:widowControl w:val="0"/>
        <w:kinsoku/>
        <w:wordWrap/>
        <w:overflowPunct/>
        <w:topLinePunct w:val="0"/>
        <w:autoSpaceDE/>
        <w:autoSpaceDN/>
        <w:bidi w:val="0"/>
        <w:adjustRightInd/>
        <w:snapToGrid/>
        <w:spacing w:line="240" w:lineRule="auto"/>
        <w:ind w:firstLine="4800" w:firstLineChars="15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   月   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r>
        <w:rPr>
          <w:rFonts w:hint="eastAsia" w:ascii="黑体" w:hAnsi="黑体" w:eastAsia="黑体" w:cs="黑体"/>
          <w:color w:val="auto"/>
          <w:kern w:val="0"/>
          <w:sz w:val="32"/>
          <w:szCs w:val="32"/>
        </w:rPr>
        <w:t>附件3</w:t>
      </w:r>
    </w:p>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统计从业人员守信承诺书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珠海市</w:t>
      </w:r>
      <w:r>
        <w:rPr>
          <w:rFonts w:hint="eastAsia" w:ascii="仿宋_GB2312" w:hAnsi="仿宋_GB2312" w:eastAsia="仿宋_GB2312" w:cs="仿宋_GB2312"/>
          <w:color w:val="auto"/>
          <w:kern w:val="0"/>
          <w:sz w:val="32"/>
          <w:szCs w:val="32"/>
        </w:rPr>
        <w:t>统计局：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我单位积极响应诚信统计的倡议，作为单位的统计从业人员，我个人作出如下承诺: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一、按照统计法律法规、统计调查制度和国家有关规定，真实、准确、完整、及时地提供统计资料。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二、遵守统计资料审核、签署、交接、归档等管理制度。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三、主动配合统计机构依法开展统计调查、统计检查。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四、无违反统计法律法规和统计调查制度的行为。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五、未被其他部门列入联合惩戒失信人员名单。</w:t>
      </w: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jc w:val="left"/>
        <w:textAlignment w:val="auto"/>
        <w:rPr>
          <w:rFonts w:hint="eastAsia" w:ascii="仿宋_GB2312" w:hAnsi="仿宋_GB2312" w:eastAsia="仿宋_GB2312" w:cs="仿宋_GB2312"/>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jc w:val="left"/>
        <w:textAlignment w:val="auto"/>
        <w:rPr>
          <w:rFonts w:hint="eastAsia" w:ascii="仿宋_GB2312" w:hAnsi="仿宋_GB2312" w:eastAsia="仿宋_GB2312" w:cs="仿宋_GB2312"/>
          <w:color w:val="auto"/>
          <w:kern w:val="0"/>
          <w:sz w:val="32"/>
          <w:szCs w:val="32"/>
        </w:rPr>
      </w:pPr>
    </w:p>
    <w:p>
      <w:pPr>
        <w:pStyle w:val="4"/>
        <w:rPr>
          <w:rFonts w:hint="eastAsia"/>
          <w:color w:val="auto"/>
        </w:rPr>
      </w:pP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承诺人签字：</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单位公章:</w:t>
      </w:r>
    </w:p>
    <w:p>
      <w:pPr>
        <w:keepNext w:val="0"/>
        <w:keepLines w:val="0"/>
        <w:pageBreakBefore w:val="0"/>
        <w:widowControl w:val="0"/>
        <w:kinsoku/>
        <w:wordWrap/>
        <w:overflowPunct/>
        <w:topLinePunct w:val="0"/>
        <w:autoSpaceDE/>
        <w:autoSpaceDN/>
        <w:bidi w:val="0"/>
        <w:adjustRightInd/>
        <w:snapToGrid/>
        <w:spacing w:line="240" w:lineRule="auto"/>
        <w:ind w:firstLine="5120" w:firstLineChars="16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   月   日</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黑体" w:hAnsi="黑体" w:eastAsia="黑体" w:cs="黑体"/>
          <w:color w:val="auto"/>
          <w:kern w:val="0"/>
          <w:sz w:val="32"/>
          <w:szCs w:val="32"/>
          <w:lang w:val="en-US" w:eastAsia="zh-CN"/>
        </w:rPr>
      </w:pPr>
      <w:r>
        <w:rPr>
          <w:rFonts w:hint="eastAsia" w:ascii="仿宋_GB2312" w:hAnsi="仿宋_GB2312" w:eastAsia="仿宋_GB2312" w:cs="仿宋_GB2312"/>
          <w:color w:val="auto"/>
          <w:kern w:val="0"/>
          <w:sz w:val="32"/>
          <w:szCs w:val="32"/>
        </w:rPr>
        <w:br w:type="page"/>
      </w:r>
      <w:r>
        <w:rPr>
          <w:rFonts w:hint="eastAsia" w:ascii="黑体" w:hAnsi="黑体" w:eastAsia="黑体" w:cs="黑体"/>
          <w:color w:val="auto"/>
          <w:kern w:val="0"/>
          <w:sz w:val="32"/>
          <w:szCs w:val="32"/>
          <w:lang w:eastAsia="zh-CN"/>
        </w:rPr>
        <w:t>附件</w:t>
      </w:r>
      <w:r>
        <w:rPr>
          <w:rFonts w:hint="eastAsia" w:ascii="黑体" w:hAnsi="黑体" w:eastAsia="黑体" w:cs="黑体"/>
          <w:color w:val="auto"/>
          <w:kern w:val="0"/>
          <w:sz w:val="32"/>
          <w:szCs w:val="32"/>
          <w:lang w:val="en-US" w:eastAsia="zh-CN"/>
        </w:rPr>
        <w:t>4</w:t>
      </w:r>
    </w:p>
    <w:p>
      <w:pPr>
        <w:keepNext w:val="0"/>
        <w:keepLines w:val="0"/>
        <w:pageBreakBefore w:val="0"/>
        <w:widowControl w:val="0"/>
        <w:kinsoku/>
        <w:wordWrap/>
        <w:overflowPunct/>
        <w:topLinePunct w:val="0"/>
        <w:autoSpaceDE/>
        <w:autoSpaceDN/>
        <w:bidi w:val="0"/>
        <w:adjustRightInd w:val="0"/>
        <w:snapToGrid w:val="0"/>
        <w:ind w:firstLine="360" w:firstLineChars="200"/>
        <w:textAlignment w:val="auto"/>
        <w:rPr>
          <w:rFonts w:hint="eastAsia" w:ascii="仿宋_GB2312" w:hAnsi="仿宋_GB2312" w:eastAsia="仿宋_GB2312" w:cs="仿宋_GB2312"/>
          <w:color w:val="auto"/>
          <w:sz w:val="18"/>
          <w:szCs w:val="18"/>
        </w:rPr>
      </w:pPr>
    </w:p>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珠海</w:t>
      </w:r>
      <w:r>
        <w:rPr>
          <w:rFonts w:hint="eastAsia" w:ascii="方正小标宋简体" w:hAnsi="方正小标宋简体" w:eastAsia="方正小标宋简体" w:cs="方正小标宋简体"/>
          <w:color w:val="auto"/>
          <w:kern w:val="0"/>
          <w:sz w:val="44"/>
          <w:szCs w:val="44"/>
          <w:lang w:eastAsia="zh-CN"/>
        </w:rPr>
        <w:t>市优质诚信企业认定实施</w:t>
      </w:r>
      <w:r>
        <w:rPr>
          <w:rFonts w:hint="eastAsia" w:ascii="方正小标宋简体" w:hAnsi="方正小标宋简体" w:eastAsia="方正小标宋简体" w:cs="方正小标宋简体"/>
          <w:color w:val="auto"/>
          <w:kern w:val="0"/>
          <w:sz w:val="44"/>
          <w:szCs w:val="44"/>
        </w:rPr>
        <w:t>方案</w:t>
      </w:r>
    </w:p>
    <w:p>
      <w:pPr>
        <w:pStyle w:val="3"/>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为学习贯彻习近平新时代中国特色社会主义思想,深入践行国家、省加快推进社会信用体系建设要求,</w:t>
      </w:r>
      <w:r>
        <w:rPr>
          <w:rFonts w:hint="eastAsia" w:ascii="仿宋_GB2312" w:hAnsi="仿宋_GB2312" w:eastAsia="仿宋_GB2312" w:cs="仿宋_GB2312"/>
          <w:color w:val="auto"/>
          <w:sz w:val="32"/>
          <w:szCs w:val="32"/>
        </w:rPr>
        <w:t>落实市委、市政府建设“信用珠海”决策部署，</w:t>
      </w:r>
      <w:r>
        <w:rPr>
          <w:rFonts w:hint="eastAsia" w:ascii="仿宋_GB2312" w:hAnsi="仿宋_GB2312" w:eastAsia="仿宋_GB2312" w:cs="仿宋_GB2312"/>
          <w:color w:val="auto"/>
          <w:kern w:val="0"/>
          <w:sz w:val="32"/>
          <w:szCs w:val="32"/>
        </w:rPr>
        <w:t>进一步深化“放管服”改革,推动经济社会高质量发展,</w:t>
      </w:r>
      <w:r>
        <w:rPr>
          <w:rFonts w:hint="eastAsia" w:ascii="仿宋_GB2312" w:hAnsi="仿宋_GB2312" w:eastAsia="仿宋_GB2312" w:cs="仿宋_GB2312"/>
          <w:color w:val="auto"/>
          <w:sz w:val="32"/>
          <w:szCs w:val="32"/>
        </w:rPr>
        <w:t>现结合我市实际，制定本方案。</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一、总体目标</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创新监管理念、监管制度、监管方式,探索信用赋能,大力推进政务管理由“门槛管理”向“信用管理”转变。</w:t>
      </w:r>
      <w:r>
        <w:rPr>
          <w:rFonts w:hint="eastAsia" w:ascii="仿宋_GB2312" w:hAnsi="仿宋_GB2312" w:eastAsia="仿宋_GB2312" w:cs="仿宋_GB2312"/>
          <w:color w:val="auto"/>
          <w:kern w:val="0"/>
          <w:sz w:val="32"/>
          <w:szCs w:val="32"/>
        </w:rPr>
        <w:t>通过</w:t>
      </w:r>
      <w:r>
        <w:rPr>
          <w:rFonts w:hint="eastAsia" w:ascii="仿宋_GB2312" w:hAnsi="仿宋_GB2312" w:eastAsia="仿宋_GB2312" w:cs="仿宋_GB2312"/>
          <w:color w:val="auto"/>
          <w:kern w:val="0"/>
          <w:sz w:val="32"/>
          <w:szCs w:val="32"/>
          <w:lang w:eastAsia="zh-CN"/>
        </w:rPr>
        <w:t>建立珠海市优质诚信企业机制</w:t>
      </w:r>
      <w:r>
        <w:rPr>
          <w:rFonts w:hint="eastAsia" w:ascii="仿宋_GB2312" w:hAnsi="仿宋_GB2312" w:eastAsia="仿宋_GB2312" w:cs="仿宋_GB2312"/>
          <w:color w:val="auto"/>
          <w:kern w:val="0"/>
          <w:sz w:val="32"/>
          <w:szCs w:val="32"/>
        </w:rPr>
        <w:t>，让</w:t>
      </w:r>
      <w:r>
        <w:rPr>
          <w:rFonts w:hint="eastAsia" w:ascii="仿宋_GB2312" w:hAnsi="仿宋_GB2312" w:eastAsia="仿宋_GB2312" w:cs="仿宋_GB2312"/>
          <w:color w:val="auto"/>
          <w:kern w:val="0"/>
          <w:sz w:val="32"/>
          <w:szCs w:val="32"/>
          <w:lang w:eastAsia="zh-CN"/>
        </w:rPr>
        <w:t>诚信</w:t>
      </w:r>
      <w:r>
        <w:rPr>
          <w:rFonts w:hint="eastAsia" w:ascii="仿宋_GB2312" w:hAnsi="仿宋_GB2312" w:eastAsia="仿宋_GB2312" w:cs="仿宋_GB2312"/>
          <w:color w:val="auto"/>
          <w:kern w:val="0"/>
          <w:sz w:val="32"/>
          <w:szCs w:val="32"/>
        </w:rPr>
        <w:t>企业可以享受相关部门提供的在政府</w:t>
      </w:r>
      <w:r>
        <w:rPr>
          <w:rFonts w:hint="eastAsia" w:ascii="仿宋_GB2312" w:hAnsi="仿宋_GB2312" w:eastAsia="仿宋_GB2312" w:cs="仿宋_GB2312"/>
          <w:color w:val="auto"/>
          <w:kern w:val="0"/>
          <w:sz w:val="32"/>
          <w:szCs w:val="32"/>
          <w:lang w:eastAsia="zh-CN"/>
        </w:rPr>
        <w:t>专项</w:t>
      </w:r>
      <w:r>
        <w:rPr>
          <w:rFonts w:hint="eastAsia" w:ascii="仿宋_GB2312" w:hAnsi="仿宋_GB2312" w:eastAsia="仿宋_GB2312" w:cs="仿宋_GB2312"/>
          <w:color w:val="auto"/>
          <w:kern w:val="0"/>
          <w:sz w:val="32"/>
          <w:szCs w:val="32"/>
        </w:rPr>
        <w:t>资金申请、工程建设、市场监管等领域的守信激励</w:t>
      </w:r>
      <w:r>
        <w:rPr>
          <w:rFonts w:hint="eastAsia" w:ascii="仿宋_GB2312" w:hAnsi="仿宋_GB2312" w:eastAsia="仿宋_GB2312" w:cs="仿宋_GB2312"/>
          <w:color w:val="auto"/>
          <w:kern w:val="0"/>
          <w:sz w:val="32"/>
          <w:szCs w:val="32"/>
          <w:lang w:eastAsia="zh-CN"/>
        </w:rPr>
        <w:t>措施</w:t>
      </w:r>
      <w:r>
        <w:rPr>
          <w:rFonts w:hint="eastAsia" w:ascii="仿宋_GB2312" w:hAnsi="仿宋_GB2312" w:eastAsia="仿宋_GB2312" w:cs="仿宋_GB2312"/>
          <w:color w:val="auto"/>
          <w:kern w:val="0"/>
          <w:sz w:val="32"/>
          <w:szCs w:val="32"/>
        </w:rPr>
        <w:t>，充分发挥诚信示范作用，营造公平诚信的市场环境，提升城市综合竞争力。</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二、认定原则</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 w:val="0"/>
          <w:bCs w:val="0"/>
          <w:color w:val="auto"/>
          <w:kern w:val="0"/>
          <w:sz w:val="32"/>
          <w:szCs w:val="32"/>
          <w:lang w:eastAsia="zh-CN"/>
        </w:rPr>
        <w:t>（一）依法依规。</w:t>
      </w:r>
      <w:r>
        <w:rPr>
          <w:rFonts w:hint="eastAsia" w:ascii="仿宋_GB2312" w:hAnsi="仿宋_GB2312" w:eastAsia="仿宋_GB2312" w:cs="仿宋_GB2312"/>
          <w:color w:val="auto"/>
          <w:kern w:val="0"/>
          <w:sz w:val="32"/>
          <w:szCs w:val="32"/>
          <w:lang w:eastAsia="zh-CN"/>
        </w:rPr>
        <w:t>诚信企业认定应当以客观事实为依据，真实反应其诚信状况，依法依规作出认定结论，不得侵犯国家秘密、商业秘密和个人隐私。</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 w:val="0"/>
          <w:bCs w:val="0"/>
          <w:color w:val="auto"/>
          <w:kern w:val="0"/>
          <w:sz w:val="32"/>
          <w:szCs w:val="32"/>
          <w:lang w:eastAsia="zh-CN"/>
        </w:rPr>
        <w:t>（二）注重实绩。</w:t>
      </w:r>
      <w:r>
        <w:rPr>
          <w:rFonts w:hint="eastAsia" w:ascii="仿宋_GB2312" w:hAnsi="仿宋_GB2312" w:eastAsia="仿宋_GB2312" w:cs="仿宋_GB2312"/>
          <w:color w:val="auto"/>
          <w:kern w:val="0"/>
          <w:sz w:val="32"/>
          <w:szCs w:val="32"/>
        </w:rPr>
        <w:t>以企业诚信建设为重点，</w:t>
      </w:r>
      <w:r>
        <w:rPr>
          <w:rFonts w:hint="eastAsia" w:ascii="仿宋_GB2312" w:hAnsi="仿宋_GB2312" w:eastAsia="仿宋_GB2312" w:cs="仿宋_GB2312"/>
          <w:color w:val="auto"/>
          <w:kern w:val="0"/>
          <w:sz w:val="32"/>
          <w:szCs w:val="32"/>
          <w:lang w:eastAsia="zh-CN"/>
        </w:rPr>
        <w:t>认定企业应当具有代表性，在各自领域取得显著成绩，得到广泛认可，能够发挥示范引领作用。</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 w:val="0"/>
          <w:bCs w:val="0"/>
          <w:color w:val="auto"/>
          <w:kern w:val="0"/>
          <w:sz w:val="32"/>
          <w:szCs w:val="32"/>
          <w:lang w:eastAsia="zh-CN"/>
        </w:rPr>
        <w:t>（三）公开公平。</w:t>
      </w:r>
      <w:r>
        <w:rPr>
          <w:rFonts w:hint="eastAsia" w:ascii="仿宋_GB2312" w:hAnsi="仿宋_GB2312" w:eastAsia="仿宋_GB2312" w:cs="仿宋_GB2312"/>
          <w:color w:val="auto"/>
          <w:kern w:val="0"/>
          <w:sz w:val="32"/>
          <w:szCs w:val="32"/>
          <w:lang w:eastAsia="zh-CN"/>
        </w:rPr>
        <w:t>符合基础认定条件的企业均可参加，做到一视同仁，</w:t>
      </w:r>
      <w:r>
        <w:rPr>
          <w:rFonts w:hint="eastAsia" w:ascii="仿宋_GB2312" w:hAnsi="仿宋_GB2312" w:eastAsia="仿宋_GB2312" w:cs="仿宋_GB2312"/>
          <w:color w:val="auto"/>
          <w:kern w:val="0"/>
          <w:sz w:val="32"/>
          <w:szCs w:val="32"/>
        </w:rPr>
        <w:t>经过推荐、审核、公示、确认企业名单，</w:t>
      </w:r>
      <w:r>
        <w:rPr>
          <w:rFonts w:hint="eastAsia" w:ascii="仿宋_GB2312" w:hAnsi="仿宋_GB2312" w:eastAsia="仿宋_GB2312" w:cs="仿宋_GB2312"/>
          <w:color w:val="auto"/>
          <w:kern w:val="0"/>
          <w:sz w:val="32"/>
          <w:szCs w:val="32"/>
          <w:lang w:eastAsia="zh-CN"/>
        </w:rPr>
        <w:t>全流程公开，认定结果进行公示。</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三、组织架构</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color w:val="auto"/>
          <w:lang w:eastAsia="zh-CN"/>
        </w:rPr>
      </w:pPr>
      <w:r>
        <w:rPr>
          <w:rFonts w:hint="eastAsia" w:ascii="仿宋_GB2312" w:hAnsi="仿宋_GB2312" w:eastAsia="仿宋_GB2312" w:cs="仿宋_GB2312"/>
          <w:color w:val="auto"/>
          <w:kern w:val="0"/>
          <w:sz w:val="32"/>
          <w:szCs w:val="32"/>
          <w:lang w:eastAsia="zh-CN"/>
        </w:rPr>
        <w:t>建立诚信评价工作小组，组织开展年度诚信企业认定工作。由市发展改革局牵头，由市委统战部、市委军民融合办、市文明办、市教育局、市科技创新局、市工业和信息化局、市公安局、市财政局、市人力资源社会保障局、市生态环境局、市住房城乡建设局、市交通运输局、市商务局、市市场监管局、市知识产权局、市政务服务数据管理局、市税务局、拱北海关、市中院、市公共工程建设中心等具体提供守信激励措施的部门，共同组建诚信评价工作小组。评价工作小组办公室设在市发展改革局，开展年度诚信企业认定工作。同时，根据实际认定需要，可委托第三方专家成立专家小组，为诚信企业认定提供建议。</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四、参与途径</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（一）满足优质诚信企业基础条件的企业，自主作出信用承诺，均可参与。</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（二）由行业主管部门及相关单位推荐在本领域内符合优质诚信企业条件的企业。</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五、符合基础条件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2"/>
          <w:sz w:val="32"/>
          <w:szCs w:val="32"/>
          <w:shd w:val="clear" w:color="auto" w:fill="FFFFFF"/>
          <w:lang w:val="en-US" w:eastAsia="zh-CN" w:bidi="ar-SA"/>
        </w:rPr>
        <w:t>（一）</w:t>
      </w:r>
      <w:r>
        <w:rPr>
          <w:rFonts w:hint="eastAsia" w:ascii="仿宋_GB2312" w:hAnsi="仿宋_GB2312" w:eastAsia="仿宋_GB2312" w:cs="仿宋_GB2312"/>
          <w:color w:val="auto"/>
          <w:sz w:val="32"/>
          <w:szCs w:val="32"/>
          <w:shd w:val="clear" w:color="auto" w:fill="FFFFFF"/>
          <w:lang w:eastAsia="zh-CN"/>
        </w:rPr>
        <w:t>企业</w:t>
      </w:r>
      <w:r>
        <w:rPr>
          <w:rFonts w:hint="eastAsia" w:ascii="仿宋_GB2312" w:hAnsi="仿宋_GB2312" w:eastAsia="仿宋_GB2312" w:cs="仿宋_GB2312"/>
          <w:color w:val="auto"/>
          <w:sz w:val="32"/>
          <w:szCs w:val="32"/>
          <w:shd w:val="clear" w:color="auto" w:fill="FFFFFF"/>
        </w:rPr>
        <w:t>注册地、税务征管关系（</w:t>
      </w:r>
      <w:r>
        <w:rPr>
          <w:rFonts w:hint="eastAsia" w:ascii="仿宋_GB2312" w:hAnsi="仿宋_GB2312" w:eastAsia="仿宋_GB2312" w:cs="仿宋_GB2312"/>
          <w:color w:val="auto"/>
          <w:sz w:val="32"/>
          <w:szCs w:val="32"/>
          <w:shd w:val="clear" w:color="auto" w:fill="FFFFFF"/>
          <w:lang w:eastAsia="zh-CN"/>
        </w:rPr>
        <w:t>以</w:t>
      </w:r>
      <w:r>
        <w:rPr>
          <w:rFonts w:hint="eastAsia" w:ascii="仿宋_GB2312" w:hAnsi="仿宋_GB2312" w:eastAsia="仿宋_GB2312" w:cs="仿宋_GB2312"/>
          <w:color w:val="auto"/>
          <w:sz w:val="32"/>
          <w:szCs w:val="32"/>
          <w:shd w:val="clear" w:color="auto" w:fill="FFFFFF"/>
        </w:rPr>
        <w:t>入库为准）及统计关系均在珠海市，</w:t>
      </w:r>
      <w:r>
        <w:rPr>
          <w:rFonts w:hint="eastAsia" w:ascii="仿宋_GB2312" w:hAnsi="仿宋_GB2312" w:eastAsia="仿宋_GB2312" w:cs="仿宋_GB2312"/>
          <w:color w:val="auto"/>
          <w:kern w:val="0"/>
          <w:sz w:val="32"/>
          <w:szCs w:val="32"/>
        </w:rPr>
        <w:t>且</w:t>
      </w:r>
      <w:r>
        <w:rPr>
          <w:rFonts w:hint="eastAsia" w:ascii="仿宋_GB2312" w:hAnsi="仿宋_GB2312" w:eastAsia="仿宋_GB2312" w:cs="仿宋_GB2312"/>
          <w:color w:val="auto"/>
          <w:sz w:val="32"/>
          <w:szCs w:val="32"/>
          <w:shd w:val="clear" w:color="auto" w:fill="FFFFFF"/>
        </w:rPr>
        <w:t>无违法记录，全年无</w:t>
      </w:r>
      <w:r>
        <w:rPr>
          <w:rFonts w:hint="eastAsia" w:ascii="仿宋_GB2312" w:hAnsi="仿宋_GB2312" w:eastAsia="仿宋_GB2312" w:cs="仿宋_GB2312"/>
          <w:color w:val="auto"/>
          <w:sz w:val="32"/>
          <w:szCs w:val="32"/>
          <w:shd w:val="clear" w:color="auto" w:fill="FFFFFF"/>
          <w:lang w:eastAsia="zh-CN"/>
        </w:rPr>
        <w:t>一般及以上级别</w:t>
      </w:r>
      <w:r>
        <w:rPr>
          <w:rFonts w:hint="eastAsia" w:ascii="仿宋_GB2312" w:hAnsi="仿宋_GB2312" w:eastAsia="仿宋_GB2312" w:cs="仿宋_GB2312"/>
          <w:color w:val="auto"/>
          <w:sz w:val="32"/>
          <w:szCs w:val="32"/>
          <w:shd w:val="clear" w:color="auto" w:fill="FFFFFF"/>
        </w:rPr>
        <w:t>安全事故。</w:t>
      </w:r>
      <w:r>
        <w:rPr>
          <w:rFonts w:hint="eastAsia" w:ascii="仿宋_GB2312" w:hAnsi="仿宋_GB2312" w:eastAsia="仿宋_GB2312" w:cs="仿宋_GB2312"/>
          <w:color w:val="auto"/>
          <w:sz w:val="32"/>
          <w:szCs w:val="32"/>
          <w:shd w:val="clear" w:color="auto" w:fill="FFFFFF"/>
          <w:lang w:eastAsia="zh-CN"/>
        </w:rPr>
        <w:t>经澳门海关认可的经营运营商（</w:t>
      </w:r>
      <w:r>
        <w:rPr>
          <w:rFonts w:hint="eastAsia" w:ascii="仿宋_GB2312" w:hAnsi="仿宋_GB2312" w:eastAsia="仿宋_GB2312" w:cs="仿宋_GB2312"/>
          <w:color w:val="auto"/>
          <w:sz w:val="32"/>
          <w:szCs w:val="32"/>
          <w:shd w:val="clear" w:color="auto" w:fill="FFFFFF"/>
          <w:lang w:val="en-US" w:eastAsia="zh-CN"/>
        </w:rPr>
        <w:t>AEO</w:t>
      </w:r>
      <w:r>
        <w:rPr>
          <w:rFonts w:hint="eastAsia" w:ascii="仿宋_GB2312" w:hAnsi="仿宋_GB2312" w:eastAsia="仿宋_GB2312" w:cs="仿宋_GB2312"/>
          <w:color w:val="auto"/>
          <w:sz w:val="32"/>
          <w:szCs w:val="32"/>
          <w:shd w:val="clear" w:color="auto" w:fill="FFFFFF"/>
          <w:lang w:eastAsia="zh-CN"/>
        </w:rPr>
        <w:t>）可参考珠海市企业参与。</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lang w:eastAsia="zh-CN"/>
        </w:rPr>
        <w:t>企业信用良好，在全国信用信息共享平台（广东珠海）中近</w:t>
      </w:r>
      <w:r>
        <w:rPr>
          <w:rFonts w:hint="eastAsia" w:ascii="仿宋_GB2312" w:hAnsi="仿宋_GB2312" w:eastAsia="仿宋_GB2312" w:cs="仿宋_GB2312"/>
          <w:color w:val="auto"/>
          <w:kern w:val="0"/>
          <w:sz w:val="32"/>
          <w:szCs w:val="32"/>
          <w:lang w:val="en-US" w:eastAsia="zh-CN"/>
        </w:rPr>
        <w:t>3年无不良信用记录。</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（三）法定代表人在</w:t>
      </w:r>
      <w:r>
        <w:rPr>
          <w:rFonts w:hint="eastAsia" w:ascii="仿宋_GB2312" w:hAnsi="仿宋_GB2312" w:eastAsia="仿宋_GB2312" w:cs="仿宋_GB2312"/>
          <w:color w:val="auto"/>
          <w:kern w:val="0"/>
          <w:sz w:val="32"/>
          <w:szCs w:val="32"/>
          <w:lang w:eastAsia="zh-CN"/>
        </w:rPr>
        <w:t>全国信用信息共享平台（广东珠海）中近</w:t>
      </w:r>
      <w:r>
        <w:rPr>
          <w:rFonts w:hint="eastAsia" w:ascii="仿宋_GB2312" w:hAnsi="仿宋_GB2312" w:eastAsia="仿宋_GB2312" w:cs="仿宋_GB2312"/>
          <w:color w:val="auto"/>
          <w:kern w:val="0"/>
          <w:sz w:val="32"/>
          <w:szCs w:val="32"/>
          <w:lang w:val="en-US" w:eastAsia="zh-CN"/>
        </w:rPr>
        <w:t>3年无不良信用记录。</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w:t>
      </w:r>
      <w:r>
        <w:rPr>
          <w:rFonts w:hint="eastAsia" w:ascii="仿宋_GB2312" w:hAnsi="仿宋_GB2312" w:eastAsia="仿宋_GB2312" w:cs="仿宋_GB2312"/>
          <w:color w:val="auto"/>
          <w:kern w:val="0"/>
          <w:sz w:val="32"/>
          <w:szCs w:val="32"/>
          <w:lang w:eastAsia="zh-CN"/>
        </w:rPr>
        <w:t>企业经营规模、效益、质量、带动能力、竞争能力符合优质诚信企业标准，具体从经济贡献、创新能力、履约能力、社会信誉与形象、慈善公益事业突出贡献等方面具有突出表现。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kern w:val="2"/>
          <w:sz w:val="32"/>
          <w:szCs w:val="32"/>
          <w:shd w:val="clear" w:color="auto" w:fill="FFFFFF"/>
          <w:lang w:val="en-US" w:eastAsia="zh-CN" w:bidi="ar-SA"/>
        </w:rPr>
        <w:t>（五）</w:t>
      </w:r>
      <w:r>
        <w:rPr>
          <w:rFonts w:hint="eastAsia" w:ascii="仿宋_GB2312" w:hAnsi="仿宋_GB2312" w:eastAsia="仿宋_GB2312" w:cs="仿宋_GB2312"/>
          <w:color w:val="auto"/>
          <w:sz w:val="32"/>
          <w:szCs w:val="32"/>
          <w:shd w:val="clear" w:color="auto" w:fill="FFFFFF"/>
          <w:lang w:val="en-US" w:eastAsia="zh-CN"/>
        </w:rPr>
        <w:t>企业作出信用承诺，诚信守法经营，并签订信用承诺书。</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六、具体流程</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 w:val="0"/>
          <w:bCs w:val="0"/>
          <w:color w:val="auto"/>
          <w:kern w:val="0"/>
          <w:sz w:val="32"/>
          <w:szCs w:val="32"/>
          <w:lang w:eastAsia="zh-CN"/>
        </w:rPr>
        <w:t>（一）名单推荐。</w:t>
      </w:r>
      <w:r>
        <w:rPr>
          <w:rFonts w:hint="eastAsia" w:ascii="仿宋_GB2312" w:hAnsi="仿宋_GB2312" w:eastAsia="仿宋_GB2312" w:cs="仿宋_GB2312"/>
          <w:color w:val="auto"/>
          <w:kern w:val="0"/>
          <w:sz w:val="32"/>
          <w:szCs w:val="32"/>
        </w:rPr>
        <w:t>每年组织开展认定工作，通过发函、通知的形式开展此项工作。各行业主管部门</w:t>
      </w:r>
      <w:r>
        <w:rPr>
          <w:rFonts w:hint="eastAsia" w:ascii="仿宋_GB2312" w:hAnsi="仿宋_GB2312" w:eastAsia="仿宋_GB2312" w:cs="仿宋_GB2312"/>
          <w:color w:val="auto"/>
          <w:kern w:val="0"/>
          <w:sz w:val="32"/>
          <w:szCs w:val="32"/>
          <w:lang w:eastAsia="zh-CN"/>
        </w:rPr>
        <w:t>及相关单位</w:t>
      </w:r>
      <w:r>
        <w:rPr>
          <w:rFonts w:hint="eastAsia" w:ascii="仿宋_GB2312" w:hAnsi="仿宋_GB2312" w:eastAsia="仿宋_GB2312" w:cs="仿宋_GB2312"/>
          <w:color w:val="auto"/>
          <w:kern w:val="0"/>
          <w:sz w:val="32"/>
          <w:szCs w:val="32"/>
        </w:rPr>
        <w:t>按</w:t>
      </w:r>
      <w:r>
        <w:rPr>
          <w:rFonts w:hint="eastAsia" w:ascii="仿宋_GB2312" w:hAnsi="仿宋_GB2312" w:eastAsia="仿宋_GB2312" w:cs="仿宋_GB2312"/>
          <w:color w:val="auto"/>
          <w:kern w:val="0"/>
          <w:sz w:val="32"/>
          <w:szCs w:val="32"/>
          <w:lang w:eastAsia="zh-CN"/>
        </w:rPr>
        <w:t>要求推荐</w:t>
      </w:r>
      <w:r>
        <w:rPr>
          <w:rFonts w:hint="eastAsia" w:ascii="仿宋_GB2312" w:hAnsi="仿宋_GB2312" w:eastAsia="仿宋_GB2312" w:cs="仿宋_GB2312"/>
          <w:color w:val="auto"/>
          <w:kern w:val="0"/>
          <w:sz w:val="32"/>
          <w:szCs w:val="32"/>
        </w:rPr>
        <w:t>报送名单至</w:t>
      </w:r>
      <w:r>
        <w:rPr>
          <w:rFonts w:hint="eastAsia" w:ascii="仿宋_GB2312" w:hAnsi="仿宋_GB2312" w:eastAsia="仿宋_GB2312" w:cs="仿宋_GB2312"/>
          <w:color w:val="auto"/>
          <w:kern w:val="0"/>
          <w:sz w:val="32"/>
          <w:szCs w:val="32"/>
          <w:lang w:eastAsia="zh-CN"/>
        </w:rPr>
        <w:t>市发展改革局</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企业可根据具体通知要求，报送相关材料进行参与。</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kern w:val="0"/>
          <w:sz w:val="32"/>
          <w:szCs w:val="32"/>
          <w:lang w:eastAsia="zh-CN"/>
        </w:rPr>
        <w:t>（三）名单审核。</w:t>
      </w:r>
      <w:r>
        <w:rPr>
          <w:rFonts w:hint="eastAsia" w:ascii="仿宋_GB2312" w:hAnsi="仿宋_GB2312" w:eastAsia="仿宋_GB2312" w:cs="仿宋_GB2312"/>
          <w:color w:val="auto"/>
          <w:sz w:val="32"/>
          <w:szCs w:val="32"/>
          <w:lang w:eastAsia="zh-CN"/>
        </w:rPr>
        <w:t>市发展改革局</w:t>
      </w:r>
      <w:r>
        <w:rPr>
          <w:rFonts w:hint="eastAsia" w:ascii="仿宋_GB2312" w:hAnsi="仿宋_GB2312" w:eastAsia="仿宋_GB2312" w:cs="仿宋_GB2312"/>
          <w:color w:val="auto"/>
          <w:sz w:val="32"/>
          <w:szCs w:val="32"/>
        </w:rPr>
        <w:t>对每批收集的企业名单进行审核，拟定初审名单，由</w:t>
      </w:r>
      <w:r>
        <w:rPr>
          <w:rFonts w:hint="eastAsia" w:ascii="仿宋_GB2312" w:hAnsi="仿宋_GB2312" w:eastAsia="仿宋_GB2312" w:cs="仿宋_GB2312"/>
          <w:color w:val="auto"/>
          <w:sz w:val="32"/>
          <w:szCs w:val="32"/>
          <w:lang w:eastAsia="zh-CN"/>
        </w:rPr>
        <w:t>诚信评价工作小组</w:t>
      </w:r>
      <w:r>
        <w:rPr>
          <w:rFonts w:hint="eastAsia" w:ascii="仿宋_GB2312" w:hAnsi="仿宋_GB2312" w:eastAsia="仿宋_GB2312" w:cs="仿宋_GB2312"/>
          <w:color w:val="auto"/>
          <w:sz w:val="32"/>
          <w:szCs w:val="32"/>
        </w:rPr>
        <w:t>共同讨论确定拟认定企业名单。</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kern w:val="0"/>
          <w:sz w:val="32"/>
          <w:szCs w:val="32"/>
          <w:lang w:eastAsia="zh-CN"/>
        </w:rPr>
        <w:t>（三）名单公示。</w:t>
      </w:r>
      <w:r>
        <w:rPr>
          <w:rFonts w:hint="eastAsia" w:ascii="仿宋_GB2312" w:hAnsi="仿宋_GB2312" w:eastAsia="仿宋_GB2312" w:cs="仿宋_GB2312"/>
          <w:color w:val="auto"/>
          <w:sz w:val="32"/>
          <w:szCs w:val="32"/>
        </w:rPr>
        <w:t>将拟</w:t>
      </w:r>
      <w:r>
        <w:rPr>
          <w:rFonts w:hint="eastAsia" w:ascii="仿宋_GB2312" w:hAnsi="仿宋_GB2312" w:eastAsia="仿宋_GB2312" w:cs="仿宋_GB2312"/>
          <w:color w:val="auto"/>
          <w:sz w:val="32"/>
          <w:szCs w:val="32"/>
          <w:lang w:eastAsia="zh-CN"/>
        </w:rPr>
        <w:t>定</w:t>
      </w:r>
      <w:r>
        <w:rPr>
          <w:rFonts w:hint="eastAsia" w:ascii="仿宋_GB2312" w:hAnsi="仿宋_GB2312" w:eastAsia="仿宋_GB2312" w:cs="仿宋_GB2312"/>
          <w:color w:val="auto"/>
          <w:sz w:val="32"/>
          <w:szCs w:val="32"/>
        </w:rPr>
        <w:t>名单在信用中国（广东珠海）网站正式公布，公示期为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天。</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kern w:val="0"/>
          <w:sz w:val="32"/>
          <w:szCs w:val="32"/>
          <w:lang w:eastAsia="zh-CN"/>
        </w:rPr>
        <w:t>（四）名单确认。</w:t>
      </w:r>
      <w:r>
        <w:rPr>
          <w:rFonts w:hint="eastAsia" w:ascii="仿宋_GB2312" w:hAnsi="仿宋_GB2312" w:eastAsia="仿宋_GB2312" w:cs="仿宋_GB2312"/>
          <w:color w:val="auto"/>
          <w:sz w:val="32"/>
          <w:szCs w:val="32"/>
          <w:lang w:eastAsia="zh-CN"/>
        </w:rPr>
        <w:t>公示期满后，无异议，企业作出信用承诺后即可成为珠海市优质诚信企业，并</w:t>
      </w:r>
      <w:r>
        <w:rPr>
          <w:rFonts w:hint="eastAsia" w:ascii="仿宋_GB2312" w:hAnsi="仿宋_GB2312" w:eastAsia="仿宋_GB2312" w:cs="仿宋_GB2312"/>
          <w:b w:val="0"/>
          <w:bCs w:val="0"/>
          <w:color w:val="auto"/>
          <w:sz w:val="32"/>
          <w:szCs w:val="32"/>
          <w:lang w:val="en-US" w:eastAsia="zh-CN"/>
        </w:rPr>
        <w:t>在全国公共信用信息共享平台（广东珠海）出具的信用报告中增加特殊标识，享受相关信用激励措施。</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kern w:val="0"/>
          <w:sz w:val="32"/>
          <w:szCs w:val="32"/>
          <w:lang w:eastAsia="zh-CN"/>
        </w:rPr>
        <w:t>（五）名单调整。</w:t>
      </w:r>
      <w:r>
        <w:rPr>
          <w:rFonts w:hint="eastAsia" w:ascii="仿宋_GB2312" w:hAnsi="仿宋_GB2312" w:eastAsia="仿宋_GB2312" w:cs="仿宋_GB2312"/>
          <w:color w:val="auto"/>
          <w:sz w:val="32"/>
          <w:szCs w:val="32"/>
        </w:rPr>
        <w:t>实行动态管理。原则上每年</w:t>
      </w:r>
      <w:r>
        <w:rPr>
          <w:rFonts w:hint="eastAsia" w:ascii="仿宋_GB2312" w:hAnsi="仿宋_GB2312" w:eastAsia="仿宋_GB2312" w:cs="仿宋_GB2312"/>
          <w:color w:val="auto"/>
          <w:sz w:val="32"/>
          <w:szCs w:val="32"/>
          <w:lang w:eastAsia="zh-CN"/>
        </w:rPr>
        <w:t>评价</w:t>
      </w:r>
      <w:r>
        <w:rPr>
          <w:rFonts w:hint="eastAsia" w:ascii="仿宋_GB2312" w:hAnsi="仿宋_GB2312" w:eastAsia="仿宋_GB2312" w:cs="仿宋_GB2312"/>
          <w:color w:val="auto"/>
          <w:sz w:val="32"/>
          <w:szCs w:val="32"/>
        </w:rPr>
        <w:t>一次，名称有效期为1年，可重复推荐。已被确定的企业，如信用水平下降或出现失信问题，将根据情节轻重，予以限期整改或撤销其企业名称，不再享受相关优惠政策。</w:t>
      </w:r>
    </w:p>
    <w:p>
      <w:pPr>
        <w:pStyle w:val="3"/>
        <w:keepNext w:val="0"/>
        <w:keepLines w:val="0"/>
        <w:pageBreakBefore w:val="0"/>
        <w:widowControl w:val="0"/>
        <w:kinsoku/>
        <w:wordWrap/>
        <w:overflowPunct/>
        <w:topLinePunct w:val="0"/>
        <w:autoSpaceDE/>
        <w:autoSpaceDN/>
        <w:bidi w:val="0"/>
        <w:adjustRightInd w:val="0"/>
        <w:snapToGrid w:val="0"/>
        <w:spacing w:after="0" w:afterLines="0" w:line="336" w:lineRule="auto"/>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sz w:val="32"/>
          <w:szCs w:val="32"/>
          <w:lang w:eastAsia="zh-CN"/>
        </w:rPr>
        <w:t>（备注：具体流程以后续认定细则通知为准）</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七、守信激励措施</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优质诚信</w:t>
      </w:r>
      <w:r>
        <w:rPr>
          <w:rFonts w:hint="eastAsia" w:ascii="仿宋_GB2312" w:hAnsi="仿宋_GB2312" w:eastAsia="仿宋_GB2312" w:cs="仿宋_GB2312"/>
          <w:color w:val="auto"/>
          <w:kern w:val="0"/>
          <w:sz w:val="32"/>
          <w:szCs w:val="32"/>
        </w:rPr>
        <w:t>企业提供</w:t>
      </w:r>
      <w:r>
        <w:rPr>
          <w:rFonts w:hint="eastAsia" w:ascii="仿宋_GB2312" w:hAnsi="仿宋_GB2312" w:eastAsia="仿宋_GB2312" w:cs="仿宋_GB2312"/>
          <w:color w:val="auto"/>
          <w:kern w:val="0"/>
          <w:sz w:val="32"/>
          <w:szCs w:val="32"/>
          <w:lang w:eastAsia="zh-CN"/>
        </w:rPr>
        <w:t>由</w:t>
      </w:r>
      <w:r>
        <w:rPr>
          <w:rFonts w:hint="eastAsia" w:ascii="仿宋_GB2312" w:hAnsi="仿宋_GB2312" w:eastAsia="仿宋_GB2312" w:cs="仿宋_GB2312"/>
          <w:b w:val="0"/>
          <w:bCs w:val="0"/>
          <w:color w:val="auto"/>
          <w:sz w:val="32"/>
          <w:szCs w:val="32"/>
          <w:lang w:val="en-US" w:eastAsia="zh-CN"/>
        </w:rPr>
        <w:t>全国公共信用信息共享平台（广东珠海）出具的信用报告</w:t>
      </w:r>
      <w:r>
        <w:rPr>
          <w:rFonts w:hint="eastAsia" w:ascii="仿宋_GB2312" w:hAnsi="仿宋_GB2312" w:eastAsia="仿宋_GB2312" w:cs="仿宋_GB2312"/>
          <w:color w:val="auto"/>
          <w:sz w:val="32"/>
          <w:szCs w:val="32"/>
        </w:rPr>
        <w:t>，主管单位通过</w:t>
      </w:r>
      <w:r>
        <w:rPr>
          <w:rFonts w:hint="eastAsia" w:ascii="仿宋_GB2312" w:hAnsi="仿宋_GB2312" w:eastAsia="仿宋_GB2312" w:cs="仿宋_GB2312"/>
          <w:color w:val="auto"/>
          <w:kern w:val="0"/>
          <w:sz w:val="32"/>
          <w:szCs w:val="32"/>
        </w:rPr>
        <w:t>全国信用信息共享平台（广东珠海）</w:t>
      </w:r>
      <w:r>
        <w:rPr>
          <w:rFonts w:hint="eastAsia" w:ascii="仿宋_GB2312" w:hAnsi="仿宋_GB2312" w:eastAsia="仿宋_GB2312" w:cs="仿宋_GB2312"/>
          <w:color w:val="auto"/>
          <w:sz w:val="32"/>
          <w:szCs w:val="32"/>
        </w:rPr>
        <w:t>和信用中国（广东珠海）网站核验确认</w:t>
      </w:r>
      <w:r>
        <w:rPr>
          <w:rFonts w:hint="eastAsia" w:ascii="仿宋_GB2312" w:hAnsi="仿宋_GB2312" w:eastAsia="仿宋_GB2312" w:cs="仿宋_GB2312"/>
          <w:color w:val="auto"/>
          <w:sz w:val="32"/>
          <w:szCs w:val="32"/>
          <w:lang w:eastAsia="zh-CN"/>
        </w:rPr>
        <w:t>，企业</w:t>
      </w:r>
      <w:r>
        <w:rPr>
          <w:rFonts w:hint="eastAsia" w:ascii="仿宋_GB2312" w:hAnsi="仿宋_GB2312" w:eastAsia="仿宋_GB2312" w:cs="仿宋_GB2312"/>
          <w:color w:val="auto"/>
          <w:sz w:val="32"/>
          <w:szCs w:val="32"/>
        </w:rPr>
        <w:t>将享受以下</w:t>
      </w:r>
      <w:r>
        <w:rPr>
          <w:rFonts w:hint="eastAsia" w:ascii="仿宋_GB2312" w:hAnsi="仿宋_GB2312" w:eastAsia="仿宋_GB2312" w:cs="仿宋_GB2312"/>
          <w:color w:val="auto"/>
          <w:sz w:val="32"/>
          <w:szCs w:val="32"/>
          <w:lang w:eastAsia="zh-CN"/>
        </w:rPr>
        <w:t>措施</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eastAsia="zh-CN"/>
        </w:rPr>
        <w:t>（一）政府专项资金、基金、融资信贷方面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 w:eastAsia="zh-CN"/>
        </w:rPr>
        <w:t>联合</w:t>
      </w:r>
      <w:r>
        <w:rPr>
          <w:rFonts w:hint="eastAsia" w:ascii="仿宋_GB2312" w:hAnsi="仿宋_GB2312" w:eastAsia="仿宋_GB2312" w:cs="仿宋_GB2312"/>
          <w:b w:val="0"/>
          <w:bCs w:val="0"/>
          <w:color w:val="auto"/>
          <w:sz w:val="32"/>
          <w:szCs w:val="32"/>
          <w:lang w:val="en-US" w:eastAsia="zh-CN"/>
        </w:rPr>
        <w:t>2</w:t>
      </w:r>
      <w:r>
        <w:rPr>
          <w:rFonts w:hint="default" w:ascii="仿宋_GB2312" w:hAnsi="仿宋_GB2312" w:eastAsia="仿宋_GB2312" w:cs="仿宋_GB2312"/>
          <w:b w:val="0"/>
          <w:bCs w:val="0"/>
          <w:color w:val="auto"/>
          <w:sz w:val="32"/>
          <w:szCs w:val="32"/>
          <w:lang w:val="en" w:eastAsia="zh-CN"/>
        </w:rPr>
        <w:t>1</w:t>
      </w:r>
      <w:r>
        <w:rPr>
          <w:rFonts w:hint="eastAsia" w:ascii="仿宋_GB2312" w:hAnsi="仿宋_GB2312" w:eastAsia="仿宋_GB2312" w:cs="仿宋_GB2312"/>
          <w:b w:val="0"/>
          <w:bCs w:val="0"/>
          <w:color w:val="auto"/>
          <w:sz w:val="32"/>
          <w:szCs w:val="32"/>
          <w:lang w:val="en" w:eastAsia="zh-CN"/>
        </w:rPr>
        <w:t>家银行签署备忘录，对</w:t>
      </w:r>
      <w:r>
        <w:rPr>
          <w:rFonts w:hint="eastAsia" w:ascii="仿宋_GB2312" w:hAnsi="仿宋_GB2312" w:eastAsia="仿宋_GB2312" w:cs="仿宋_GB2312"/>
          <w:b w:val="0"/>
          <w:bCs w:val="0"/>
          <w:color w:val="auto"/>
          <w:sz w:val="32"/>
          <w:szCs w:val="32"/>
          <w:lang w:val="en-US" w:eastAsia="zh-CN"/>
        </w:rPr>
        <w:t>优质诚信企业</w:t>
      </w:r>
      <w:r>
        <w:rPr>
          <w:rFonts w:hint="eastAsia" w:ascii="仿宋_GB2312" w:hAnsi="仿宋_GB2312" w:eastAsia="仿宋_GB2312" w:cs="仿宋_GB2312"/>
          <w:b w:val="0"/>
          <w:bCs w:val="0"/>
          <w:color w:val="auto"/>
          <w:sz w:val="32"/>
          <w:szCs w:val="32"/>
          <w:lang w:val="en" w:eastAsia="zh-CN"/>
        </w:rPr>
        <w:t>授信额度提升至1.2倍，新增贷款给予同类型贷款最低利率，并给予融资审批绿色通道。（</w:t>
      </w:r>
      <w:r>
        <w:rPr>
          <w:rFonts w:hint="eastAsia" w:ascii="仿宋_GB2312" w:hAnsi="仿宋_GB2312" w:eastAsia="仿宋_GB2312" w:cs="仿宋_GB2312"/>
          <w:b w:val="0"/>
          <w:bCs w:val="0"/>
          <w:color w:val="auto"/>
          <w:sz w:val="32"/>
          <w:szCs w:val="32"/>
          <w:lang w:val="en-US" w:eastAsia="zh-CN"/>
        </w:rPr>
        <w:t>市发展改革局）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2.整合市区各级政府基金、投资机构资源对优质诚信企业增资扩产、定向增发等给予重点支持。以优质诚信企业为核心投资布局产业链上下游实现强链。（市发展改革局）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在内外贸发展专项资金、促进实体经济高质量发展专项资金、科技创新专项资金、环保领域专项资金、人才专项资金等资金申请方面，同等条件下予以优先考虑，重点推荐。（市商务局、市工业和信息化局、市科技创新局、市生态环境局、市人力资源社会保障局）</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（二）人才引进方面</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4.优质诚信企业的所有员工纳入我市人才引进入户政策范围，不受学历、职称、技能等级限制。（市人力资源社会保障局）</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（三）教育资源配备方面</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5.优质诚信企业的人才子女</w:t>
      </w:r>
      <w:r>
        <w:rPr>
          <w:rFonts w:hint="eastAsia" w:ascii="仿宋_GB2312" w:hAnsi="仿宋_GB2312" w:eastAsia="仿宋_GB2312" w:cs="仿宋_GB2312"/>
          <w:color w:val="auto"/>
          <w:sz w:val="32"/>
          <w:szCs w:val="32"/>
          <w:lang w:eastAsia="zh-CN"/>
        </w:rPr>
        <w:t>申请入读义务教育阶段公办学校的，按照《珠海市人才子女入学（园）服务工作实施办法》及相关入学政策予以保障</w:t>
      </w:r>
      <w:r>
        <w:rPr>
          <w:rFonts w:hint="eastAsia" w:ascii="仿宋_GB2312" w:hAnsi="仿宋_GB2312" w:eastAsia="仿宋_GB2312" w:cs="仿宋_GB2312"/>
          <w:color w:val="auto"/>
          <w:sz w:val="32"/>
          <w:szCs w:val="32"/>
          <w:lang w:val="en-US" w:eastAsia="zh-CN"/>
        </w:rPr>
        <w:t>。（市教育局）</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（四）保障性住房、人才性住房方面</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6.根据各区保障性住房房源实际情况，企业可以通过团租的方式申请，申请人可采用承诺制，先与租赁住房运营单位签订租赁合同并入住，后补交申请材料。符合公租房不同类别申请资 格的人员给予不同租金优惠。</w:t>
      </w:r>
      <w:r>
        <w:rPr>
          <w:rFonts w:hint="eastAsia" w:ascii="仿宋_GB2312" w:hAnsi="仿宋_GB2312" w:eastAsia="仿宋_GB2312" w:cs="仿宋_GB2312"/>
          <w:color w:val="auto"/>
          <w:sz w:val="32"/>
          <w:szCs w:val="32"/>
          <w:lang w:eastAsia="zh-CN"/>
        </w:rPr>
        <w:t>（市住房城乡建设局）</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（五）招投标、政府采购方面</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在政府投资工程招投标中，名单内企业荣誉可作为招标推荐入围和定标择优要素，同等条件下优先考虑。企业参与政府投资或者政府与社会资本合作的建设项目，予以减免保证金，可采用投标保证金承诺函替代投标保证金。（市住房城乡建设局、市发展改革局、市政务服务数据管理局、市公共工程建设中心）</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经科技部门审核认定，纳入创新产品清单范围内的相关货物、服务，在政府采购过程中，按照相关规定实行首购定购。（市财政局）</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（六）交通出行方面</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9.优质诚信企业法定代表人在我市办理往来港澳商务备案和签注时，享受加急办理等绿色服务通道。（市公安局、市交通运输局）</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（七）涉税方面</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vertAlign w:val="baseline"/>
          <w:lang w:val="en-US" w:eastAsia="zh-CN"/>
        </w:rPr>
        <w:t>10.</w:t>
      </w:r>
      <w:r>
        <w:rPr>
          <w:rFonts w:hint="eastAsia" w:ascii="仿宋_GB2312" w:hAnsi="仿宋_GB2312" w:eastAsia="仿宋_GB2312" w:cs="仿宋_GB2312"/>
          <w:color w:val="auto"/>
          <w:sz w:val="32"/>
          <w:szCs w:val="32"/>
          <w:highlight w:val="none"/>
          <w:vertAlign w:val="baseline"/>
          <w:lang w:eastAsia="zh-CN"/>
        </w:rPr>
        <w:t>在税费服务方面给与优质诚信企业优待，提供绿色通道、容缺受理、服务承诺等便利措施。对其中非</w:t>
      </w:r>
      <w:r>
        <w:rPr>
          <w:rFonts w:hint="eastAsia" w:ascii="仿宋_GB2312" w:hAnsi="仿宋_GB2312" w:eastAsia="仿宋_GB2312" w:cs="仿宋_GB2312"/>
          <w:color w:val="auto"/>
          <w:sz w:val="32"/>
          <w:szCs w:val="32"/>
          <w:highlight w:val="none"/>
          <w:vertAlign w:val="baseline"/>
          <w:lang w:val="en-US" w:eastAsia="zh-CN"/>
        </w:rPr>
        <w:t>A级纳税人，提供优先培育提升支持</w:t>
      </w:r>
      <w:r>
        <w:rPr>
          <w:rFonts w:hint="eastAsia" w:ascii="仿宋_GB2312" w:hAnsi="仿宋_GB2312" w:eastAsia="仿宋_GB2312" w:cs="仿宋_GB2312"/>
          <w:color w:val="auto"/>
          <w:sz w:val="32"/>
          <w:szCs w:val="32"/>
          <w:highlight w:val="none"/>
          <w:vertAlign w:val="baseline"/>
          <w:lang w:eastAsia="zh-CN"/>
        </w:rPr>
        <w:t>。</w:t>
      </w:r>
      <w:r>
        <w:rPr>
          <w:rFonts w:hint="eastAsia" w:ascii="仿宋_GB2312" w:hAnsi="仿宋_GB2312" w:eastAsia="仿宋_GB2312" w:cs="仿宋_GB2312"/>
          <w:b w:val="0"/>
          <w:bCs w:val="0"/>
          <w:color w:val="auto"/>
          <w:sz w:val="32"/>
          <w:szCs w:val="32"/>
          <w:lang w:val="en-US" w:eastAsia="zh-CN"/>
        </w:rPr>
        <w:t xml:space="preserve">（市税务局） </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（八）生态环保方面</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336" w:lineRule="auto"/>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11.在办理环境影响评价文件审批等环境保护许可事项，纳入告知承诺制名录内的项目可申请环评告知承诺制审批，企业有需求时可提前介入服务。日常监管中，在无举报情况下，比照绿牌企业享受优化检查方式或者减少检查频次。（市生态环境局） </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（九）知识产权方面</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336" w:lineRule="auto"/>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12.对优质诚信企业给予快速预审服务，帮助企业快速获得专利权，更快保护技术和产品，赢得市场先机。给予知识产权保护方面的法律宣传、业务指导等支持。（市知识产权局）</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（十）海关通关方面</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13.对优质诚信企业中不属于海关高级认证企业的，优先给予信用培育，支持优质诚信企业提高海关信用等级。可根据企业需要提供协调员服务。（拱北海关）</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（十一）奖项评定、资格认定方面</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14.在政府质量奖、知识产权优势企业、高层次人才认定、珠海工匠认定、会展资格等方面，同等条件下予以优先考虑，重点推荐。（市市场监管局、市知识产权局、市人力资源社会保障局、市商务局）</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15.在参与助人为乐和诚实守信类别的珠海好人、道德模范评选活动等方面，同等条件下予以优先考虑，重点推荐。（市文明办）</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（十二）信用修复方面</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16.对于优质诚信企业在行政处罚信用修复时，给予特殊绿色通道，如优先提醒、优先处理、缩短审核时间等，帮助其尽快恢复信用，给企业上市、融资、招投标等经营活动提供便利。（市发展改革局）</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17.失信信息被屏蔽后，其因融资、招投标等需要请求提供信用修复证明的，人民法院可根据企业申请出具相关证明材料等。（市中院）</w:t>
      </w:r>
    </w:p>
    <w:p>
      <w:pPr>
        <w:pStyle w:val="3"/>
        <w:keepNext w:val="0"/>
        <w:keepLines w:val="0"/>
        <w:pageBreakBefore w:val="0"/>
        <w:widowControl w:val="0"/>
        <w:kinsoku/>
        <w:wordWrap/>
        <w:overflowPunct/>
        <w:topLinePunct w:val="0"/>
        <w:autoSpaceDE/>
        <w:autoSpaceDN/>
        <w:bidi w:val="0"/>
        <w:adjustRightInd w:val="0"/>
        <w:snapToGrid w:val="0"/>
        <w:spacing w:after="0"/>
        <w:textAlignment w:val="auto"/>
        <w:rPr>
          <w:rFonts w:hint="default"/>
          <w:sz w:val="2"/>
          <w:szCs w:val="6"/>
          <w:lang w:val="en-US" w:eastAsia="zh-CN"/>
        </w:rPr>
      </w:pPr>
      <w:bookmarkStart w:id="0" w:name="_GoBack"/>
      <w:bookmarkEnd w:id="0"/>
    </w:p>
    <w:sectPr>
      <w:footerReference r:id="rId3" w:type="default"/>
      <w:pgSz w:w="11906" w:h="16838"/>
      <w:pgMar w:top="2098" w:right="1587" w:bottom="2098" w:left="1587" w:header="851" w:footer="130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JiT5gwwEAAHADAAAOAAAAAAAAAAEAIAAAAB4BAABkcnMvZTJvRG9jLnhtbFBL&#10;BQYAAAAABgAGAFkBAABTBQAAAAA=&#10;">
              <v:fill on="f" focussize="0,0"/>
              <v:stroke on="f"/>
              <v:imagedata o:title=""/>
              <o:lock v:ext="edit" aspectratio="f"/>
              <v:textbox inset="0mm,0mm,0mm,0mm" style="mso-fit-shape-to-text:t;">
                <w:txbxContent>
                  <w:p>
                    <w:pPr>
                      <w:pStyle w:val="5"/>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1"/>
  <w:bordersDoNotSurroundFooter w:val="1"/>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lYTg5OGVjYTUyMDhjNmM1YjExZjllZWI5MWZjZWEifQ=="/>
  </w:docVars>
  <w:rsids>
    <w:rsidRoot w:val="FBBF7E52"/>
    <w:rsid w:val="049D1A82"/>
    <w:rsid w:val="08AC7C46"/>
    <w:rsid w:val="0A7A350D"/>
    <w:rsid w:val="0AFB0F24"/>
    <w:rsid w:val="13ED03D8"/>
    <w:rsid w:val="15356013"/>
    <w:rsid w:val="186F2A85"/>
    <w:rsid w:val="1BE54009"/>
    <w:rsid w:val="1CBA4E5F"/>
    <w:rsid w:val="1CCA3946"/>
    <w:rsid w:val="24664E5F"/>
    <w:rsid w:val="251C46B2"/>
    <w:rsid w:val="27F78312"/>
    <w:rsid w:val="32897677"/>
    <w:rsid w:val="357F6686"/>
    <w:rsid w:val="3635690F"/>
    <w:rsid w:val="37296998"/>
    <w:rsid w:val="3B8678B6"/>
    <w:rsid w:val="3BC941C2"/>
    <w:rsid w:val="3EA313FE"/>
    <w:rsid w:val="3EBF8638"/>
    <w:rsid w:val="3F57B509"/>
    <w:rsid w:val="3F997D94"/>
    <w:rsid w:val="3FF179A1"/>
    <w:rsid w:val="435E2E8D"/>
    <w:rsid w:val="445507C6"/>
    <w:rsid w:val="45203AFE"/>
    <w:rsid w:val="45E95416"/>
    <w:rsid w:val="462D7B70"/>
    <w:rsid w:val="48BD40E6"/>
    <w:rsid w:val="4CEE29C5"/>
    <w:rsid w:val="4E46696A"/>
    <w:rsid w:val="4FAA211F"/>
    <w:rsid w:val="516633AE"/>
    <w:rsid w:val="529B0814"/>
    <w:rsid w:val="53FC1DCB"/>
    <w:rsid w:val="55777CC8"/>
    <w:rsid w:val="57FFD794"/>
    <w:rsid w:val="5CA82BF8"/>
    <w:rsid w:val="5DF47BDD"/>
    <w:rsid w:val="5EF145DA"/>
    <w:rsid w:val="603F7F56"/>
    <w:rsid w:val="61424A1D"/>
    <w:rsid w:val="636E387A"/>
    <w:rsid w:val="66CB59A7"/>
    <w:rsid w:val="67EBF6A9"/>
    <w:rsid w:val="68E42D42"/>
    <w:rsid w:val="69107F6C"/>
    <w:rsid w:val="6D5EA225"/>
    <w:rsid w:val="6F2339E9"/>
    <w:rsid w:val="6F7621BB"/>
    <w:rsid w:val="6F8F1BAD"/>
    <w:rsid w:val="6FBA74E7"/>
    <w:rsid w:val="6FCB2D59"/>
    <w:rsid w:val="76D128B1"/>
    <w:rsid w:val="76F63B2D"/>
    <w:rsid w:val="77EDB594"/>
    <w:rsid w:val="789FA297"/>
    <w:rsid w:val="7CFFCB6C"/>
    <w:rsid w:val="7E3F921C"/>
    <w:rsid w:val="7E7DF29B"/>
    <w:rsid w:val="7EA76B0F"/>
    <w:rsid w:val="7F6BCD21"/>
    <w:rsid w:val="7FDFF309"/>
    <w:rsid w:val="7FF6703A"/>
    <w:rsid w:val="7FFCBA9B"/>
    <w:rsid w:val="7FFFC9A4"/>
    <w:rsid w:val="876DB700"/>
    <w:rsid w:val="89B60F9D"/>
    <w:rsid w:val="8FFCF535"/>
    <w:rsid w:val="91BFC557"/>
    <w:rsid w:val="977F7004"/>
    <w:rsid w:val="B5F74FB6"/>
    <w:rsid w:val="BBFFFB16"/>
    <w:rsid w:val="BDFF8ECC"/>
    <w:rsid w:val="BFCDCF6C"/>
    <w:rsid w:val="C9ED2C7F"/>
    <w:rsid w:val="CEFF3E1C"/>
    <w:rsid w:val="DDAB376E"/>
    <w:rsid w:val="DEFB2D2F"/>
    <w:rsid w:val="DFBFE72F"/>
    <w:rsid w:val="DFC7DDAC"/>
    <w:rsid w:val="E17B84E1"/>
    <w:rsid w:val="E77BF439"/>
    <w:rsid w:val="EB6EBAB4"/>
    <w:rsid w:val="EBB7E37F"/>
    <w:rsid w:val="EE7DE895"/>
    <w:rsid w:val="F3FD7A15"/>
    <w:rsid w:val="F7CF3B48"/>
    <w:rsid w:val="F7FE0578"/>
    <w:rsid w:val="FABB7D05"/>
    <w:rsid w:val="FBBF7E52"/>
    <w:rsid w:val="FBF24D0D"/>
    <w:rsid w:val="FBF95A89"/>
    <w:rsid w:val="FD775A89"/>
    <w:rsid w:val="FDF70EDF"/>
    <w:rsid w:val="FDFFF297"/>
    <w:rsid w:val="FEA589FB"/>
    <w:rsid w:val="FF75BC5A"/>
    <w:rsid w:val="FFAC6257"/>
    <w:rsid w:val="FFBBD1D7"/>
    <w:rsid w:val="FFFBCF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rFonts w:eastAsia="宋体"/>
      <w:b/>
      <w:sz w:val="32"/>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Plain Text"/>
    <w:basedOn w:val="1"/>
    <w:qFormat/>
    <w:uiPriority w:val="0"/>
    <w:rPr>
      <w:rFonts w:ascii="宋体" w:hAnsi="Courier New" w:eastAsia="宋体" w:cs="Courier New"/>
      <w:kern w:val="2"/>
      <w:sz w:val="21"/>
      <w:szCs w:val="21"/>
      <w:lang w:val="en-US" w:eastAsia="zh-CN" w:bidi="ar-SA"/>
    </w:rPr>
  </w:style>
  <w:style w:type="paragraph" w:styleId="5">
    <w:name w:val="footer"/>
    <w:basedOn w:val="1"/>
    <w:qFormat/>
    <w:uiPriority w:val="0"/>
    <w:pPr>
      <w:tabs>
        <w:tab w:val="center" w:pos="4153"/>
        <w:tab w:val="right" w:pos="8306"/>
      </w:tabs>
      <w:snapToGrid w:val="0"/>
      <w:jc w:val="left"/>
    </w:pPr>
    <w:rPr>
      <w:rFonts w:eastAsia="仿宋_GB2312"/>
      <w:kern w:val="2"/>
      <w:sz w:val="18"/>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0">
    <w:name w:val="Char1 Char Char Char Char Char Char"/>
    <w:basedOn w:val="1"/>
    <w:qFormat/>
    <w:uiPriority w:val="0"/>
    <w:pPr>
      <w:autoSpaceDE w:val="0"/>
      <w:autoSpaceDN w:val="0"/>
    </w:pPr>
  </w:style>
  <w:style w:type="paragraph" w:customStyle="1" w:styleId="11">
    <w:name w:val="样式1"/>
    <w:basedOn w:val="12"/>
    <w:qFormat/>
    <w:uiPriority w:val="0"/>
    <w:pPr>
      <w:spacing w:line="579" w:lineRule="exact"/>
      <w:ind w:firstLine="640" w:firstLineChars="200"/>
    </w:pPr>
    <w:rPr>
      <w:rFonts w:ascii="Times New Roman" w:hAnsi="Times New Roman" w:eastAsia="宋体" w:cs="Times New Roman"/>
    </w:rPr>
  </w:style>
  <w:style w:type="paragraph" w:customStyle="1" w:styleId="12">
    <w:name w:val="正文1"/>
    <w:basedOn w:val="1"/>
    <w:qFormat/>
    <w:uiPriority w:val="0"/>
    <w:pPr>
      <w:ind w:firstLine="708" w:firstLineChars="236"/>
    </w:pPr>
    <w:rPr>
      <w:rFonts w:ascii="仿宋_GB2312" w:hAnsi="Times New Roman" w:eastAsia="仿宋_GB2312" w:cs="仿宋_GB2312"/>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20</Pages>
  <Words>0</Words>
  <Characters>0</Characters>
  <Lines>0</Lines>
  <Paragraphs>0</Paragraphs>
  <TotalTime>19</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2024-03-18T01:32:00Z</dcterms:created>
  <dc:creator>tjj</dc:creator>
  <cp:lastModifiedBy>Captain michael</cp:lastModifiedBy>
  <dcterms:modified xsi:type="dcterms:W3CDTF">2024-05-30T02:28:56Z</dcterms:modified>
  <dc:title>关于印发《珠海市统计局关于统计守信A级</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0673A15940D5D8164BB229664A735821</vt:lpwstr>
  </property>
</Properties>
</file>