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758" w:type="dxa"/>
        <w:tblInd w:w="-127" w:type="dxa"/>
        <w:tblLayout w:type="fixed"/>
        <w:tblCellMar>
          <w:top w:w="0" w:type="dxa"/>
          <w:left w:w="0" w:type="dxa"/>
          <w:bottom w:w="0" w:type="dxa"/>
          <w:right w:w="0" w:type="dxa"/>
        </w:tblCellMar>
      </w:tblPr>
      <w:tblGrid>
        <w:gridCol w:w="910"/>
        <w:gridCol w:w="514"/>
        <w:gridCol w:w="6347"/>
        <w:gridCol w:w="987"/>
      </w:tblGrid>
      <w:tr w14:paraId="56B2C4DD">
        <w:tblPrEx>
          <w:tblCellMar>
            <w:top w:w="0" w:type="dxa"/>
            <w:left w:w="0" w:type="dxa"/>
            <w:bottom w:w="0" w:type="dxa"/>
            <w:right w:w="0" w:type="dxa"/>
          </w:tblCellMar>
        </w:tblPrEx>
        <w:trPr>
          <w:trHeight w:val="840" w:hRule="atLeast"/>
        </w:trPr>
        <w:tc>
          <w:tcPr>
            <w:tcW w:w="1424"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03516EBA">
            <w:pPr>
              <w:widowControl/>
              <w:jc w:val="center"/>
              <w:rPr>
                <w:rFonts w:hint="eastAsia" w:ascii="等线" w:hAnsi="等线" w:eastAsia="等线" w:cs="宋体"/>
                <w:kern w:val="0"/>
                <w:szCs w:val="21"/>
                <w:lang w:eastAsia="zh-CN"/>
                <w14:ligatures w14:val="none"/>
              </w:rPr>
            </w:pPr>
            <w:bookmarkStart w:id="0" w:name="RANGE!A1:D13"/>
            <w:r>
              <w:rPr>
                <w:rFonts w:hint="eastAsia" w:ascii="等线" w:hAnsi="等线" w:eastAsia="等线" w:cs="宋体"/>
                <w:kern w:val="0"/>
                <w:szCs w:val="21"/>
                <w14:ligatures w14:val="none"/>
              </w:rPr>
              <w:t>附件</w:t>
            </w:r>
            <w:bookmarkEnd w:id="0"/>
            <w:r>
              <w:rPr>
                <w:rFonts w:hint="eastAsia" w:ascii="等线" w:hAnsi="等线" w:eastAsia="等线" w:cs="宋体"/>
                <w:kern w:val="0"/>
                <w:szCs w:val="21"/>
                <w:lang w:val="en-US" w:eastAsia="zh-CN"/>
                <w14:ligatures w14:val="none"/>
              </w:rPr>
              <w:t>3</w:t>
            </w:r>
          </w:p>
        </w:tc>
        <w:tc>
          <w:tcPr>
            <w:tcW w:w="6347" w:type="dxa"/>
            <w:tcBorders>
              <w:top w:val="nil"/>
              <w:left w:val="nil"/>
              <w:bottom w:val="nil"/>
              <w:right w:val="nil"/>
            </w:tcBorders>
            <w:shd w:val="clear" w:color="auto" w:fill="auto"/>
            <w:noWrap/>
            <w:tcMar>
              <w:top w:w="15" w:type="dxa"/>
              <w:left w:w="15" w:type="dxa"/>
              <w:bottom w:w="0" w:type="dxa"/>
              <w:right w:w="15" w:type="dxa"/>
            </w:tcMar>
            <w:vAlign w:val="center"/>
          </w:tcPr>
          <w:p w14:paraId="5FC91812">
            <w:pPr>
              <w:widowControl/>
              <w:jc w:val="center"/>
              <w:rPr>
                <w:rFonts w:hint="eastAsia" w:ascii="等线" w:hAnsi="等线" w:eastAsia="等线" w:cs="宋体"/>
                <w:kern w:val="0"/>
                <w:szCs w:val="21"/>
                <w14:ligatures w14:val="none"/>
              </w:rPr>
            </w:pPr>
          </w:p>
        </w:tc>
        <w:tc>
          <w:tcPr>
            <w:tcW w:w="987" w:type="dxa"/>
            <w:tcBorders>
              <w:top w:val="nil"/>
              <w:left w:val="nil"/>
              <w:bottom w:val="nil"/>
              <w:right w:val="nil"/>
            </w:tcBorders>
            <w:shd w:val="clear" w:color="auto" w:fill="auto"/>
            <w:noWrap/>
            <w:tcMar>
              <w:top w:w="15" w:type="dxa"/>
              <w:left w:w="15" w:type="dxa"/>
              <w:bottom w:w="0" w:type="dxa"/>
              <w:right w:w="15" w:type="dxa"/>
            </w:tcMar>
            <w:vAlign w:val="center"/>
          </w:tcPr>
          <w:p w14:paraId="188D9487">
            <w:pPr>
              <w:widowControl/>
              <w:jc w:val="left"/>
              <w:rPr>
                <w:rFonts w:ascii="Times New Roman" w:hAnsi="Times New Roman" w:eastAsia="Times New Roman" w:cs="Times New Roman"/>
                <w:kern w:val="0"/>
                <w:sz w:val="20"/>
                <w:szCs w:val="20"/>
                <w14:ligatures w14:val="none"/>
              </w:rPr>
            </w:pPr>
          </w:p>
        </w:tc>
      </w:tr>
      <w:tr w14:paraId="06BD3366">
        <w:tblPrEx>
          <w:tblCellMar>
            <w:top w:w="0" w:type="dxa"/>
            <w:left w:w="0" w:type="dxa"/>
            <w:bottom w:w="0" w:type="dxa"/>
            <w:right w:w="0" w:type="dxa"/>
          </w:tblCellMar>
        </w:tblPrEx>
        <w:trPr>
          <w:trHeight w:val="582" w:hRule="atLeast"/>
        </w:trPr>
        <w:tc>
          <w:tcPr>
            <w:tcW w:w="8758" w:type="dxa"/>
            <w:gridSpan w:val="4"/>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2C4B43BF">
            <w:pPr>
              <w:widowControl/>
              <w:jc w:val="center"/>
              <w:rPr>
                <w:rFonts w:hint="eastAsia" w:ascii="仿宋" w:hAnsi="仿宋" w:eastAsia="仿宋" w:cs="宋体"/>
                <w:b/>
                <w:bCs/>
                <w:kern w:val="0"/>
                <w:sz w:val="28"/>
                <w:szCs w:val="28"/>
                <w14:ligatures w14:val="none"/>
              </w:rPr>
            </w:pPr>
            <w:r>
              <w:rPr>
                <w:rFonts w:hint="eastAsia" w:ascii="仿宋" w:hAnsi="仿宋" w:eastAsia="仿宋" w:cs="宋体"/>
                <w:b/>
                <w:bCs/>
                <w:kern w:val="0"/>
                <w:sz w:val="28"/>
                <w:szCs w:val="28"/>
                <w14:ligatures w14:val="none"/>
              </w:rPr>
              <w:t>技术部分（</w:t>
            </w:r>
            <w:r>
              <w:rPr>
                <w:rFonts w:hint="eastAsia" w:ascii="仿宋" w:hAnsi="仿宋" w:eastAsia="仿宋" w:cs="宋体"/>
                <w:b/>
                <w:bCs/>
                <w:kern w:val="0"/>
                <w:sz w:val="28"/>
                <w:szCs w:val="28"/>
                <w:lang w:val="en-US" w:eastAsia="zh-CN"/>
                <w14:ligatures w14:val="none"/>
              </w:rPr>
              <w:t>50</w:t>
            </w:r>
            <w:r>
              <w:rPr>
                <w:rFonts w:hint="eastAsia" w:ascii="仿宋" w:hAnsi="仿宋" w:eastAsia="仿宋" w:cs="宋体"/>
                <w:b/>
                <w:bCs/>
                <w:kern w:val="0"/>
                <w:sz w:val="28"/>
                <w:szCs w:val="28"/>
                <w14:ligatures w14:val="none"/>
              </w:rPr>
              <w:t>分）</w:t>
            </w:r>
          </w:p>
        </w:tc>
      </w:tr>
      <w:tr w14:paraId="0B3D3AEF">
        <w:tblPrEx>
          <w:tblCellMar>
            <w:top w:w="0" w:type="dxa"/>
            <w:left w:w="0" w:type="dxa"/>
            <w:bottom w:w="0" w:type="dxa"/>
            <w:right w:w="0" w:type="dxa"/>
          </w:tblCellMar>
        </w:tblPrEx>
        <w:trPr>
          <w:trHeight w:val="439" w:hRule="atLeast"/>
        </w:trPr>
        <w:tc>
          <w:tcPr>
            <w:tcW w:w="91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67942D">
            <w:pPr>
              <w:widowControl/>
              <w:jc w:val="center"/>
              <w:rPr>
                <w:rFonts w:hint="eastAsia" w:ascii="仿宋" w:hAnsi="仿宋" w:eastAsia="仿宋" w:cs="宋体"/>
                <w:kern w:val="0"/>
                <w:sz w:val="22"/>
                <w14:ligatures w14:val="none"/>
              </w:rPr>
            </w:pPr>
            <w:r>
              <w:rPr>
                <w:rFonts w:hint="eastAsia" w:ascii="仿宋" w:hAnsi="仿宋" w:eastAsia="仿宋" w:cs="宋体"/>
                <w:kern w:val="0"/>
                <w:sz w:val="22"/>
                <w14:ligatures w14:val="none"/>
              </w:rPr>
              <w:t>序号</w:t>
            </w:r>
          </w:p>
        </w:tc>
        <w:tc>
          <w:tcPr>
            <w:tcW w:w="51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4970EA">
            <w:pPr>
              <w:widowControl/>
              <w:jc w:val="center"/>
              <w:rPr>
                <w:rFonts w:hint="eastAsia" w:ascii="仿宋" w:hAnsi="仿宋" w:eastAsia="仿宋" w:cs="宋体"/>
                <w:kern w:val="0"/>
                <w:sz w:val="22"/>
                <w14:ligatures w14:val="none"/>
              </w:rPr>
            </w:pPr>
            <w:r>
              <w:rPr>
                <w:rFonts w:hint="eastAsia" w:ascii="仿宋" w:hAnsi="仿宋" w:eastAsia="仿宋" w:cs="宋体"/>
                <w:kern w:val="0"/>
                <w:sz w:val="22"/>
                <w14:ligatures w14:val="none"/>
              </w:rPr>
              <w:t>指标</w:t>
            </w:r>
          </w:p>
        </w:tc>
        <w:tc>
          <w:tcPr>
            <w:tcW w:w="6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20978">
            <w:pPr>
              <w:widowControl/>
              <w:jc w:val="center"/>
              <w:rPr>
                <w:rFonts w:hint="eastAsia" w:ascii="仿宋" w:hAnsi="仿宋" w:eastAsia="仿宋" w:cs="宋体"/>
                <w:kern w:val="0"/>
                <w:sz w:val="22"/>
                <w14:ligatures w14:val="none"/>
              </w:rPr>
            </w:pPr>
            <w:r>
              <w:rPr>
                <w:rFonts w:hint="eastAsia" w:ascii="仿宋" w:hAnsi="仿宋" w:eastAsia="仿宋" w:cs="宋体"/>
                <w:kern w:val="0"/>
                <w:sz w:val="22"/>
                <w14:ligatures w14:val="none"/>
              </w:rPr>
              <w:t>评分标准</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F6149">
            <w:pPr>
              <w:widowControl/>
              <w:jc w:val="center"/>
              <w:rPr>
                <w:rFonts w:hint="eastAsia" w:ascii="仿宋" w:hAnsi="仿宋" w:eastAsia="仿宋" w:cs="宋体"/>
                <w:kern w:val="0"/>
                <w:sz w:val="22"/>
                <w14:ligatures w14:val="none"/>
              </w:rPr>
            </w:pPr>
            <w:r>
              <w:rPr>
                <w:rFonts w:hint="eastAsia" w:ascii="仿宋" w:hAnsi="仿宋" w:eastAsia="仿宋" w:cs="宋体"/>
                <w:kern w:val="0"/>
                <w:sz w:val="22"/>
                <w14:ligatures w14:val="none"/>
              </w:rPr>
              <w:t>分值</w:t>
            </w:r>
          </w:p>
        </w:tc>
      </w:tr>
      <w:tr w14:paraId="5D64614D">
        <w:tblPrEx>
          <w:tblCellMar>
            <w:top w:w="0" w:type="dxa"/>
            <w:left w:w="0" w:type="dxa"/>
            <w:bottom w:w="0" w:type="dxa"/>
            <w:right w:w="0" w:type="dxa"/>
          </w:tblCellMar>
        </w:tblPrEx>
        <w:trPr>
          <w:trHeight w:val="3720" w:hRule="atLeast"/>
        </w:trPr>
        <w:tc>
          <w:tcPr>
            <w:tcW w:w="91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1C09BA">
            <w:pPr>
              <w:widowControl/>
              <w:jc w:val="center"/>
              <w:rPr>
                <w:rFonts w:hint="eastAsia" w:ascii="仿宋" w:hAnsi="仿宋" w:eastAsia="仿宋" w:cs="宋体"/>
                <w:kern w:val="0"/>
                <w:sz w:val="22"/>
                <w14:ligatures w14:val="none"/>
              </w:rPr>
            </w:pPr>
            <w:r>
              <w:rPr>
                <w:rFonts w:hint="eastAsia" w:ascii="仿宋" w:hAnsi="仿宋" w:eastAsia="仿宋" w:cs="宋体"/>
                <w:kern w:val="0"/>
                <w:sz w:val="22"/>
                <w14:ligatures w14:val="none"/>
              </w:rPr>
              <w:t>1</w:t>
            </w:r>
          </w:p>
        </w:tc>
        <w:tc>
          <w:tcPr>
            <w:tcW w:w="51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BB3032A">
            <w:pPr>
              <w:widowControl/>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对项目理解与认识程度</w:t>
            </w:r>
          </w:p>
        </w:tc>
        <w:tc>
          <w:tcPr>
            <w:tcW w:w="63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F29B6F">
            <w:pPr>
              <w:widowControl/>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根据投标人对本项目的理解及认识程度，对项目重点、难点分析、应对措施及合理化建议等进行综合评审：</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1.对项目的理解及认识充分，重点、难点把握准确的，应对措施及合理化建议针对性及可操作性强，内容清晰、明确，能完全满足采购需求的，得1</w:t>
            </w:r>
            <w:r>
              <w:rPr>
                <w:rFonts w:hint="eastAsia" w:ascii="仿宋" w:hAnsi="仿宋" w:eastAsia="仿宋" w:cs="宋体"/>
                <w:kern w:val="0"/>
                <w:sz w:val="22"/>
                <w:lang w:val="en-US" w:eastAsia="zh-CN"/>
                <w14:ligatures w14:val="none"/>
              </w:rPr>
              <w:t>5</w:t>
            </w:r>
            <w:r>
              <w:rPr>
                <w:rFonts w:hint="eastAsia" w:ascii="仿宋" w:hAnsi="仿宋" w:eastAsia="仿宋" w:cs="宋体"/>
                <w:kern w:val="0"/>
                <w:sz w:val="22"/>
                <w14:ligatures w14:val="none"/>
              </w:rPr>
              <w:t>分;</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2.对项目的理解及认识较充分，重点、难点把握较准确的，应对措施及合理化建议针对性及可操作性较强，内容清晰，比较能满足采购需求的，得</w:t>
            </w:r>
            <w:r>
              <w:rPr>
                <w:rFonts w:hint="eastAsia" w:ascii="仿宋" w:hAnsi="仿宋" w:eastAsia="仿宋" w:cs="宋体"/>
                <w:kern w:val="0"/>
                <w:sz w:val="22"/>
                <w:lang w:val="en-US" w:eastAsia="zh-CN"/>
                <w14:ligatures w14:val="none"/>
              </w:rPr>
              <w:t>11</w:t>
            </w:r>
            <w:r>
              <w:rPr>
                <w:rFonts w:hint="eastAsia" w:ascii="仿宋" w:hAnsi="仿宋" w:eastAsia="仿宋" w:cs="宋体"/>
                <w:kern w:val="0"/>
                <w:sz w:val="22"/>
                <w14:ligatures w14:val="none"/>
              </w:rPr>
              <w:t>分；</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3.对项目的理解及认识一般，重点、难点把握准确性一般的，应对措施及合理化建议针对性及可操作性一般，内容基本准确，基本满足采购需求的，得</w:t>
            </w:r>
            <w:r>
              <w:rPr>
                <w:rFonts w:hint="eastAsia" w:ascii="仿宋" w:hAnsi="仿宋" w:eastAsia="仿宋" w:cs="宋体"/>
                <w:kern w:val="0"/>
                <w:sz w:val="22"/>
                <w:lang w:val="en-US" w:eastAsia="zh-CN"/>
                <w14:ligatures w14:val="none"/>
              </w:rPr>
              <w:t>7</w:t>
            </w:r>
            <w:r>
              <w:rPr>
                <w:rFonts w:hint="eastAsia" w:ascii="仿宋" w:hAnsi="仿宋" w:eastAsia="仿宋" w:cs="宋体"/>
                <w:kern w:val="0"/>
                <w:sz w:val="22"/>
                <w14:ligatures w14:val="none"/>
              </w:rPr>
              <w:t>分;</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4.对项目的理解及重点、难点把握准确性差的，应对措施及合理化建议针对性及可操作性不够，内容不准确的，不能满足采购需求的，得</w:t>
            </w:r>
            <w:r>
              <w:rPr>
                <w:rFonts w:hint="eastAsia" w:ascii="仿宋" w:hAnsi="仿宋" w:eastAsia="仿宋" w:cs="宋体"/>
                <w:kern w:val="0"/>
                <w:sz w:val="22"/>
                <w:lang w:val="en-US" w:eastAsia="zh-CN"/>
                <w14:ligatures w14:val="none"/>
              </w:rPr>
              <w:t>3</w:t>
            </w:r>
            <w:r>
              <w:rPr>
                <w:rFonts w:hint="eastAsia" w:ascii="仿宋" w:hAnsi="仿宋" w:eastAsia="仿宋" w:cs="宋体"/>
                <w:kern w:val="0"/>
                <w:sz w:val="22"/>
                <w14:ligatures w14:val="none"/>
              </w:rPr>
              <w:t>分。</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5.没有提供方案或提供的方案与本项目无关的，得0分。</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58637">
            <w:pPr>
              <w:widowControl/>
              <w:jc w:val="center"/>
              <w:rPr>
                <w:rFonts w:hint="eastAsia" w:ascii="仿宋" w:hAnsi="仿宋" w:eastAsia="仿宋" w:cs="宋体"/>
                <w:kern w:val="0"/>
                <w:sz w:val="22"/>
                <w14:ligatures w14:val="none"/>
              </w:rPr>
            </w:pPr>
            <w:r>
              <w:rPr>
                <w:rFonts w:hint="eastAsia" w:ascii="仿宋" w:hAnsi="仿宋" w:eastAsia="仿宋" w:cs="宋体"/>
                <w:kern w:val="0"/>
                <w:sz w:val="22"/>
                <w14:ligatures w14:val="none"/>
              </w:rPr>
              <w:t>1</w:t>
            </w:r>
            <w:r>
              <w:rPr>
                <w:rFonts w:hint="eastAsia" w:ascii="仿宋" w:hAnsi="仿宋" w:eastAsia="仿宋" w:cs="宋体"/>
                <w:kern w:val="0"/>
                <w:sz w:val="22"/>
                <w:lang w:val="en-US" w:eastAsia="zh-CN"/>
                <w14:ligatures w14:val="none"/>
              </w:rPr>
              <w:t>5</w:t>
            </w:r>
            <w:r>
              <w:rPr>
                <w:rFonts w:hint="eastAsia" w:ascii="仿宋" w:hAnsi="仿宋" w:eastAsia="仿宋" w:cs="宋体"/>
                <w:kern w:val="0"/>
                <w:sz w:val="22"/>
                <w14:ligatures w14:val="none"/>
              </w:rPr>
              <w:t>分</w:t>
            </w:r>
          </w:p>
        </w:tc>
      </w:tr>
      <w:tr w14:paraId="79332285">
        <w:tblPrEx>
          <w:tblCellMar>
            <w:top w:w="0" w:type="dxa"/>
            <w:left w:w="0" w:type="dxa"/>
            <w:bottom w:w="0" w:type="dxa"/>
            <w:right w:w="0" w:type="dxa"/>
          </w:tblCellMar>
        </w:tblPrEx>
        <w:trPr>
          <w:trHeight w:val="3540" w:hRule="atLeast"/>
        </w:trPr>
        <w:tc>
          <w:tcPr>
            <w:tcW w:w="91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0EE0C0">
            <w:pPr>
              <w:widowControl/>
              <w:jc w:val="center"/>
              <w:rPr>
                <w:rFonts w:hint="eastAsia" w:ascii="仿宋" w:hAnsi="仿宋" w:eastAsia="仿宋" w:cs="宋体"/>
                <w:kern w:val="0"/>
                <w:sz w:val="22"/>
                <w14:ligatures w14:val="none"/>
              </w:rPr>
            </w:pPr>
            <w:r>
              <w:rPr>
                <w:rFonts w:hint="eastAsia" w:ascii="仿宋" w:hAnsi="仿宋" w:eastAsia="仿宋" w:cs="宋体"/>
                <w:kern w:val="0"/>
                <w:sz w:val="22"/>
                <w14:ligatures w14:val="none"/>
              </w:rPr>
              <w:t>2</w:t>
            </w:r>
          </w:p>
        </w:tc>
        <w:tc>
          <w:tcPr>
            <w:tcW w:w="51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6381F2">
            <w:pPr>
              <w:widowControl/>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项目实施方案</w:t>
            </w:r>
          </w:p>
        </w:tc>
        <w:tc>
          <w:tcPr>
            <w:tcW w:w="63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450E63">
            <w:pPr>
              <w:widowControl/>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根据投标人制定项目实施方案进行综合评审，内容包括但不限于：1、郊野公园规划背景、目的、意义;2、郊野公园现状分析；3、工作方案；4、技术要点分析；5、公众意愿调查方案等；</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1.项目实施方案内容清晰详尽，全面、科学、合理，可操作性强，人员设备投入满足项目需要，能完全满足或优于采购需求的，得1</w:t>
            </w:r>
            <w:r>
              <w:rPr>
                <w:rFonts w:hint="eastAsia" w:ascii="仿宋" w:hAnsi="仿宋" w:eastAsia="仿宋" w:cs="宋体"/>
                <w:kern w:val="0"/>
                <w:sz w:val="22"/>
                <w:lang w:val="en-US" w:eastAsia="zh-CN"/>
                <w14:ligatures w14:val="none"/>
              </w:rPr>
              <w:t>5</w:t>
            </w:r>
            <w:r>
              <w:rPr>
                <w:rFonts w:hint="eastAsia" w:ascii="仿宋" w:hAnsi="仿宋" w:eastAsia="仿宋" w:cs="宋体"/>
                <w:kern w:val="0"/>
                <w:sz w:val="22"/>
                <w14:ligatures w14:val="none"/>
              </w:rPr>
              <w:t>分；</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2.项目实施方案内容较为清晰详尽，合理，可行，比较能满足采购需求的，得</w:t>
            </w:r>
            <w:r>
              <w:rPr>
                <w:rFonts w:hint="eastAsia" w:ascii="仿宋" w:hAnsi="仿宋" w:eastAsia="仿宋" w:cs="宋体"/>
                <w:kern w:val="0"/>
                <w:sz w:val="22"/>
                <w:lang w:val="en-US" w:eastAsia="zh-CN"/>
                <w14:ligatures w14:val="none"/>
              </w:rPr>
              <w:t>11</w:t>
            </w:r>
            <w:r>
              <w:rPr>
                <w:rFonts w:hint="eastAsia" w:ascii="仿宋" w:hAnsi="仿宋" w:eastAsia="仿宋" w:cs="宋体"/>
                <w:kern w:val="0"/>
                <w:sz w:val="22"/>
                <w14:ligatures w14:val="none"/>
              </w:rPr>
              <w:t>分；</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3.项目实施方案内容基本清晰详尽，基本合理，可行，基本满足采购需求的，得</w:t>
            </w:r>
            <w:r>
              <w:rPr>
                <w:rFonts w:hint="eastAsia" w:ascii="仿宋" w:hAnsi="仿宋" w:eastAsia="仿宋" w:cs="宋体"/>
                <w:kern w:val="0"/>
                <w:sz w:val="22"/>
                <w:lang w:val="en-US" w:eastAsia="zh-CN"/>
                <w14:ligatures w14:val="none"/>
              </w:rPr>
              <w:t>7</w:t>
            </w:r>
            <w:r>
              <w:rPr>
                <w:rFonts w:hint="eastAsia" w:ascii="仿宋" w:hAnsi="仿宋" w:eastAsia="仿宋" w:cs="宋体"/>
                <w:kern w:val="0"/>
                <w:sz w:val="22"/>
                <w14:ligatures w14:val="none"/>
              </w:rPr>
              <w:t>分；</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4.项目实施方案内容过于简单，方案不够合理，可行性差，不能满足采购需求的，得</w:t>
            </w:r>
            <w:r>
              <w:rPr>
                <w:rFonts w:hint="eastAsia" w:ascii="仿宋" w:hAnsi="仿宋" w:eastAsia="仿宋" w:cs="宋体"/>
                <w:kern w:val="0"/>
                <w:sz w:val="22"/>
                <w:lang w:val="en-US" w:eastAsia="zh-CN"/>
                <w14:ligatures w14:val="none"/>
              </w:rPr>
              <w:t>3</w:t>
            </w:r>
            <w:r>
              <w:rPr>
                <w:rFonts w:hint="eastAsia" w:ascii="仿宋" w:hAnsi="仿宋" w:eastAsia="仿宋" w:cs="宋体"/>
                <w:kern w:val="0"/>
                <w:sz w:val="22"/>
                <w14:ligatures w14:val="none"/>
              </w:rPr>
              <w:t>分。</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5.没有提供方案或提供的方案与本项目无关的，得0分。</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EB2058">
            <w:pPr>
              <w:widowControl/>
              <w:jc w:val="center"/>
              <w:rPr>
                <w:rFonts w:hint="eastAsia" w:ascii="仿宋" w:hAnsi="仿宋" w:eastAsia="仿宋" w:cs="宋体"/>
                <w:kern w:val="0"/>
                <w:sz w:val="22"/>
                <w14:ligatures w14:val="none"/>
              </w:rPr>
            </w:pPr>
            <w:r>
              <w:rPr>
                <w:rFonts w:hint="eastAsia" w:ascii="仿宋" w:hAnsi="仿宋" w:eastAsia="仿宋" w:cs="宋体"/>
                <w:kern w:val="0"/>
                <w:sz w:val="22"/>
                <w14:ligatures w14:val="none"/>
              </w:rPr>
              <w:t>1</w:t>
            </w:r>
            <w:r>
              <w:rPr>
                <w:rFonts w:hint="eastAsia" w:ascii="仿宋" w:hAnsi="仿宋" w:eastAsia="仿宋" w:cs="宋体"/>
                <w:kern w:val="0"/>
                <w:sz w:val="22"/>
                <w:lang w:val="en-US" w:eastAsia="zh-CN"/>
                <w14:ligatures w14:val="none"/>
              </w:rPr>
              <w:t>5</w:t>
            </w:r>
            <w:r>
              <w:rPr>
                <w:rFonts w:hint="eastAsia" w:ascii="仿宋" w:hAnsi="仿宋" w:eastAsia="仿宋" w:cs="宋体"/>
                <w:kern w:val="0"/>
                <w:sz w:val="22"/>
                <w14:ligatures w14:val="none"/>
              </w:rPr>
              <w:t>分</w:t>
            </w:r>
          </w:p>
        </w:tc>
      </w:tr>
      <w:tr w14:paraId="4F6881B0">
        <w:tblPrEx>
          <w:tblCellMar>
            <w:top w:w="0" w:type="dxa"/>
            <w:left w:w="0" w:type="dxa"/>
            <w:bottom w:w="0" w:type="dxa"/>
            <w:right w:w="0" w:type="dxa"/>
          </w:tblCellMar>
        </w:tblPrEx>
        <w:trPr>
          <w:trHeight w:val="2460" w:hRule="atLeast"/>
        </w:trPr>
        <w:tc>
          <w:tcPr>
            <w:tcW w:w="91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2AD70E">
            <w:pPr>
              <w:widowControl/>
              <w:jc w:val="center"/>
              <w:rPr>
                <w:rFonts w:hint="eastAsia" w:ascii="仿宋" w:hAnsi="仿宋" w:eastAsia="仿宋" w:cs="宋体"/>
                <w:kern w:val="0"/>
                <w:sz w:val="22"/>
                <w14:ligatures w14:val="none"/>
              </w:rPr>
            </w:pPr>
            <w:r>
              <w:rPr>
                <w:rFonts w:hint="eastAsia" w:ascii="仿宋" w:hAnsi="仿宋" w:eastAsia="仿宋" w:cs="宋体"/>
                <w:kern w:val="0"/>
                <w:sz w:val="22"/>
                <w14:ligatures w14:val="none"/>
              </w:rPr>
              <w:t>3</w:t>
            </w:r>
          </w:p>
        </w:tc>
        <w:tc>
          <w:tcPr>
            <w:tcW w:w="51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769E06">
            <w:pPr>
              <w:widowControl/>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项目工作进度计划和人员安排</w:t>
            </w:r>
          </w:p>
        </w:tc>
        <w:tc>
          <w:tcPr>
            <w:tcW w:w="63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9EFBCF">
            <w:pPr>
              <w:widowControl/>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根据投标人制定的项目工作进度计划进行综合评审，内容包括但不限于：1、方案进度计划；2、人员及其工作安排；3、突发事件应急预案等。</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1.计划全面、细致详尽，职责明确，责任清晰且全面，能完全满足采购需求的，得10分；</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2.计划较为全面，职责较为明确，比较能满足采购需求的，得7分；</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3.计划基本齐全，职责基本明确，基本满足采购需求的，得4分；</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4.计划过于简单，职责不明确模糊，不能满足采购需求的，得1分;</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5.没有提供方案或提供的方案与本项目无关的，得0分。</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55ECC">
            <w:pPr>
              <w:widowControl/>
              <w:jc w:val="center"/>
              <w:rPr>
                <w:rFonts w:hint="eastAsia" w:ascii="仿宋" w:hAnsi="仿宋" w:eastAsia="仿宋" w:cs="宋体"/>
                <w:kern w:val="0"/>
                <w:sz w:val="22"/>
                <w14:ligatures w14:val="none"/>
              </w:rPr>
            </w:pPr>
            <w:r>
              <w:rPr>
                <w:rFonts w:hint="eastAsia" w:ascii="仿宋" w:hAnsi="仿宋" w:eastAsia="仿宋" w:cs="宋体"/>
                <w:kern w:val="0"/>
                <w:sz w:val="22"/>
                <w14:ligatures w14:val="none"/>
              </w:rPr>
              <w:t>10分</w:t>
            </w:r>
          </w:p>
        </w:tc>
      </w:tr>
      <w:tr w14:paraId="19DAA82D">
        <w:tblPrEx>
          <w:tblCellMar>
            <w:top w:w="0" w:type="dxa"/>
            <w:left w:w="0" w:type="dxa"/>
            <w:bottom w:w="0" w:type="dxa"/>
            <w:right w:w="0" w:type="dxa"/>
          </w:tblCellMar>
        </w:tblPrEx>
        <w:trPr>
          <w:trHeight w:val="3313" w:hRule="atLeast"/>
        </w:trPr>
        <w:tc>
          <w:tcPr>
            <w:tcW w:w="91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38BBC3">
            <w:pPr>
              <w:widowControl/>
              <w:jc w:val="center"/>
              <w:rPr>
                <w:rFonts w:hint="eastAsia" w:ascii="仿宋" w:hAnsi="仿宋" w:eastAsia="仿宋" w:cs="宋体"/>
                <w:kern w:val="0"/>
                <w:sz w:val="22"/>
                <w14:ligatures w14:val="none"/>
              </w:rPr>
            </w:pPr>
            <w:r>
              <w:rPr>
                <w:rFonts w:hint="eastAsia" w:ascii="仿宋" w:hAnsi="仿宋" w:eastAsia="仿宋" w:cs="宋体"/>
                <w:kern w:val="0"/>
                <w:sz w:val="22"/>
                <w14:ligatures w14:val="none"/>
              </w:rPr>
              <w:t>4</w:t>
            </w:r>
          </w:p>
        </w:tc>
        <w:tc>
          <w:tcPr>
            <w:tcW w:w="51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357E76">
            <w:pPr>
              <w:widowControl/>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质量保证方案</w:t>
            </w:r>
          </w:p>
        </w:tc>
        <w:tc>
          <w:tcPr>
            <w:tcW w:w="63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479A67">
            <w:pPr>
              <w:widowControl/>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根据投标人提供的合理化建议进行评审进行综合评审：</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1.对本项目在郊野公园规划的可持续发展提出合理化建议，内容科学合理，其建议具有很强的可操作性；得</w:t>
            </w:r>
            <w:r>
              <w:rPr>
                <w:rFonts w:hint="eastAsia" w:ascii="仿宋" w:hAnsi="仿宋" w:eastAsia="仿宋" w:cs="宋体"/>
                <w:kern w:val="0"/>
                <w:sz w:val="22"/>
                <w:lang w:val="en-US" w:eastAsia="zh-CN"/>
                <w14:ligatures w14:val="none"/>
              </w:rPr>
              <w:t>10</w:t>
            </w:r>
            <w:r>
              <w:rPr>
                <w:rFonts w:hint="eastAsia" w:ascii="仿宋" w:hAnsi="仿宋" w:eastAsia="仿宋" w:cs="宋体"/>
                <w:kern w:val="0"/>
                <w:sz w:val="22"/>
                <w14:ligatures w14:val="none"/>
              </w:rPr>
              <w:t>分</w:t>
            </w:r>
          </w:p>
          <w:p w14:paraId="1D58C85B">
            <w:pPr>
              <w:widowControl/>
              <w:jc w:val="left"/>
              <w:rPr>
                <w:rFonts w:hint="eastAsia" w:ascii="仿宋" w:hAnsi="仿宋" w:eastAsia="仿宋" w:cs="宋体"/>
                <w:kern w:val="0"/>
                <w:sz w:val="22"/>
                <w14:ligatures w14:val="none"/>
              </w:rPr>
            </w:pPr>
            <w:r>
              <w:rPr>
                <w:rFonts w:hint="eastAsia" w:ascii="仿宋" w:hAnsi="仿宋" w:eastAsia="仿宋" w:cs="宋体"/>
                <w:kern w:val="0"/>
                <w:sz w:val="22"/>
                <w:lang w:val="en-US" w:eastAsia="zh-CN"/>
                <w14:ligatures w14:val="none"/>
              </w:rPr>
              <w:t>2</w:t>
            </w:r>
            <w:r>
              <w:rPr>
                <w:rFonts w:hint="eastAsia" w:ascii="仿宋" w:hAnsi="仿宋" w:eastAsia="仿宋" w:cs="宋体"/>
                <w:kern w:val="0"/>
                <w:sz w:val="22"/>
                <w14:ligatures w14:val="none"/>
              </w:rPr>
              <w:t>.对本项目在郊野公园规划的可持续发展提出合理化建议，内容科学</w:t>
            </w:r>
            <w:r>
              <w:rPr>
                <w:rFonts w:hint="eastAsia" w:ascii="仿宋" w:hAnsi="仿宋" w:eastAsia="仿宋" w:cs="宋体"/>
                <w:kern w:val="0"/>
                <w:sz w:val="22"/>
                <w:lang w:val="en-US" w:eastAsia="zh-CN"/>
                <w14:ligatures w14:val="none"/>
              </w:rPr>
              <w:t>比较</w:t>
            </w:r>
            <w:r>
              <w:rPr>
                <w:rFonts w:hint="eastAsia" w:ascii="仿宋" w:hAnsi="仿宋" w:eastAsia="仿宋" w:cs="宋体"/>
                <w:kern w:val="0"/>
                <w:sz w:val="22"/>
                <w14:ligatures w14:val="none"/>
              </w:rPr>
              <w:t>合理，其建议</w:t>
            </w:r>
            <w:r>
              <w:rPr>
                <w:rFonts w:hint="eastAsia" w:ascii="仿宋" w:hAnsi="仿宋" w:eastAsia="仿宋" w:cs="宋体"/>
                <w:kern w:val="0"/>
                <w:sz w:val="22"/>
                <w:lang w:val="en-US" w:eastAsia="zh-CN"/>
                <w14:ligatures w14:val="none"/>
              </w:rPr>
              <w:t>比较可操作</w:t>
            </w:r>
            <w:r>
              <w:rPr>
                <w:rFonts w:hint="eastAsia" w:ascii="仿宋" w:hAnsi="仿宋" w:eastAsia="仿宋" w:cs="宋体"/>
                <w:kern w:val="0"/>
                <w:sz w:val="22"/>
                <w14:ligatures w14:val="none"/>
              </w:rPr>
              <w:t>；得7分;</w:t>
            </w:r>
            <w:r>
              <w:rPr>
                <w:rFonts w:hint="eastAsia" w:ascii="仿宋" w:hAnsi="仿宋" w:eastAsia="仿宋" w:cs="宋体"/>
                <w:kern w:val="0"/>
                <w:sz w:val="22"/>
                <w14:ligatures w14:val="none"/>
              </w:rPr>
              <w:br w:type="textWrapping"/>
            </w:r>
            <w:r>
              <w:rPr>
                <w:rFonts w:hint="eastAsia" w:ascii="仿宋" w:hAnsi="仿宋" w:eastAsia="仿宋" w:cs="宋体"/>
                <w:kern w:val="0"/>
                <w:sz w:val="22"/>
                <w:lang w:val="en-US" w:eastAsia="zh-CN"/>
                <w14:ligatures w14:val="none"/>
              </w:rPr>
              <w:t>3</w:t>
            </w:r>
            <w:r>
              <w:rPr>
                <w:rFonts w:hint="eastAsia" w:ascii="仿宋" w:hAnsi="仿宋" w:eastAsia="仿宋" w:cs="宋体"/>
                <w:kern w:val="0"/>
                <w:sz w:val="22"/>
                <w14:ligatures w14:val="none"/>
              </w:rPr>
              <w:t>.对本项目在郊野公园规划的可持续发展提出合理化建议，内容基本合理，其建议可操作，得</w:t>
            </w:r>
            <w:r>
              <w:rPr>
                <w:rFonts w:hint="eastAsia" w:ascii="仿宋" w:hAnsi="仿宋" w:eastAsia="仿宋" w:cs="宋体"/>
                <w:kern w:val="0"/>
                <w:sz w:val="22"/>
                <w:lang w:val="en-US" w:eastAsia="zh-CN"/>
                <w14:ligatures w14:val="none"/>
              </w:rPr>
              <w:t>4</w:t>
            </w:r>
            <w:r>
              <w:rPr>
                <w:rFonts w:hint="eastAsia" w:ascii="仿宋" w:hAnsi="仿宋" w:eastAsia="仿宋" w:cs="宋体"/>
                <w:kern w:val="0"/>
                <w:sz w:val="22"/>
                <w14:ligatures w14:val="none"/>
              </w:rPr>
              <w:t>分;</w:t>
            </w:r>
            <w:r>
              <w:rPr>
                <w:rFonts w:hint="eastAsia" w:ascii="仿宋" w:hAnsi="仿宋" w:eastAsia="仿宋" w:cs="宋体"/>
                <w:kern w:val="0"/>
                <w:sz w:val="22"/>
                <w14:ligatures w14:val="none"/>
              </w:rPr>
              <w:br w:type="textWrapping"/>
            </w:r>
            <w:r>
              <w:rPr>
                <w:rFonts w:hint="eastAsia" w:ascii="仿宋" w:hAnsi="仿宋" w:eastAsia="仿宋" w:cs="宋体"/>
                <w:kern w:val="0"/>
                <w:sz w:val="22"/>
                <w:lang w:val="en-US" w:eastAsia="zh-CN"/>
                <w14:ligatures w14:val="none"/>
              </w:rPr>
              <w:t>4</w:t>
            </w:r>
            <w:r>
              <w:rPr>
                <w:rFonts w:hint="eastAsia" w:ascii="仿宋" w:hAnsi="仿宋" w:eastAsia="仿宋" w:cs="宋体"/>
                <w:kern w:val="0"/>
                <w:sz w:val="22"/>
                <w14:ligatures w14:val="none"/>
              </w:rPr>
              <w:t>.对本项目在郊野公园规划的可持续发展提出合理化建议，内容不合理，其建议不具有可操作性，得1分;</w:t>
            </w:r>
            <w:r>
              <w:rPr>
                <w:rFonts w:hint="eastAsia" w:ascii="仿宋" w:hAnsi="仿宋" w:eastAsia="仿宋" w:cs="宋体"/>
                <w:kern w:val="0"/>
                <w:sz w:val="22"/>
                <w:lang w:val="en-US" w:eastAsia="zh-CN"/>
                <w14:ligatures w14:val="none"/>
              </w:rPr>
              <w:t xml:space="preserve"> </w:t>
            </w:r>
            <w:r>
              <w:rPr>
                <w:rFonts w:hint="eastAsia" w:ascii="仿宋" w:hAnsi="仿宋" w:eastAsia="仿宋" w:cs="宋体"/>
                <w:kern w:val="0"/>
                <w:sz w:val="22"/>
                <w14:ligatures w14:val="none"/>
              </w:rPr>
              <w:br w:type="textWrapping"/>
            </w:r>
            <w:r>
              <w:rPr>
                <w:rFonts w:hint="eastAsia" w:ascii="仿宋" w:hAnsi="仿宋" w:eastAsia="仿宋" w:cs="宋体"/>
                <w:kern w:val="0"/>
                <w:sz w:val="22"/>
                <w:lang w:val="en-US" w:eastAsia="zh-CN"/>
                <w14:ligatures w14:val="none"/>
              </w:rPr>
              <w:t>5</w:t>
            </w:r>
            <w:r>
              <w:rPr>
                <w:rFonts w:hint="eastAsia" w:ascii="仿宋" w:hAnsi="仿宋" w:eastAsia="仿宋" w:cs="宋体"/>
                <w:kern w:val="0"/>
                <w:sz w:val="22"/>
                <w14:ligatures w14:val="none"/>
              </w:rPr>
              <w:t>.没有提供方案或提供的方案与本项目无关的，得0分。</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A2DD1">
            <w:pPr>
              <w:widowControl/>
              <w:jc w:val="center"/>
              <w:rPr>
                <w:rFonts w:hint="eastAsia" w:ascii="仿宋" w:hAnsi="仿宋" w:eastAsia="仿宋" w:cs="宋体"/>
                <w:kern w:val="0"/>
                <w:sz w:val="22"/>
                <w14:ligatures w14:val="none"/>
              </w:rPr>
            </w:pPr>
            <w:r>
              <w:rPr>
                <w:rFonts w:hint="eastAsia" w:ascii="仿宋" w:hAnsi="仿宋" w:eastAsia="仿宋" w:cs="宋体"/>
                <w:kern w:val="0"/>
                <w:sz w:val="22"/>
                <w14:ligatures w14:val="none"/>
              </w:rPr>
              <w:t>10分</w:t>
            </w:r>
          </w:p>
        </w:tc>
      </w:tr>
      <w:tr w14:paraId="5AA854CF">
        <w:tblPrEx>
          <w:tblCellMar>
            <w:top w:w="0" w:type="dxa"/>
            <w:left w:w="0" w:type="dxa"/>
            <w:bottom w:w="0" w:type="dxa"/>
            <w:right w:w="0" w:type="dxa"/>
          </w:tblCellMar>
        </w:tblPrEx>
        <w:trPr>
          <w:trHeight w:val="540" w:hRule="atLeast"/>
        </w:trPr>
        <w:tc>
          <w:tcPr>
            <w:tcW w:w="8758" w:type="dxa"/>
            <w:gridSpan w:val="4"/>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2155EF93">
            <w:pPr>
              <w:widowControl/>
              <w:jc w:val="center"/>
              <w:rPr>
                <w:rFonts w:hint="eastAsia" w:ascii="仿宋" w:hAnsi="仿宋" w:eastAsia="仿宋" w:cs="宋体"/>
                <w:b/>
                <w:bCs/>
                <w:kern w:val="0"/>
                <w:sz w:val="28"/>
                <w:szCs w:val="28"/>
                <w14:ligatures w14:val="none"/>
              </w:rPr>
            </w:pPr>
            <w:r>
              <w:rPr>
                <w:rFonts w:hint="eastAsia" w:ascii="仿宋" w:hAnsi="仿宋" w:eastAsia="仿宋" w:cs="宋体"/>
                <w:b/>
                <w:bCs/>
                <w:kern w:val="0"/>
                <w:sz w:val="28"/>
                <w:szCs w:val="28"/>
                <w14:ligatures w14:val="none"/>
              </w:rPr>
              <w:t>商务部分（</w:t>
            </w:r>
            <w:r>
              <w:rPr>
                <w:rFonts w:hint="eastAsia" w:ascii="仿宋" w:hAnsi="仿宋" w:eastAsia="仿宋" w:cs="宋体"/>
                <w:b/>
                <w:bCs/>
                <w:kern w:val="0"/>
                <w:sz w:val="28"/>
                <w:szCs w:val="28"/>
                <w:lang w:val="en-US" w:eastAsia="zh-CN"/>
                <w14:ligatures w14:val="none"/>
              </w:rPr>
              <w:t>35</w:t>
            </w:r>
            <w:r>
              <w:rPr>
                <w:rFonts w:hint="eastAsia" w:ascii="仿宋" w:hAnsi="仿宋" w:eastAsia="仿宋" w:cs="宋体"/>
                <w:b/>
                <w:bCs/>
                <w:kern w:val="0"/>
                <w:sz w:val="28"/>
                <w:szCs w:val="28"/>
                <w14:ligatures w14:val="none"/>
              </w:rPr>
              <w:t>分）</w:t>
            </w:r>
          </w:p>
        </w:tc>
      </w:tr>
      <w:tr w14:paraId="6B7D6F15">
        <w:tblPrEx>
          <w:tblCellMar>
            <w:top w:w="0" w:type="dxa"/>
            <w:left w:w="0" w:type="dxa"/>
            <w:bottom w:w="0" w:type="dxa"/>
            <w:right w:w="0" w:type="dxa"/>
          </w:tblCellMar>
        </w:tblPrEx>
        <w:trPr>
          <w:trHeight w:val="2341" w:hRule="atLeast"/>
        </w:trPr>
        <w:tc>
          <w:tcPr>
            <w:tcW w:w="91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B30C6D">
            <w:pPr>
              <w:widowControl/>
              <w:jc w:val="center"/>
              <w:rPr>
                <w:rFonts w:hint="eastAsia" w:ascii="仿宋" w:hAnsi="仿宋" w:eastAsia="仿宋" w:cs="宋体"/>
                <w:kern w:val="0"/>
                <w:sz w:val="22"/>
                <w14:ligatures w14:val="none"/>
              </w:rPr>
            </w:pPr>
            <w:bookmarkStart w:id="1" w:name="_GoBack"/>
            <w:bookmarkEnd w:id="1"/>
            <w:r>
              <w:rPr>
                <w:rFonts w:hint="eastAsia" w:ascii="仿宋" w:hAnsi="仿宋" w:eastAsia="仿宋" w:cs="宋体"/>
                <w:kern w:val="0"/>
                <w:sz w:val="22"/>
                <w14:ligatures w14:val="none"/>
              </w:rPr>
              <w:t>5</w:t>
            </w:r>
          </w:p>
        </w:tc>
        <w:tc>
          <w:tcPr>
            <w:tcW w:w="51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DCA8B2">
            <w:pPr>
              <w:widowControl/>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同类项目业绩</w:t>
            </w:r>
          </w:p>
        </w:tc>
        <w:tc>
          <w:tcPr>
            <w:tcW w:w="63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7715E3">
            <w:pPr>
              <w:widowControl/>
              <w:ind w:firstLine="440" w:firstLineChars="200"/>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投标人自2019年1月1日（以合同签订时间为准）以来，承接具有类似公园规划设计、生态修复规划、生态保护类项目等业绩，一项得</w:t>
            </w:r>
            <w:r>
              <w:rPr>
                <w:rFonts w:hint="eastAsia" w:ascii="仿宋" w:hAnsi="仿宋" w:eastAsia="仿宋" w:cs="宋体"/>
                <w:kern w:val="0"/>
                <w:sz w:val="22"/>
                <w:lang w:val="en-US" w:eastAsia="zh-CN"/>
                <w14:ligatures w14:val="none"/>
              </w:rPr>
              <w:t>5</w:t>
            </w:r>
            <w:r>
              <w:rPr>
                <w:rFonts w:hint="eastAsia" w:ascii="仿宋" w:hAnsi="仿宋" w:eastAsia="仿宋" w:cs="宋体"/>
                <w:kern w:val="0"/>
                <w:sz w:val="22"/>
                <w14:ligatures w14:val="none"/>
              </w:rPr>
              <w:t>分，最多计4项业绩，满分</w:t>
            </w:r>
            <w:r>
              <w:rPr>
                <w:rFonts w:hint="eastAsia" w:ascii="仿宋" w:hAnsi="仿宋" w:eastAsia="仿宋" w:cs="宋体"/>
                <w:kern w:val="0"/>
                <w:sz w:val="22"/>
                <w:lang w:val="en-US" w:eastAsia="zh-CN"/>
                <w14:ligatures w14:val="none"/>
              </w:rPr>
              <w:t>20</w:t>
            </w:r>
            <w:r>
              <w:rPr>
                <w:rFonts w:hint="eastAsia" w:ascii="仿宋" w:hAnsi="仿宋" w:eastAsia="仿宋" w:cs="宋体"/>
                <w:kern w:val="0"/>
                <w:sz w:val="22"/>
                <w14:ligatures w14:val="none"/>
              </w:rPr>
              <w:t>分。</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注：</w:t>
            </w:r>
          </w:p>
          <w:p w14:paraId="36DA3FF0">
            <w:pPr>
              <w:widowControl/>
              <w:numPr>
                <w:ilvl w:val="0"/>
                <w:numId w:val="1"/>
              </w:numPr>
              <w:ind w:firstLine="440" w:firstLineChars="200"/>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投标文件中提供相关业绩合同</w:t>
            </w:r>
            <w:r>
              <w:rPr>
                <w:rFonts w:hint="eastAsia" w:ascii="仿宋" w:hAnsi="仿宋" w:eastAsia="仿宋" w:cs="宋体"/>
                <w:kern w:val="0"/>
                <w:sz w:val="22"/>
                <w:lang w:eastAsia="zh-CN"/>
                <w14:ligatures w14:val="none"/>
              </w:rPr>
              <w:t>（</w:t>
            </w:r>
            <w:r>
              <w:rPr>
                <w:rFonts w:hint="eastAsia" w:ascii="仿宋" w:hAnsi="仿宋" w:eastAsia="仿宋" w:cs="宋体"/>
                <w:kern w:val="0"/>
                <w:sz w:val="22"/>
                <w:lang w:val="en-US" w:eastAsia="zh-CN"/>
                <w14:ligatures w14:val="none"/>
              </w:rPr>
              <w:t>必要</w:t>
            </w:r>
            <w:r>
              <w:rPr>
                <w:rFonts w:hint="eastAsia" w:ascii="仿宋" w:hAnsi="仿宋" w:eastAsia="仿宋" w:cs="宋体"/>
                <w:kern w:val="0"/>
                <w:sz w:val="22"/>
                <w:lang w:eastAsia="zh-CN"/>
                <w14:ligatures w14:val="none"/>
              </w:rPr>
              <w:t>）</w:t>
            </w:r>
            <w:r>
              <w:rPr>
                <w:rFonts w:hint="eastAsia" w:ascii="仿宋" w:hAnsi="仿宋" w:eastAsia="仿宋" w:cs="宋体"/>
                <w:kern w:val="0"/>
                <w:sz w:val="22"/>
                <w14:ligatures w14:val="none"/>
              </w:rPr>
              <w:t>、项目验收材料</w:t>
            </w:r>
            <w:r>
              <w:rPr>
                <w:rFonts w:hint="eastAsia" w:ascii="仿宋" w:hAnsi="仿宋" w:eastAsia="仿宋" w:cs="宋体"/>
                <w:kern w:val="0"/>
                <w:sz w:val="22"/>
                <w:lang w:eastAsia="zh-CN"/>
                <w14:ligatures w14:val="none"/>
              </w:rPr>
              <w:t>、</w:t>
            </w:r>
            <w:r>
              <w:rPr>
                <w:rFonts w:hint="eastAsia" w:ascii="仿宋" w:hAnsi="仿宋" w:eastAsia="仿宋" w:cs="宋体"/>
                <w:kern w:val="0"/>
                <w:sz w:val="22"/>
                <w14:ligatures w14:val="none"/>
              </w:rPr>
              <w:t>专家评审结果</w:t>
            </w:r>
            <w:r>
              <w:rPr>
                <w:rFonts w:hint="eastAsia" w:ascii="仿宋" w:hAnsi="仿宋" w:eastAsia="仿宋" w:cs="宋体"/>
                <w:kern w:val="0"/>
                <w:sz w:val="22"/>
                <w:lang w:val="en-US" w:eastAsia="zh-CN"/>
                <w14:ligatures w14:val="none"/>
              </w:rPr>
              <w:t>或其他证明材料</w:t>
            </w:r>
            <w:r>
              <w:rPr>
                <w:rFonts w:hint="eastAsia" w:ascii="仿宋" w:hAnsi="仿宋" w:eastAsia="仿宋" w:cs="宋体"/>
                <w:kern w:val="0"/>
                <w:sz w:val="22"/>
                <w14:ligatures w14:val="none"/>
              </w:rPr>
              <w:t>并加盖公章，时间以合同所载（签订）时间为准。未提供有效证明材料的不得分。</w:t>
            </w:r>
            <w:r>
              <w:rPr>
                <w:rFonts w:hint="eastAsia" w:ascii="仿宋" w:hAnsi="仿宋" w:eastAsia="仿宋" w:cs="宋体"/>
                <w:kern w:val="0"/>
                <w:sz w:val="22"/>
                <w14:ligatures w14:val="none"/>
              </w:rPr>
              <w:br w:type="textWrapping"/>
            </w:r>
          </w:p>
          <w:p w14:paraId="3B5085E5">
            <w:pPr>
              <w:widowControl/>
              <w:numPr>
                <w:ilvl w:val="0"/>
                <w:numId w:val="1"/>
              </w:numPr>
              <w:ind w:firstLine="440" w:firstLineChars="200"/>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同一合同只计一项，合同不重复计分。</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92A1C">
            <w:pPr>
              <w:widowControl/>
              <w:jc w:val="center"/>
              <w:rPr>
                <w:rFonts w:hint="eastAsia" w:ascii="仿宋" w:hAnsi="仿宋" w:eastAsia="仿宋" w:cs="宋体"/>
                <w:kern w:val="0"/>
                <w:sz w:val="22"/>
                <w14:ligatures w14:val="none"/>
              </w:rPr>
            </w:pPr>
            <w:r>
              <w:rPr>
                <w:rFonts w:hint="eastAsia" w:ascii="仿宋" w:hAnsi="仿宋" w:eastAsia="仿宋" w:cs="宋体"/>
                <w:kern w:val="0"/>
                <w:sz w:val="22"/>
                <w:lang w:val="en-US" w:eastAsia="zh-CN"/>
                <w14:ligatures w14:val="none"/>
              </w:rPr>
              <w:t>20</w:t>
            </w:r>
            <w:r>
              <w:rPr>
                <w:rFonts w:hint="eastAsia" w:ascii="仿宋" w:hAnsi="仿宋" w:eastAsia="仿宋" w:cs="宋体"/>
                <w:kern w:val="0"/>
                <w:sz w:val="22"/>
                <w14:ligatures w14:val="none"/>
              </w:rPr>
              <w:t>分</w:t>
            </w:r>
          </w:p>
        </w:tc>
      </w:tr>
      <w:tr w14:paraId="1C5473A6">
        <w:tblPrEx>
          <w:tblCellMar>
            <w:top w:w="0" w:type="dxa"/>
            <w:left w:w="0" w:type="dxa"/>
            <w:bottom w:w="0" w:type="dxa"/>
            <w:right w:w="0" w:type="dxa"/>
          </w:tblCellMar>
        </w:tblPrEx>
        <w:trPr>
          <w:trHeight w:val="3642" w:hRule="atLeast"/>
        </w:trPr>
        <w:tc>
          <w:tcPr>
            <w:tcW w:w="91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122059">
            <w:pPr>
              <w:widowControl/>
              <w:jc w:val="center"/>
              <w:rPr>
                <w:rFonts w:hint="eastAsia" w:ascii="仿宋" w:hAnsi="仿宋" w:eastAsia="仿宋" w:cs="宋体"/>
                <w:kern w:val="0"/>
                <w:sz w:val="22"/>
                <w:lang w:eastAsia="zh-CN"/>
                <w14:ligatures w14:val="none"/>
              </w:rPr>
            </w:pPr>
            <w:r>
              <w:rPr>
                <w:rFonts w:hint="eastAsia" w:ascii="仿宋" w:hAnsi="仿宋" w:eastAsia="仿宋" w:cs="宋体"/>
                <w:kern w:val="0"/>
                <w:sz w:val="22"/>
                <w:lang w:val="en-US" w:eastAsia="zh-CN"/>
                <w14:ligatures w14:val="none"/>
              </w:rPr>
              <w:t>6</w:t>
            </w:r>
          </w:p>
        </w:tc>
        <w:tc>
          <w:tcPr>
            <w:tcW w:w="51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FE42E7">
            <w:pPr>
              <w:widowControl/>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项目投入人员构成情况</w:t>
            </w:r>
          </w:p>
        </w:tc>
        <w:tc>
          <w:tcPr>
            <w:tcW w:w="63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1A2337">
            <w:pPr>
              <w:widowControl/>
              <w:jc w:val="left"/>
              <w:rPr>
                <w:rFonts w:hint="default" w:ascii="仿宋" w:hAnsi="仿宋" w:eastAsia="仿宋" w:cs="宋体"/>
                <w:kern w:val="0"/>
                <w:sz w:val="22"/>
                <w:lang w:val="en-US" w:eastAsia="zh-CN"/>
                <w14:ligatures w14:val="none"/>
              </w:rPr>
            </w:pPr>
            <w:r>
              <w:rPr>
                <w:rFonts w:hint="eastAsia" w:ascii="仿宋" w:hAnsi="仿宋" w:eastAsia="仿宋" w:cs="宋体"/>
                <w:kern w:val="0"/>
                <w:sz w:val="22"/>
                <w:lang w:val="en-US" w:eastAsia="zh-CN"/>
                <w14:ligatures w14:val="none"/>
              </w:rPr>
              <w:t>项目拟派团队人员：</w:t>
            </w:r>
          </w:p>
          <w:p w14:paraId="27B33468">
            <w:pPr>
              <w:widowControl/>
              <w:numPr>
                <w:ilvl w:val="0"/>
                <w:numId w:val="2"/>
              </w:numPr>
              <w:jc w:val="left"/>
              <w:rPr>
                <w:rFonts w:hint="eastAsia" w:ascii="仿宋" w:hAnsi="仿宋" w:eastAsia="仿宋" w:cs="宋体"/>
                <w:kern w:val="0"/>
                <w:sz w:val="22"/>
                <w14:ligatures w14:val="none"/>
              </w:rPr>
            </w:pPr>
            <w:r>
              <w:rPr>
                <w:rFonts w:hint="eastAsia" w:ascii="仿宋" w:hAnsi="仿宋" w:eastAsia="仿宋" w:cs="宋体"/>
                <w:kern w:val="0"/>
                <w:sz w:val="22"/>
                <w:lang w:val="en-US" w:eastAsia="zh-CN"/>
                <w14:ligatures w14:val="none"/>
              </w:rPr>
              <w:t>投标人需组建专业团队</w:t>
            </w:r>
            <w:r>
              <w:rPr>
                <w:rFonts w:hint="eastAsia" w:ascii="仿宋" w:hAnsi="仿宋" w:eastAsia="仿宋" w:cs="宋体"/>
                <w:kern w:val="0"/>
                <w:sz w:val="22"/>
                <w14:ligatures w14:val="none"/>
              </w:rPr>
              <w:t>，</w:t>
            </w:r>
            <w:r>
              <w:rPr>
                <w:rFonts w:hint="eastAsia" w:ascii="仿宋" w:hAnsi="仿宋" w:eastAsia="仿宋" w:cs="宋体"/>
                <w:kern w:val="0"/>
                <w:sz w:val="22"/>
                <w:lang w:val="en-US" w:eastAsia="zh-CN"/>
                <w14:ligatures w14:val="none"/>
              </w:rPr>
              <w:t>满足</w:t>
            </w:r>
            <w:r>
              <w:rPr>
                <w:rFonts w:hint="eastAsia" w:ascii="仿宋" w:hAnsi="仿宋" w:eastAsia="仿宋" w:cs="宋体"/>
                <w:kern w:val="0"/>
                <w:sz w:val="22"/>
                <w14:ligatures w14:val="none"/>
              </w:rPr>
              <w:t>风景园林、景观设计或城乡规划等相关专业（包括但不限于规划、设计、政策研究），</w:t>
            </w:r>
            <w:r>
              <w:rPr>
                <w:rFonts w:hint="eastAsia" w:ascii="仿宋" w:hAnsi="仿宋" w:eastAsia="仿宋" w:cs="宋体"/>
                <w:kern w:val="0"/>
                <w:sz w:val="22"/>
                <w:lang w:val="en-US" w:eastAsia="zh-CN"/>
                <w14:ligatures w14:val="none"/>
              </w:rPr>
              <w:t>工程师及以上职称</w:t>
            </w:r>
            <w:r>
              <w:rPr>
                <w:rFonts w:hint="eastAsia" w:ascii="仿宋" w:hAnsi="仿宋" w:eastAsia="仿宋" w:cs="宋体"/>
                <w:kern w:val="0"/>
                <w:sz w:val="22"/>
                <w14:ligatures w14:val="none"/>
              </w:rPr>
              <w:t>，每</w:t>
            </w:r>
            <w:r>
              <w:rPr>
                <w:rFonts w:hint="eastAsia" w:ascii="仿宋" w:hAnsi="仿宋" w:eastAsia="仿宋" w:cs="宋体"/>
                <w:kern w:val="0"/>
                <w:sz w:val="22"/>
                <w:lang w:val="en-US" w:eastAsia="zh-CN"/>
                <w14:ligatures w14:val="none"/>
              </w:rPr>
              <w:t>位符合要求人员得3</w:t>
            </w:r>
            <w:r>
              <w:rPr>
                <w:rFonts w:hint="eastAsia" w:ascii="仿宋" w:hAnsi="仿宋" w:eastAsia="仿宋" w:cs="宋体"/>
                <w:kern w:val="0"/>
                <w:sz w:val="22"/>
                <w14:ligatures w14:val="none"/>
              </w:rPr>
              <w:t>分，</w:t>
            </w:r>
            <w:r>
              <w:rPr>
                <w:rFonts w:hint="eastAsia" w:ascii="仿宋" w:hAnsi="仿宋" w:eastAsia="仿宋" w:cs="宋体"/>
                <w:kern w:val="0"/>
                <w:sz w:val="22"/>
                <w:lang w:val="en-US" w:eastAsia="zh-CN"/>
                <w14:ligatures w14:val="none"/>
              </w:rPr>
              <w:t>提供5位符合要求人员得15分，提供3位符合要求人员得9分，少于3位符合要求人员0分。</w:t>
            </w:r>
            <w:r>
              <w:rPr>
                <w:rFonts w:hint="eastAsia" w:ascii="仿宋" w:hAnsi="仿宋" w:eastAsia="仿宋" w:cs="宋体"/>
                <w:kern w:val="0"/>
                <w:sz w:val="22"/>
                <w14:ligatures w14:val="none"/>
              </w:rPr>
              <w:br w:type="textWrapping"/>
            </w:r>
          </w:p>
          <w:p w14:paraId="12DF2354">
            <w:pPr>
              <w:widowControl/>
              <w:numPr>
                <w:ilvl w:val="0"/>
                <w:numId w:val="0"/>
              </w:numPr>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注：</w:t>
            </w:r>
            <w:r>
              <w:rPr>
                <w:rFonts w:hint="eastAsia" w:ascii="仿宋" w:hAnsi="仿宋" w:eastAsia="仿宋" w:cs="宋体"/>
                <w:kern w:val="0"/>
                <w:sz w:val="22"/>
                <w14:ligatures w14:val="none"/>
              </w:rPr>
              <w:br w:type="textWrapping"/>
            </w:r>
            <w:r>
              <w:rPr>
                <w:rFonts w:hint="eastAsia" w:ascii="仿宋" w:hAnsi="仿宋" w:eastAsia="仿宋" w:cs="宋体"/>
                <w:kern w:val="0"/>
                <w:sz w:val="22"/>
                <w:lang w:val="en-US" w:eastAsia="zh-CN"/>
                <w14:ligatures w14:val="none"/>
              </w:rPr>
              <w:t xml:space="preserve">  </w:t>
            </w:r>
            <w:r>
              <w:rPr>
                <w:rFonts w:hint="eastAsia" w:ascii="仿宋" w:hAnsi="仿宋" w:eastAsia="仿宋" w:cs="宋体"/>
                <w:kern w:val="0"/>
                <w:sz w:val="22"/>
                <w14:ligatures w14:val="none"/>
              </w:rPr>
              <w:t>1）投标文件根据上述人员要求提供毕业证和职称证及投标文件递交截止日期前三个月内任意一个月的社保证明文件（彩色扫描件加盖公章）以证明系投标人所属人员符合要求。未按要求提供相应得分项不得分。</w:t>
            </w:r>
            <w:r>
              <w:rPr>
                <w:rFonts w:hint="eastAsia" w:ascii="仿宋" w:hAnsi="仿宋" w:eastAsia="仿宋" w:cs="宋体"/>
                <w:kern w:val="0"/>
                <w:sz w:val="22"/>
                <w14:ligatures w14:val="none"/>
              </w:rPr>
              <w:br w:type="textWrapping"/>
            </w:r>
            <w:r>
              <w:rPr>
                <w:rFonts w:hint="eastAsia" w:ascii="仿宋" w:hAnsi="仿宋" w:eastAsia="仿宋" w:cs="宋体"/>
                <w:kern w:val="0"/>
                <w:sz w:val="22"/>
                <w:lang w:val="en-US" w:eastAsia="zh-CN"/>
                <w14:ligatures w14:val="none"/>
              </w:rPr>
              <w:t xml:space="preserve">  2</w:t>
            </w:r>
            <w:r>
              <w:rPr>
                <w:rFonts w:hint="eastAsia" w:ascii="仿宋" w:hAnsi="仿宋" w:eastAsia="仿宋" w:cs="宋体"/>
                <w:kern w:val="0"/>
                <w:sz w:val="22"/>
                <w14:ligatures w14:val="none"/>
              </w:rPr>
              <w:t>）以上未按要求提供有效证明材料的不得分。</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47F9E">
            <w:pPr>
              <w:widowControl/>
              <w:jc w:val="center"/>
              <w:rPr>
                <w:rFonts w:hint="eastAsia" w:ascii="仿宋" w:hAnsi="仿宋" w:eastAsia="仿宋" w:cs="宋体"/>
                <w:kern w:val="0"/>
                <w:sz w:val="22"/>
                <w14:ligatures w14:val="none"/>
              </w:rPr>
            </w:pPr>
            <w:r>
              <w:rPr>
                <w:rFonts w:hint="eastAsia" w:ascii="仿宋" w:hAnsi="仿宋" w:eastAsia="仿宋" w:cs="宋体"/>
                <w:kern w:val="0"/>
                <w:sz w:val="22"/>
                <w:lang w:val="en-US" w:eastAsia="zh-CN"/>
                <w14:ligatures w14:val="none"/>
              </w:rPr>
              <w:t>15</w:t>
            </w:r>
            <w:r>
              <w:rPr>
                <w:rFonts w:hint="eastAsia" w:ascii="仿宋" w:hAnsi="仿宋" w:eastAsia="仿宋" w:cs="宋体"/>
                <w:kern w:val="0"/>
                <w:sz w:val="22"/>
                <w14:ligatures w14:val="none"/>
              </w:rPr>
              <w:t>分</w:t>
            </w:r>
          </w:p>
        </w:tc>
      </w:tr>
      <w:tr w14:paraId="3B9ED7A1">
        <w:tblPrEx>
          <w:tblCellMar>
            <w:top w:w="0" w:type="dxa"/>
            <w:left w:w="0" w:type="dxa"/>
            <w:bottom w:w="0" w:type="dxa"/>
            <w:right w:w="0" w:type="dxa"/>
          </w:tblCellMar>
        </w:tblPrEx>
        <w:trPr>
          <w:trHeight w:val="679" w:hRule="atLeast"/>
        </w:trPr>
        <w:tc>
          <w:tcPr>
            <w:tcW w:w="8758" w:type="dxa"/>
            <w:gridSpan w:val="4"/>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14:paraId="48393E4E">
            <w:pPr>
              <w:widowControl/>
              <w:jc w:val="center"/>
              <w:rPr>
                <w:rFonts w:hint="eastAsia" w:ascii="仿宋" w:hAnsi="仿宋" w:eastAsia="仿宋" w:cs="宋体"/>
                <w:b/>
                <w:bCs/>
                <w:kern w:val="0"/>
                <w:sz w:val="28"/>
                <w:szCs w:val="28"/>
                <w14:ligatures w14:val="none"/>
              </w:rPr>
            </w:pPr>
            <w:r>
              <w:rPr>
                <w:rFonts w:hint="eastAsia" w:ascii="仿宋" w:hAnsi="仿宋" w:eastAsia="仿宋" w:cs="宋体"/>
                <w:b/>
                <w:bCs/>
                <w:kern w:val="0"/>
                <w:sz w:val="28"/>
                <w:szCs w:val="28"/>
                <w14:ligatures w14:val="none"/>
              </w:rPr>
              <w:t>经济标评分表（</w:t>
            </w:r>
            <w:r>
              <w:rPr>
                <w:rFonts w:hint="eastAsia" w:ascii="仿宋" w:hAnsi="仿宋" w:eastAsia="仿宋" w:cs="宋体"/>
                <w:b/>
                <w:bCs/>
                <w:kern w:val="0"/>
                <w:sz w:val="28"/>
                <w:szCs w:val="28"/>
                <w:lang w:val="en-US" w:eastAsia="zh-CN"/>
                <w14:ligatures w14:val="none"/>
              </w:rPr>
              <w:t>15</w:t>
            </w:r>
            <w:r>
              <w:rPr>
                <w:rFonts w:hint="eastAsia" w:ascii="仿宋" w:hAnsi="仿宋" w:eastAsia="仿宋" w:cs="宋体"/>
                <w:b/>
                <w:bCs/>
                <w:kern w:val="0"/>
                <w:sz w:val="28"/>
                <w:szCs w:val="28"/>
                <w14:ligatures w14:val="none"/>
              </w:rPr>
              <w:t>分）</w:t>
            </w:r>
          </w:p>
        </w:tc>
      </w:tr>
      <w:tr w14:paraId="5195B9C2">
        <w:tblPrEx>
          <w:tblCellMar>
            <w:top w:w="0" w:type="dxa"/>
            <w:left w:w="0" w:type="dxa"/>
            <w:bottom w:w="0" w:type="dxa"/>
            <w:right w:w="0" w:type="dxa"/>
          </w:tblCellMar>
        </w:tblPrEx>
        <w:trPr>
          <w:trHeight w:val="2100" w:hRule="atLeast"/>
        </w:trPr>
        <w:tc>
          <w:tcPr>
            <w:tcW w:w="91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7AD9A5">
            <w:pPr>
              <w:widowControl/>
              <w:jc w:val="center"/>
              <w:rPr>
                <w:rFonts w:hint="eastAsia" w:ascii="仿宋" w:hAnsi="仿宋" w:eastAsia="仿宋" w:cs="宋体"/>
                <w:kern w:val="0"/>
                <w:sz w:val="22"/>
                <w:lang w:eastAsia="zh-CN"/>
                <w14:ligatures w14:val="none"/>
              </w:rPr>
            </w:pPr>
            <w:r>
              <w:rPr>
                <w:rFonts w:hint="eastAsia" w:ascii="仿宋" w:hAnsi="仿宋" w:eastAsia="仿宋" w:cs="宋体"/>
                <w:kern w:val="0"/>
                <w:sz w:val="22"/>
                <w:lang w:val="en-US" w:eastAsia="zh-CN"/>
                <w14:ligatures w14:val="none"/>
              </w:rPr>
              <w:t>7</w:t>
            </w:r>
          </w:p>
        </w:tc>
        <w:tc>
          <w:tcPr>
            <w:tcW w:w="51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EF9CFE">
            <w:pPr>
              <w:widowControl/>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价格部分</w:t>
            </w:r>
          </w:p>
        </w:tc>
        <w:tc>
          <w:tcPr>
            <w:tcW w:w="634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662749">
            <w:pPr>
              <w:widowControl/>
              <w:jc w:val="left"/>
              <w:rPr>
                <w:rFonts w:hint="eastAsia" w:ascii="仿宋" w:hAnsi="仿宋" w:eastAsia="仿宋" w:cs="宋体"/>
                <w:kern w:val="0"/>
                <w:sz w:val="22"/>
                <w14:ligatures w14:val="none"/>
              </w:rPr>
            </w:pPr>
            <w:r>
              <w:rPr>
                <w:rFonts w:hint="eastAsia" w:ascii="仿宋" w:hAnsi="仿宋" w:eastAsia="仿宋" w:cs="宋体"/>
                <w:kern w:val="0"/>
                <w:sz w:val="22"/>
                <w14:ligatures w14:val="none"/>
              </w:rPr>
              <w:t>各投标人的投标报价得分按以下公式进行计算：</w:t>
            </w:r>
            <w:r>
              <w:rPr>
                <w:rFonts w:hint="eastAsia" w:ascii="仿宋" w:hAnsi="仿宋" w:eastAsia="仿宋" w:cs="宋体"/>
                <w:kern w:val="0"/>
                <w:sz w:val="22"/>
                <w14:ligatures w14:val="none"/>
              </w:rPr>
              <w:br w:type="textWrapping"/>
            </w:r>
            <w:r>
              <w:rPr>
                <w:rFonts w:hint="eastAsia" w:ascii="仿宋" w:hAnsi="仿宋" w:eastAsia="仿宋" w:cs="宋体"/>
                <w:kern w:val="0"/>
                <w:sz w:val="22"/>
                <w14:ligatures w14:val="none"/>
              </w:rPr>
              <w:t>经济价格得分=（评标基准价/评标价）×</w:t>
            </w:r>
            <w:r>
              <w:rPr>
                <w:rFonts w:hint="eastAsia" w:ascii="仿宋" w:hAnsi="仿宋" w:eastAsia="仿宋" w:cs="宋体"/>
                <w:kern w:val="0"/>
                <w:sz w:val="22"/>
                <w:lang w:val="en-US" w:eastAsia="zh-CN"/>
                <w14:ligatures w14:val="none"/>
              </w:rPr>
              <w:t>15</w:t>
            </w:r>
            <w:r>
              <w:rPr>
                <w:rFonts w:hint="eastAsia" w:ascii="仿宋" w:hAnsi="仿宋" w:eastAsia="仿宋" w:cs="宋体"/>
                <w:kern w:val="0"/>
                <w:sz w:val="22"/>
                <w14:ligatures w14:val="none"/>
              </w:rPr>
              <w:t>%×100。评标基准价为满足采购需求文件要求最低的评标价，其价格分为满分。评标价为在报价基础上作算术修正后的价格，无算术修正情况下，报价即为评标价。若投标报价高于报价上限，则其投标文件按无效投标文件处理。（保留小数点后二位）</w:t>
            </w:r>
          </w:p>
        </w:tc>
        <w:tc>
          <w:tcPr>
            <w:tcW w:w="98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0BB41">
            <w:pPr>
              <w:widowControl/>
              <w:jc w:val="center"/>
              <w:rPr>
                <w:rFonts w:hint="eastAsia" w:ascii="仿宋" w:hAnsi="仿宋" w:eastAsia="仿宋" w:cs="宋体"/>
                <w:kern w:val="0"/>
                <w:sz w:val="22"/>
                <w14:ligatures w14:val="none"/>
              </w:rPr>
            </w:pPr>
            <w:r>
              <w:rPr>
                <w:rFonts w:hint="eastAsia" w:ascii="仿宋" w:hAnsi="仿宋" w:eastAsia="仿宋" w:cs="宋体"/>
                <w:kern w:val="0"/>
                <w:sz w:val="22"/>
                <w:lang w:val="en-US" w:eastAsia="zh-CN"/>
                <w14:ligatures w14:val="none"/>
              </w:rPr>
              <w:t>15</w:t>
            </w:r>
            <w:r>
              <w:rPr>
                <w:rFonts w:hint="eastAsia" w:ascii="仿宋" w:hAnsi="仿宋" w:eastAsia="仿宋" w:cs="宋体"/>
                <w:kern w:val="0"/>
                <w:sz w:val="22"/>
                <w14:ligatures w14:val="none"/>
              </w:rPr>
              <w:t>分</w:t>
            </w:r>
          </w:p>
        </w:tc>
      </w:tr>
    </w:tbl>
    <w:p w14:paraId="12E33D95">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C7F26"/>
    <w:multiLevelType w:val="singleLevel"/>
    <w:tmpl w:val="AB4C7F26"/>
    <w:lvl w:ilvl="0" w:tentative="0">
      <w:start w:val="1"/>
      <w:numFmt w:val="decimal"/>
      <w:lvlText w:val="%1."/>
      <w:lvlJc w:val="left"/>
      <w:pPr>
        <w:tabs>
          <w:tab w:val="left" w:pos="312"/>
        </w:tabs>
      </w:pPr>
    </w:lvl>
  </w:abstractNum>
  <w:abstractNum w:abstractNumId="1">
    <w:nsid w:val="671D83BD"/>
    <w:multiLevelType w:val="singleLevel"/>
    <w:tmpl w:val="671D83B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wMTZiZWY3ZjkxY2UzOTMzYjRjZjVjOTlmMDMzZGMifQ=="/>
  </w:docVars>
  <w:rsids>
    <w:rsidRoot w:val="00222FF1"/>
    <w:rsid w:val="00023EA1"/>
    <w:rsid w:val="000878B9"/>
    <w:rsid w:val="000E4A5C"/>
    <w:rsid w:val="00152397"/>
    <w:rsid w:val="00176DE0"/>
    <w:rsid w:val="001867B0"/>
    <w:rsid w:val="00222FF1"/>
    <w:rsid w:val="00267C28"/>
    <w:rsid w:val="002E2356"/>
    <w:rsid w:val="00367C4E"/>
    <w:rsid w:val="00376480"/>
    <w:rsid w:val="003952B3"/>
    <w:rsid w:val="003A508B"/>
    <w:rsid w:val="003A6626"/>
    <w:rsid w:val="003E35D1"/>
    <w:rsid w:val="0058223E"/>
    <w:rsid w:val="005A447F"/>
    <w:rsid w:val="005D10C8"/>
    <w:rsid w:val="005D41E5"/>
    <w:rsid w:val="00682AE0"/>
    <w:rsid w:val="006C762D"/>
    <w:rsid w:val="006F5DA7"/>
    <w:rsid w:val="00724C55"/>
    <w:rsid w:val="00725543"/>
    <w:rsid w:val="0076481A"/>
    <w:rsid w:val="00796490"/>
    <w:rsid w:val="00865E58"/>
    <w:rsid w:val="00880A22"/>
    <w:rsid w:val="00886BCD"/>
    <w:rsid w:val="00A7111C"/>
    <w:rsid w:val="00AA2C9E"/>
    <w:rsid w:val="00AD3484"/>
    <w:rsid w:val="00B04A7C"/>
    <w:rsid w:val="00B27E1B"/>
    <w:rsid w:val="00BC58BC"/>
    <w:rsid w:val="00C22111"/>
    <w:rsid w:val="00C26C37"/>
    <w:rsid w:val="00C33C81"/>
    <w:rsid w:val="00C442EC"/>
    <w:rsid w:val="00C45126"/>
    <w:rsid w:val="00C523E2"/>
    <w:rsid w:val="00CA1971"/>
    <w:rsid w:val="00DB61F6"/>
    <w:rsid w:val="00DC6581"/>
    <w:rsid w:val="00DD04F7"/>
    <w:rsid w:val="00E0723D"/>
    <w:rsid w:val="00E41491"/>
    <w:rsid w:val="00E65798"/>
    <w:rsid w:val="00F26022"/>
    <w:rsid w:val="00F333C5"/>
    <w:rsid w:val="00F5246D"/>
    <w:rsid w:val="03213027"/>
    <w:rsid w:val="0B2D7245"/>
    <w:rsid w:val="1FB07FAD"/>
    <w:rsid w:val="294267FA"/>
    <w:rsid w:val="32363056"/>
    <w:rsid w:val="445F0303"/>
    <w:rsid w:val="533F3667"/>
    <w:rsid w:val="5EF86939"/>
    <w:rsid w:val="60DA25D6"/>
    <w:rsid w:val="61557F28"/>
    <w:rsid w:val="70D006AB"/>
    <w:rsid w:val="7D942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annotation text"/>
    <w:basedOn w:val="1"/>
    <w:link w:val="1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annotation subject"/>
    <w:basedOn w:val="3"/>
    <w:next w:val="3"/>
    <w:link w:val="12"/>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11">
    <w:name w:val="批注文字 字符"/>
    <w:basedOn w:val="8"/>
    <w:link w:val="3"/>
    <w:semiHidden/>
    <w:qFormat/>
    <w:uiPriority w:val="99"/>
  </w:style>
  <w:style w:type="character" w:customStyle="1" w:styleId="12">
    <w:name w:val="批注主题 字符"/>
    <w:basedOn w:val="11"/>
    <w:link w:val="6"/>
    <w:semiHidden/>
    <w:qFormat/>
    <w:uiPriority w:val="99"/>
    <w:rPr>
      <w:b/>
      <w:bCs/>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1746</Words>
  <Characters>1792</Characters>
  <Lines>15</Lines>
  <Paragraphs>4</Paragraphs>
  <TotalTime>38</TotalTime>
  <ScaleCrop>false</ScaleCrop>
  <LinksUpToDate>false</LinksUpToDate>
  <CharactersWithSpaces>1797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2024-08-01T08:08:00Z</dcterms:created>
  <dc:creator>a</dc:creator>
  <cp:lastModifiedBy>覃梦怡</cp:lastModifiedBy>
  <dcterms:modified xsi:type="dcterms:W3CDTF">2024-08-19T06:50:33Z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D94710D49ED94B37BB3711B68402A75C_12</vt:lpwstr>
  </property>
</Properties>
</file>