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39" w:line="560" w:lineRule="exact"/>
        <w:ind w:left="0" w:leftChars="0" w:right="106" w:rightChars="0" w:hanging="11" w:firstLineChars="0"/>
        <w:jc w:val="center"/>
        <w:textAlignment w:val="auto"/>
        <w:rPr>
          <w:rFonts w:hint="eastAsia" w:ascii="方正小标宋简体" w:hAnsi="方正小标宋简体" w:eastAsia="方正小标宋简体" w:cs="方正小标宋简体"/>
          <w:spacing w:val="9"/>
          <w:sz w:val="44"/>
          <w:szCs w:val="44"/>
        </w:rPr>
      </w:pPr>
      <w:bookmarkStart w:id="0" w:name="_Toc6322232"/>
      <w:bookmarkStart w:id="1" w:name="_Toc67046848"/>
      <w:r>
        <w:rPr>
          <w:rFonts w:hint="eastAsia" w:ascii="方正小标宋简体" w:hAnsi="方正小标宋简体" w:eastAsia="方正小标宋简体" w:cs="方正小标宋简体"/>
          <w:spacing w:val="10"/>
          <w:sz w:val="44"/>
          <w:szCs w:val="44"/>
        </w:rPr>
        <w:t>《横琴粤澳深度合作区城市规划和建设局</w:t>
      </w:r>
      <w:r>
        <w:rPr>
          <w:rFonts w:hint="eastAsia" w:ascii="方正小标宋简体" w:hAnsi="方正小标宋简体" w:eastAsia="方正小标宋简体" w:cs="方正小标宋简体"/>
          <w:spacing w:val="10"/>
          <w:sz w:val="44"/>
          <w:szCs w:val="44"/>
          <w:lang w:eastAsia="zh-CN"/>
        </w:rPr>
        <w:t>合作区三周年公共交通宣传服务</w:t>
      </w:r>
      <w:r>
        <w:rPr>
          <w:rFonts w:hint="eastAsia" w:ascii="方正小标宋简体" w:hAnsi="方正小标宋简体" w:eastAsia="方正小标宋简体" w:cs="方正小标宋简体"/>
          <w:spacing w:val="10"/>
          <w:sz w:val="44"/>
          <w:szCs w:val="44"/>
        </w:rPr>
        <w:t>项目》</w:t>
      </w:r>
      <w:r>
        <w:rPr>
          <w:rFonts w:hint="eastAsia" w:ascii="方正小标宋简体" w:hAnsi="方正小标宋简体" w:eastAsia="方正小标宋简体" w:cs="方正小标宋简体"/>
          <w:spacing w:val="9"/>
          <w:sz w:val="44"/>
          <w:szCs w:val="44"/>
        </w:rPr>
        <w:t>评分标准</w:t>
      </w:r>
    </w:p>
    <w:p>
      <w:pPr>
        <w:widowControl w:val="0"/>
        <w:ind w:firstLine="560" w:firstLineChars="200"/>
        <w:rPr>
          <w:rFonts w:hint="eastAsia"/>
        </w:rPr>
      </w:pPr>
      <w:r>
        <w:rPr>
          <w:rFonts w:ascii="Calibri" w:hAnsi="Calibri" w:eastAsia="仿宋" w:cs="Times New Roman"/>
          <w:sz w:val="28"/>
          <w:szCs w:val="22"/>
        </w:rPr>
        <w:t>本项目采用综合评分法方法进行评审，具体评分细则详见综合评分表。</w:t>
      </w:r>
    </w:p>
    <w:bookmarkEnd w:id="0"/>
    <w:bookmarkEnd w:id="1"/>
    <w:tbl>
      <w:tblPr>
        <w:tblStyle w:val="5"/>
        <w:tblW w:w="9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0"/>
        <w:gridCol w:w="9"/>
        <w:gridCol w:w="1155"/>
        <w:gridCol w:w="45"/>
        <w:gridCol w:w="10"/>
        <w:gridCol w:w="6282"/>
        <w:gridCol w:w="44"/>
        <w:gridCol w:w="13"/>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5" w:type="dxa"/>
            <w:gridSpan w:val="10"/>
            <w:noWrap w:val="0"/>
            <w:vAlign w:val="center"/>
          </w:tcPr>
          <w:p>
            <w:pPr>
              <w:ind w:firstLine="422" w:firstLineChars="200"/>
              <w:jc w:val="left"/>
              <w:outlineLvl w:val="3"/>
              <w:rPr>
                <w:rFonts w:hint="eastAsia" w:ascii="宋体" w:hAnsi="宋体" w:eastAsia="宋体" w:cs="宋体"/>
                <w:b/>
                <w:color w:val="auto"/>
                <w:highlight w:val="none"/>
              </w:rPr>
            </w:pPr>
            <w:r>
              <w:rPr>
                <w:rFonts w:hint="eastAsia" w:ascii="宋体" w:hAnsi="宋体" w:eastAsia="宋体" w:cs="宋体"/>
                <w:b/>
                <w:bCs/>
                <w:color w:val="auto"/>
                <w:kern w:val="0"/>
                <w:szCs w:val="21"/>
                <w:highlight w:val="none"/>
              </w:rPr>
              <w:t>商务评分细则表（</w:t>
            </w:r>
            <w:r>
              <w:rPr>
                <w:rFonts w:hint="eastAsia"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825" w:type="dxa"/>
            <w:gridSpan w:val="2"/>
            <w:noWrap w:val="0"/>
            <w:vAlign w:val="center"/>
          </w:tcPr>
          <w:p>
            <w:pPr>
              <w:spacing w:before="120" w:beforeLines="50" w:after="120" w:afterLines="50" w:line="240" w:lineRule="auto"/>
              <w:jc w:val="center"/>
              <w:rPr>
                <w:rFonts w:hint="eastAsia" w:ascii="宋体" w:hAnsi="宋体" w:eastAsia="宋体" w:cs="宋体"/>
                <w:b/>
                <w:color w:val="auto"/>
                <w:highlight w:val="none"/>
              </w:rPr>
            </w:pPr>
            <w:bookmarkStart w:id="2" w:name="_Hlk43300484"/>
            <w:r>
              <w:rPr>
                <w:rFonts w:hint="eastAsia" w:ascii="宋体" w:hAnsi="宋体" w:eastAsia="宋体" w:cs="宋体"/>
                <w:b/>
                <w:color w:val="auto"/>
                <w:highlight w:val="none"/>
              </w:rPr>
              <w:t>序号</w:t>
            </w:r>
          </w:p>
        </w:tc>
        <w:tc>
          <w:tcPr>
            <w:tcW w:w="1219" w:type="dxa"/>
            <w:gridSpan w:val="4"/>
            <w:noWrap w:val="0"/>
            <w:vAlign w:val="center"/>
          </w:tcPr>
          <w:p>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6326" w:type="dxa"/>
            <w:gridSpan w:val="2"/>
            <w:noWrap w:val="0"/>
            <w:vAlign w:val="center"/>
          </w:tcPr>
          <w:p>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评审标准</w:t>
            </w:r>
          </w:p>
        </w:tc>
        <w:tc>
          <w:tcPr>
            <w:tcW w:w="805" w:type="dxa"/>
            <w:gridSpan w:val="2"/>
            <w:noWrap w:val="0"/>
            <w:vAlign w:val="center"/>
          </w:tcPr>
          <w:p>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825" w:type="dxa"/>
            <w:gridSpan w:val="2"/>
            <w:noWrap w:val="0"/>
            <w:vAlign w:val="center"/>
          </w:tcPr>
          <w:p>
            <w:pPr>
              <w:pStyle w:val="7"/>
              <w:numPr>
                <w:ilvl w:val="0"/>
                <w:numId w:val="1"/>
              </w:numPr>
              <w:spacing w:before="120" w:beforeLines="50" w:after="120" w:afterLines="50" w:line="240" w:lineRule="auto"/>
              <w:jc w:val="center"/>
              <w:rPr>
                <w:rFonts w:hint="eastAsia" w:ascii="宋体" w:hAnsi="宋体" w:eastAsia="宋体" w:cs="宋体"/>
                <w:color w:val="auto"/>
                <w:szCs w:val="21"/>
                <w:highlight w:val="none"/>
              </w:rPr>
            </w:pPr>
          </w:p>
        </w:tc>
        <w:tc>
          <w:tcPr>
            <w:tcW w:w="1219" w:type="dxa"/>
            <w:gridSpan w:val="4"/>
            <w:noWrap w:val="0"/>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类似项目业绩</w:t>
            </w:r>
          </w:p>
        </w:tc>
        <w:tc>
          <w:tcPr>
            <w:tcW w:w="6326" w:type="dxa"/>
            <w:gridSpan w:val="2"/>
            <w:noWrap w:val="0"/>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响应供应商自2021年01月01日至今具有类似广告策划设计类项目业绩，每提供一份得5分，最多计4份业绩，满分20分；没有则不计分。</w:t>
            </w:r>
          </w:p>
          <w:p>
            <w:pPr>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Cs w:val="21"/>
                <w:highlight w:val="none"/>
                <w:lang w:val="en-US" w:eastAsia="zh-CN"/>
              </w:rPr>
              <w:t>注：响应文件中须提供合同关键页复印件（包括但不限于合同名称页、合同主要内容页、合同签订日期页、合同双方签字盖章页）并加盖投标人公章，否则不得分。合同体现签订日期的，以合同签订日期为准；合同未体现签订日期的，但是合同履行期限能明显判断在2021年1月1日或之后开始实施的，该合同应予以认可。若合同无法体现具体内容的，可增加客户方提供的证明材料作为佐证材料，否则不得分。</w:t>
            </w:r>
          </w:p>
        </w:tc>
        <w:tc>
          <w:tcPr>
            <w:tcW w:w="805" w:type="dxa"/>
            <w:gridSpan w:val="2"/>
            <w:noWrap w:val="0"/>
            <w:vAlign w:val="center"/>
          </w:tcPr>
          <w:p>
            <w:pPr>
              <w:spacing w:before="120" w:beforeLines="50" w:after="120" w:afterLines="50" w:line="240" w:lineRule="auto"/>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20</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175" w:type="dxa"/>
            <w:gridSpan w:val="10"/>
            <w:noWrap w:val="0"/>
            <w:vAlign w:val="center"/>
          </w:tcPr>
          <w:p>
            <w:pPr>
              <w:jc w:val="left"/>
              <w:outlineLvl w:val="3"/>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技术评分细则表（</w:t>
            </w:r>
            <w:r>
              <w:rPr>
                <w:rFonts w:hint="eastAsia" w:cs="宋体"/>
                <w:b/>
                <w:bCs/>
                <w:color w:val="auto"/>
                <w:kern w:val="0"/>
                <w:szCs w:val="21"/>
                <w:highlight w:val="none"/>
                <w:lang w:val="en-US" w:eastAsia="zh-CN"/>
              </w:rPr>
              <w:t>65</w:t>
            </w:r>
            <w:r>
              <w:rPr>
                <w:rFonts w:hint="eastAsia" w:ascii="宋体" w:hAnsi="宋体" w:eastAsia="宋体" w:cs="宋体"/>
                <w:b/>
                <w:bCs/>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65" w:type="dxa"/>
            <w:noWrap w:val="0"/>
            <w:vAlign w:val="center"/>
          </w:tcPr>
          <w:p>
            <w:pPr>
              <w:spacing w:before="120" w:beforeLines="50" w:after="120" w:afterLines="50" w:line="240" w:lineRule="auto"/>
              <w:jc w:val="center"/>
              <w:rPr>
                <w:rFonts w:hint="eastAsia" w:ascii="宋体" w:hAnsi="宋体" w:eastAsia="宋体" w:cs="宋体"/>
                <w:b/>
                <w:color w:val="auto"/>
                <w:szCs w:val="21"/>
                <w:highlight w:val="none"/>
              </w:rPr>
            </w:pPr>
            <w:bookmarkStart w:id="3" w:name="_Hlk89442205"/>
            <w:r>
              <w:rPr>
                <w:rFonts w:hint="eastAsia" w:ascii="宋体" w:hAnsi="宋体" w:eastAsia="宋体" w:cs="宋体"/>
                <w:b/>
                <w:color w:val="auto"/>
                <w:szCs w:val="21"/>
                <w:highlight w:val="none"/>
              </w:rPr>
              <w:t>序号</w:t>
            </w:r>
          </w:p>
        </w:tc>
        <w:tc>
          <w:tcPr>
            <w:tcW w:w="1224" w:type="dxa"/>
            <w:gridSpan w:val="3"/>
            <w:noWrap w:val="0"/>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337" w:type="dxa"/>
            <w:gridSpan w:val="3"/>
            <w:noWrap w:val="0"/>
            <w:vAlign w:val="center"/>
          </w:tcPr>
          <w:p>
            <w:pPr>
              <w:spacing w:before="120" w:beforeLines="50" w:after="120" w:afterLines="50"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849" w:type="dxa"/>
            <w:gridSpan w:val="3"/>
            <w:noWrap w:val="0"/>
            <w:vAlign w:val="center"/>
          </w:tcPr>
          <w:p>
            <w:pPr>
              <w:spacing w:before="120" w:beforeLines="50" w:after="120" w:afterLines="50"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765" w:type="dxa"/>
            <w:noWrap w:val="0"/>
            <w:vAlign w:val="center"/>
          </w:tcPr>
          <w:p>
            <w:pPr>
              <w:pStyle w:val="8"/>
              <w:widowControl w:val="0"/>
              <w:numPr>
                <w:ilvl w:val="0"/>
                <w:numId w:val="2"/>
              </w:numPr>
              <w:spacing w:before="120" w:beforeLines="50" w:after="120" w:afterLines="50" w:line="240" w:lineRule="auto"/>
              <w:ind w:firstLineChars="0"/>
              <w:jc w:val="center"/>
              <w:rPr>
                <w:rFonts w:hint="eastAsia" w:ascii="宋体" w:hAnsi="宋体" w:eastAsia="宋体" w:cs="宋体"/>
                <w:color w:val="auto"/>
                <w:sz w:val="21"/>
                <w:szCs w:val="21"/>
                <w:highlight w:val="none"/>
              </w:rPr>
            </w:pPr>
          </w:p>
        </w:tc>
        <w:tc>
          <w:tcPr>
            <w:tcW w:w="1224" w:type="dxa"/>
            <w:gridSpan w:val="3"/>
            <w:noWrap w:val="0"/>
            <w:vAlign w:val="center"/>
          </w:tcPr>
          <w:p>
            <w:pPr>
              <w:spacing w:line="240" w:lineRule="auto"/>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服务</w:t>
            </w:r>
            <w:r>
              <w:rPr>
                <w:rFonts w:hint="eastAsia" w:ascii="宋体" w:hAnsi="宋体" w:eastAsia="宋体" w:cs="宋体"/>
                <w:color w:val="auto"/>
                <w:szCs w:val="21"/>
                <w:highlight w:val="none"/>
                <w:lang w:val="en-US" w:eastAsia="zh-CN"/>
              </w:rPr>
              <w:t>方案</w:t>
            </w:r>
          </w:p>
        </w:tc>
        <w:tc>
          <w:tcPr>
            <w:tcW w:w="6337" w:type="dxa"/>
            <w:gridSpan w:val="3"/>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围绕横琴粤澳深度合作区城市规划和建设局合作区三周年公共交通宣传需求进行创意，服务方案需提供：活动策划方案、视频制作方案、氛围营造方案、文创设计及制作执行服务方案等。</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根据响应供应商对项目需求的思考及规划、服务方案（包括但不限于对项目背景的理解和分析，符合项目立意的宣传方案，有针对性的执行计划等，）进行评审：</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1、服务方案详细具体、完整全面，针对性强，可实施性强，视觉效果优秀，完全满足或优于用户需求的，给予40分；</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2、服务方案完整具体，针对性和可实施性较强，视觉效果良好，执行计划满足用户需求的，给予30分；</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3、服务方案完整具体，针对性和可实施性较强，视觉效果一般，执行计划基本满足用户需求的，给予20分；</w:t>
            </w:r>
          </w:p>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4、宣传方案有缺漏，缺乏针对性和可实施性，视觉效果较差，执行计划较难满足用户需求的，给予0分；</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5、未提供服务方案的，得0分。</w:t>
            </w:r>
          </w:p>
        </w:tc>
        <w:tc>
          <w:tcPr>
            <w:tcW w:w="849" w:type="dxa"/>
            <w:gridSpan w:val="3"/>
            <w:noWrap w:val="0"/>
            <w:vAlign w:val="center"/>
          </w:tcPr>
          <w:p>
            <w:pPr>
              <w:spacing w:before="120" w:beforeLines="50" w:after="120" w:afterLines="50" w:line="240" w:lineRule="auto"/>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765" w:type="dxa"/>
            <w:noWrap w:val="0"/>
            <w:vAlign w:val="center"/>
          </w:tcPr>
          <w:p>
            <w:pPr>
              <w:pStyle w:val="8"/>
              <w:widowControl w:val="0"/>
              <w:numPr>
                <w:ilvl w:val="0"/>
                <w:numId w:val="2"/>
              </w:numPr>
              <w:spacing w:before="120" w:beforeLines="50" w:after="120" w:afterLines="50" w:line="240" w:lineRule="auto"/>
              <w:ind w:firstLineChars="0"/>
              <w:jc w:val="center"/>
              <w:rPr>
                <w:rFonts w:hint="eastAsia" w:ascii="宋体" w:hAnsi="宋体" w:eastAsia="宋体" w:cs="宋体"/>
                <w:color w:val="auto"/>
                <w:sz w:val="21"/>
                <w:szCs w:val="21"/>
                <w:highlight w:val="none"/>
              </w:rPr>
            </w:pPr>
          </w:p>
        </w:tc>
        <w:tc>
          <w:tcPr>
            <w:tcW w:w="1224" w:type="dxa"/>
            <w:gridSpan w:val="3"/>
            <w:noWrap w:val="0"/>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服务团队情况 </w:t>
            </w:r>
          </w:p>
        </w:tc>
        <w:tc>
          <w:tcPr>
            <w:tcW w:w="6337" w:type="dxa"/>
            <w:gridSpan w:val="3"/>
            <w:noWrap w:val="0"/>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根据响应供应商拟投入本项目的服务团队成员进行评分：</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1、拟投入服务团队成员为策划类或设计类或传播类相关专业毕业的，每提供一人得1</w:t>
            </w:r>
            <w:bookmarkStart w:id="4" w:name="_GoBack"/>
            <w:bookmarkEnd w:id="4"/>
            <w:r>
              <w:rPr>
                <w:rFonts w:hint="eastAsia" w:ascii="宋体" w:hAnsi="宋体" w:eastAsia="宋体" w:cs="宋体"/>
                <w:color w:val="auto"/>
                <w:kern w:val="0"/>
                <w:sz w:val="21"/>
                <w:szCs w:val="21"/>
                <w:highlight w:val="none"/>
                <w:lang w:val="en-US" w:eastAsia="zh-CN" w:bidi="ar"/>
              </w:rPr>
              <w:t>.5分，最多计10人，本小项满分15分。</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2、服务团队参与或主持的相关案例获得</w:t>
            </w:r>
            <w:r>
              <w:rPr>
                <w:rFonts w:hint="eastAsia" w:cs="宋体"/>
                <w:color w:val="auto"/>
                <w:kern w:val="0"/>
                <w:sz w:val="21"/>
                <w:szCs w:val="21"/>
                <w:highlight w:val="none"/>
                <w:lang w:val="en-US" w:eastAsia="zh-CN" w:bidi="ar"/>
              </w:rPr>
              <w:t>市级或市级以上广告行业</w:t>
            </w:r>
            <w:r>
              <w:rPr>
                <w:rFonts w:hint="eastAsia" w:ascii="宋体" w:hAnsi="宋体" w:eastAsia="宋体" w:cs="宋体"/>
                <w:color w:val="auto"/>
                <w:kern w:val="0"/>
                <w:sz w:val="21"/>
                <w:szCs w:val="21"/>
                <w:highlight w:val="none"/>
                <w:lang w:val="en-US" w:eastAsia="zh-CN" w:bidi="ar"/>
              </w:rPr>
              <w:t>策划设计类或影视类奖项的，每提供一项得2.5分，最多计2项，本小项满分5分。</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注：响应文件需提供①上述成员名单、毕业证书复印件，以及2024年5月至开标当月任意一个月响应供应商为其购买社保的凭证；②奖项证书复印件，加盖供应商公章。</w:t>
            </w:r>
          </w:p>
        </w:tc>
        <w:tc>
          <w:tcPr>
            <w:tcW w:w="849" w:type="dxa"/>
            <w:gridSpan w:val="3"/>
            <w:noWrap w:val="0"/>
            <w:vAlign w:val="center"/>
          </w:tcPr>
          <w:p>
            <w:pPr>
              <w:spacing w:before="120" w:beforeLines="50" w:after="120" w:afterLines="50" w:line="240" w:lineRule="auto"/>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765" w:type="dxa"/>
            <w:noWrap w:val="0"/>
            <w:vAlign w:val="center"/>
          </w:tcPr>
          <w:p>
            <w:pPr>
              <w:pStyle w:val="8"/>
              <w:widowControl w:val="0"/>
              <w:numPr>
                <w:ilvl w:val="0"/>
                <w:numId w:val="2"/>
              </w:numPr>
              <w:spacing w:before="120" w:beforeLines="50" w:after="120" w:afterLines="50" w:line="240" w:lineRule="auto"/>
              <w:ind w:firstLineChars="0"/>
              <w:jc w:val="center"/>
              <w:rPr>
                <w:rFonts w:hint="eastAsia" w:ascii="宋体" w:hAnsi="宋体" w:eastAsia="宋体" w:cs="宋体"/>
                <w:color w:val="auto"/>
                <w:sz w:val="21"/>
                <w:szCs w:val="21"/>
                <w:highlight w:val="none"/>
              </w:rPr>
            </w:pPr>
          </w:p>
        </w:tc>
        <w:tc>
          <w:tcPr>
            <w:tcW w:w="1224" w:type="dxa"/>
            <w:gridSpan w:val="3"/>
            <w:noWrap w:val="0"/>
            <w:vAlign w:val="center"/>
          </w:tcPr>
          <w:p>
            <w:pPr>
              <w:spacing w:line="240" w:lineRule="auto"/>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售后服务</w:t>
            </w:r>
          </w:p>
        </w:tc>
        <w:tc>
          <w:tcPr>
            <w:tcW w:w="6337" w:type="dxa"/>
            <w:gridSpan w:val="3"/>
            <w:noWrap w:val="0"/>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val="en-US" w:eastAsia="zh-CN"/>
              </w:rPr>
              <w:t>响应供应商</w:t>
            </w:r>
            <w:r>
              <w:rPr>
                <w:rFonts w:hint="eastAsia" w:ascii="宋体" w:hAnsi="宋体" w:eastAsia="宋体" w:cs="宋体"/>
                <w:color w:val="auto"/>
                <w:highlight w:val="none"/>
              </w:rPr>
              <w:t>提供的</w:t>
            </w:r>
            <w:r>
              <w:rPr>
                <w:rFonts w:hint="eastAsia" w:ascii="宋体" w:hAnsi="宋体" w:eastAsia="宋体" w:cs="宋体"/>
                <w:color w:val="auto"/>
                <w:highlight w:val="none"/>
                <w:lang w:val="en-US" w:eastAsia="zh-CN"/>
              </w:rPr>
              <w:t>售后</w:t>
            </w:r>
            <w:r>
              <w:rPr>
                <w:rFonts w:hint="eastAsia" w:ascii="宋体" w:hAnsi="宋体" w:eastAsia="宋体" w:cs="宋体"/>
                <w:color w:val="auto"/>
                <w:highlight w:val="none"/>
              </w:rPr>
              <w:t>服务方案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包括但不限于全过程跟踪</w:t>
            </w:r>
            <w:r>
              <w:rPr>
                <w:rFonts w:hint="eastAsia" w:ascii="宋体" w:hAnsi="宋体" w:eastAsia="宋体" w:cs="宋体"/>
                <w:color w:val="auto"/>
                <w:highlight w:val="none"/>
              </w:rPr>
              <w:t>服务、售后服务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应急服务响应承诺等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进行评审：</w:t>
            </w:r>
          </w:p>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1、售后</w:t>
            </w:r>
            <w:r>
              <w:rPr>
                <w:rFonts w:hint="eastAsia" w:ascii="宋体" w:hAnsi="宋体" w:eastAsia="宋体" w:cs="宋体"/>
                <w:color w:val="auto"/>
                <w:highlight w:val="none"/>
              </w:rPr>
              <w:t>服务方案</w:t>
            </w:r>
            <w:r>
              <w:rPr>
                <w:rFonts w:hint="eastAsia" w:ascii="宋体" w:hAnsi="宋体" w:eastAsia="宋体" w:cs="宋体"/>
                <w:color w:val="auto"/>
                <w:highlight w:val="none"/>
                <w:lang w:val="en-US" w:eastAsia="zh-CN"/>
              </w:rPr>
              <w:t>完善详细</w:t>
            </w:r>
            <w:r>
              <w:rPr>
                <w:rFonts w:hint="eastAsia" w:ascii="宋体" w:hAnsi="宋体" w:eastAsia="宋体" w:cs="宋体"/>
                <w:color w:val="auto"/>
                <w:highlight w:val="none"/>
              </w:rPr>
              <w:t>，实施方法</w:t>
            </w:r>
            <w:r>
              <w:rPr>
                <w:rFonts w:hint="eastAsia" w:ascii="宋体" w:hAnsi="宋体" w:eastAsia="宋体" w:cs="宋体"/>
                <w:color w:val="auto"/>
                <w:highlight w:val="none"/>
                <w:lang w:val="en-US" w:eastAsia="zh-CN"/>
              </w:rPr>
              <w:t>针对性和</w:t>
            </w:r>
            <w:r>
              <w:rPr>
                <w:rFonts w:hint="eastAsia" w:ascii="宋体" w:hAnsi="宋体" w:eastAsia="宋体" w:cs="宋体"/>
                <w:color w:val="auto"/>
                <w:highlight w:val="none"/>
              </w:rPr>
              <w:t>可行</w:t>
            </w:r>
            <w:r>
              <w:rPr>
                <w:rFonts w:hint="eastAsia" w:ascii="宋体" w:hAnsi="宋体" w:eastAsia="宋体" w:cs="宋体"/>
                <w:color w:val="auto"/>
                <w:highlight w:val="none"/>
                <w:lang w:val="en-US" w:eastAsia="zh-CN"/>
              </w:rPr>
              <w:t>性强的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pPr>
              <w:jc w:val="left"/>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、售后</w:t>
            </w:r>
            <w:r>
              <w:rPr>
                <w:rFonts w:hint="eastAsia" w:ascii="宋体" w:hAnsi="宋体" w:eastAsia="宋体" w:cs="宋体"/>
                <w:color w:val="auto"/>
                <w:highlight w:val="none"/>
              </w:rPr>
              <w:t>服务方案基本完整，实施方法基本</w:t>
            </w:r>
            <w:r>
              <w:rPr>
                <w:rFonts w:hint="eastAsia" w:ascii="宋体" w:hAnsi="宋体" w:eastAsia="宋体" w:cs="宋体"/>
                <w:color w:val="auto"/>
                <w:highlight w:val="none"/>
                <w:lang w:val="en-US" w:eastAsia="zh-CN"/>
              </w:rPr>
              <w:t>具备针对性和</w:t>
            </w:r>
            <w:r>
              <w:rPr>
                <w:rFonts w:hint="eastAsia" w:ascii="宋体" w:hAnsi="宋体" w:eastAsia="宋体" w:cs="宋体"/>
                <w:color w:val="auto"/>
                <w:highlight w:val="none"/>
              </w:rPr>
              <w:t>可行</w:t>
            </w:r>
            <w:r>
              <w:rPr>
                <w:rFonts w:hint="eastAsia" w:ascii="宋体" w:hAnsi="宋体" w:eastAsia="宋体" w:cs="宋体"/>
                <w:color w:val="auto"/>
                <w:highlight w:val="none"/>
                <w:lang w:val="en-US" w:eastAsia="zh-CN"/>
              </w:rPr>
              <w:t>性的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jc w:val="left"/>
              <w:rPr>
                <w:rFonts w:hint="eastAsia" w:ascii="宋体" w:hAnsi="宋体" w:eastAsia="宋体" w:cs="宋体"/>
                <w:color w:val="auto"/>
                <w:highlight w:val="none"/>
                <w:lang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、售后</w:t>
            </w:r>
            <w:r>
              <w:rPr>
                <w:rFonts w:hint="eastAsia" w:ascii="宋体" w:hAnsi="宋体" w:eastAsia="宋体" w:cs="宋体"/>
                <w:color w:val="auto"/>
                <w:highlight w:val="none"/>
              </w:rPr>
              <w:t>服务方案不完整，实施方法</w:t>
            </w:r>
            <w:r>
              <w:rPr>
                <w:rFonts w:hint="eastAsia" w:ascii="宋体" w:hAnsi="宋体" w:eastAsia="宋体" w:cs="宋体"/>
                <w:color w:val="auto"/>
                <w:highlight w:val="none"/>
                <w:lang w:val="en-US" w:eastAsia="zh-CN"/>
              </w:rPr>
              <w:t>缺乏针对性和</w:t>
            </w:r>
            <w:r>
              <w:rPr>
                <w:rFonts w:hint="eastAsia" w:ascii="宋体" w:hAnsi="宋体" w:eastAsia="宋体" w:cs="宋体"/>
                <w:color w:val="auto"/>
                <w:highlight w:val="none"/>
              </w:rPr>
              <w:t>可行</w:t>
            </w:r>
            <w:r>
              <w:rPr>
                <w:rFonts w:hint="eastAsia" w:ascii="宋体" w:hAnsi="宋体" w:eastAsia="宋体" w:cs="宋体"/>
                <w:color w:val="auto"/>
                <w:highlight w:val="none"/>
                <w:lang w:val="en-US" w:eastAsia="zh-CN"/>
              </w:rPr>
              <w:t>性的</w:t>
            </w:r>
            <w:r>
              <w:rPr>
                <w:rFonts w:hint="eastAsia" w:ascii="宋体" w:hAnsi="宋体" w:eastAsia="宋体" w:cs="宋体"/>
                <w:color w:val="auto"/>
                <w:highlight w:val="none"/>
              </w:rPr>
              <w:t>，得</w:t>
            </w:r>
            <w:r>
              <w:rPr>
                <w:rFonts w:hint="eastAsia" w:cs="宋体"/>
                <w:color w:val="auto"/>
                <w:highlight w:val="none"/>
                <w:lang w:val="en-US" w:eastAsia="zh-CN"/>
              </w:rPr>
              <w:t>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widowControl/>
              <w:suppressLineNumbers w:val="0"/>
              <w:jc w:val="both"/>
              <w:rPr>
                <w:rFonts w:hint="eastAsia" w:ascii="宋体" w:hAnsi="宋体" w:eastAsia="宋体" w:cs="宋体"/>
                <w:color w:val="auto"/>
                <w:sz w:val="21"/>
                <w:szCs w:val="21"/>
                <w:highlight w:val="none"/>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未提供方案的，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rPr>
              <w:t>分。</w:t>
            </w:r>
          </w:p>
        </w:tc>
        <w:tc>
          <w:tcPr>
            <w:tcW w:w="849" w:type="dxa"/>
            <w:gridSpan w:val="3"/>
            <w:noWrap w:val="0"/>
            <w:vAlign w:val="center"/>
          </w:tcPr>
          <w:p>
            <w:pPr>
              <w:spacing w:before="120" w:beforeLines="50" w:after="120" w:afterLines="50"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175" w:type="dxa"/>
            <w:gridSpan w:val="10"/>
            <w:noWrap w:val="0"/>
            <w:vAlign w:val="center"/>
          </w:tcPr>
          <w:p>
            <w:pPr>
              <w:jc w:val="left"/>
              <w:outlineLvl w:val="3"/>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价格评分细则表（</w:t>
            </w:r>
            <w:r>
              <w:rPr>
                <w:rFonts w:hint="eastAsia" w:ascii="宋体" w:hAnsi="宋体" w:eastAsia="宋体" w:cs="宋体"/>
                <w:b/>
                <w:bCs/>
                <w:color w:val="auto"/>
                <w:kern w:val="0"/>
                <w:szCs w:val="21"/>
                <w:highlight w:val="none"/>
                <w:lang w:val="en-US" w:eastAsia="zh-CN"/>
              </w:rPr>
              <w:t>1</w:t>
            </w:r>
            <w:r>
              <w:rPr>
                <w:rFonts w:hint="eastAsia"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834" w:type="dxa"/>
            <w:gridSpan w:val="3"/>
            <w:noWrap w:val="0"/>
            <w:vAlign w:val="center"/>
          </w:tcPr>
          <w:p>
            <w:pPr>
              <w:spacing w:before="120" w:beforeLines="50" w:after="120" w:afterLines="50"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00" w:type="dxa"/>
            <w:gridSpan w:val="2"/>
            <w:noWrap w:val="0"/>
            <w:vAlign w:val="center"/>
          </w:tcPr>
          <w:p>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6349" w:type="dxa"/>
            <w:gridSpan w:val="4"/>
            <w:noWrap w:val="0"/>
            <w:vAlign w:val="center"/>
          </w:tcPr>
          <w:p>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评审标准</w:t>
            </w:r>
          </w:p>
        </w:tc>
        <w:tc>
          <w:tcPr>
            <w:tcW w:w="792" w:type="dxa"/>
            <w:noWrap w:val="0"/>
            <w:vAlign w:val="center"/>
          </w:tcPr>
          <w:p>
            <w:pPr>
              <w:spacing w:before="120" w:beforeLines="50" w:after="120" w:afterLines="50" w:line="24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834" w:type="dxa"/>
            <w:gridSpan w:val="3"/>
            <w:tcBorders>
              <w:bottom w:val="single" w:color="auto" w:sz="4" w:space="0"/>
            </w:tcBorders>
            <w:noWrap w:val="0"/>
            <w:vAlign w:val="center"/>
          </w:tcPr>
          <w:p>
            <w:pPr>
              <w:spacing w:before="120" w:beforeLines="50" w:after="120" w:afterLines="5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00" w:type="dxa"/>
            <w:gridSpan w:val="2"/>
            <w:tcBorders>
              <w:bottom w:val="single" w:color="auto" w:sz="4" w:space="0"/>
            </w:tcBorders>
            <w:noWrap w:val="0"/>
            <w:vAlign w:val="center"/>
          </w:tcPr>
          <w:p>
            <w:pPr>
              <w:spacing w:before="120" w:beforeLines="50" w:after="120" w:afterLines="5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w:t>
            </w:r>
          </w:p>
        </w:tc>
        <w:tc>
          <w:tcPr>
            <w:tcW w:w="6349" w:type="dxa"/>
            <w:gridSpan w:val="4"/>
            <w:tcBorders>
              <w:bottom w:val="single" w:color="auto" w:sz="4" w:space="0"/>
            </w:tcBorders>
            <w:noWrap w:val="0"/>
            <w:vAlign w:val="center"/>
          </w:tcPr>
          <w:p>
            <w:pPr>
              <w:spacing w:before="120" w:beforeLines="50" w:after="120" w:afterLines="50" w:line="240" w:lineRule="auto"/>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投标（响应）报价得分＝（评审基准价/最终响应报价）×价格分值【注：满足采购文件要求且最终响应价格最低的响应报价为评审基准价。】最低报价不是成交的唯一依据。因落实政府采购政策进行价格调整的，以调整后的价格计算评审基准价和最终响应报价。</w:t>
            </w:r>
          </w:p>
        </w:tc>
        <w:tc>
          <w:tcPr>
            <w:tcW w:w="792" w:type="dxa"/>
            <w:tcBorders>
              <w:bottom w:val="single" w:color="auto" w:sz="4" w:space="0"/>
            </w:tcBorders>
            <w:noWrap w:val="0"/>
            <w:vAlign w:val="center"/>
          </w:tcPr>
          <w:p>
            <w:pPr>
              <w:spacing w:before="120" w:beforeLines="50" w:after="120" w:afterLines="50" w:line="240" w:lineRule="auto"/>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w:t>
            </w:r>
            <w:r>
              <w:rPr>
                <w:rFonts w:hint="eastAsia" w:cs="宋体"/>
                <w:color w:val="auto"/>
                <w:szCs w:val="21"/>
                <w:highlight w:val="none"/>
                <w:lang w:val="en-US" w:eastAsia="zh-CN"/>
              </w:rPr>
              <w:t>5</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体">
    <w:altName w:val="仿宋"/>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D7526"/>
    <w:multiLevelType w:val="multilevel"/>
    <w:tmpl w:val="291D7526"/>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B47AAE"/>
    <w:multiLevelType w:val="multilevel"/>
    <w:tmpl w:val="31B47AAE"/>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C6CE0"/>
    <w:rsid w:val="10E037D4"/>
    <w:rsid w:val="14F04493"/>
    <w:rsid w:val="28AC6CE0"/>
    <w:rsid w:val="420A4360"/>
    <w:rsid w:val="497719E0"/>
    <w:rsid w:val="60FF3C94"/>
    <w:rsid w:val="69445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宋体" w:hAnsi="宋体"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snapToGrid/>
      <w:spacing w:after="120" w:line="240" w:lineRule="auto"/>
      <w:ind w:left="420" w:leftChars="200"/>
    </w:pPr>
  </w:style>
  <w:style w:type="paragraph" w:styleId="3">
    <w:name w:val="Body Text Indent"/>
    <w:basedOn w:val="1"/>
    <w:next w:val="1"/>
    <w:qFormat/>
    <w:uiPriority w:val="0"/>
    <w:pPr>
      <w:adjustRightInd w:val="0"/>
      <w:snapToGrid w:val="0"/>
      <w:ind w:firstLine="420" w:firstLineChars="200"/>
    </w:pPr>
  </w:style>
  <w:style w:type="paragraph" w:styleId="4">
    <w:name w:val="Body Text"/>
    <w:basedOn w:val="1"/>
    <w:next w:val="1"/>
    <w:qFormat/>
    <w:uiPriority w:val="0"/>
    <w:pPr>
      <w:spacing w:after="120"/>
    </w:pPr>
  </w:style>
  <w:style w:type="paragraph" w:styleId="7">
    <w:name w:val="List Paragraph"/>
    <w:basedOn w:val="1"/>
    <w:qFormat/>
    <w:uiPriority w:val="34"/>
    <w:pPr>
      <w:suppressAutoHyphens/>
      <w:ind w:firstLine="420"/>
    </w:pPr>
    <w:rPr>
      <w:rFonts w:ascii="华文中宋" w:hAnsi="华文中宋"/>
      <w:kern w:val="1"/>
      <w:szCs w:val="22"/>
      <w:lang w:eastAsia="ar-SA"/>
    </w:rPr>
  </w:style>
  <w:style w:type="paragraph" w:customStyle="1" w:styleId="8">
    <w:name w:val="_Style 3"/>
    <w:basedOn w:val="1"/>
    <w:next w:val="7"/>
    <w:qFormat/>
    <w:uiPriority w:val="34"/>
    <w:pPr>
      <w:spacing w:line="240" w:lineRule="atLeast"/>
      <w:ind w:firstLine="420" w:firstLineChars="200"/>
      <w:jc w:val="left"/>
    </w:pPr>
    <w:rPr>
      <w:rFonts w:ascii="仿宋体" w:hAnsi="仿宋体" w:eastAsia="Arial" w:cs="Arial"/>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11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2024-07-31T08:49:00Z</dcterms:created>
  <dc:creator>TangkwanLam</dc:creator>
  <cp:lastModifiedBy>何幸容</cp:lastModifiedBy>
  <dcterms:modified xsi:type="dcterms:W3CDTF">2024-08-26T08:08:51Z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5FE9A5F6D92B46F3B15D2E4F38233967</vt:lpwstr>
  </property>
</Properties>
</file>