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6D4D8">
      <w:pPr>
        <w:jc w:val="center"/>
        <w:rPr>
          <w:rFonts w:hint="eastAsia" w:ascii="仿宋" w:hAnsi="仿宋" w:eastAsia="仿宋" w:cs="仿宋"/>
          <w:b/>
          <w:bCs/>
          <w:sz w:val="36"/>
          <w:szCs w:val="36"/>
        </w:rPr>
      </w:pPr>
      <w:r>
        <w:rPr>
          <w:rFonts w:hint="eastAsia" w:ascii="仿宋" w:hAnsi="仿宋" w:eastAsia="仿宋" w:cs="仿宋"/>
          <w:b/>
          <w:bCs/>
          <w:sz w:val="36"/>
          <w:szCs w:val="36"/>
        </w:rPr>
        <w:t>评分细则</w:t>
      </w:r>
    </w:p>
    <w:p w14:paraId="2BCEE88F">
      <w:pPr>
        <w:keepNext/>
        <w:keepLines/>
        <w:spacing w:before="100" w:line="360" w:lineRule="auto"/>
        <w:jc w:val="center"/>
        <w:outlineLvl w:val="2"/>
      </w:pPr>
      <w:r>
        <w:rPr>
          <w:rFonts w:hint="eastAsia" w:ascii="仿宋" w:hAnsi="仿宋" w:eastAsia="仿宋" w:cs="仿宋"/>
          <w:b/>
          <w:bCs/>
          <w:sz w:val="32"/>
          <w:szCs w:val="32"/>
        </w:rPr>
        <w:t>技术部分（50分）</w:t>
      </w:r>
    </w:p>
    <w:tbl>
      <w:tblPr>
        <w:tblStyle w:val="17"/>
        <w:tblpPr w:leftFromText="180" w:rightFromText="180" w:vertAnchor="text" w:horzAnchor="page" w:tblpX="1830" w:tblpY="624"/>
        <w:tblOverlap w:val="never"/>
        <w:tblW w:w="8136" w:type="dxa"/>
        <w:tblInd w:w="0" w:type="dxa"/>
        <w:tblLayout w:type="fixed"/>
        <w:tblCellMar>
          <w:top w:w="0" w:type="dxa"/>
          <w:left w:w="108" w:type="dxa"/>
          <w:bottom w:w="0" w:type="dxa"/>
          <w:right w:w="108" w:type="dxa"/>
        </w:tblCellMar>
      </w:tblPr>
      <w:tblGrid>
        <w:gridCol w:w="769"/>
        <w:gridCol w:w="1097"/>
        <w:gridCol w:w="5472"/>
        <w:gridCol w:w="798"/>
      </w:tblGrid>
      <w:tr w14:paraId="2826EF62">
        <w:tblPrEx>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1751FDF2">
            <w:pPr>
              <w:jc w:val="center"/>
              <w:textAlignment w:val="center"/>
              <w:rPr>
                <w:rFonts w:ascii="仿宋" w:hAnsi="仿宋" w:eastAsia="仿宋" w:cs="仿宋"/>
                <w:sz w:val="24"/>
              </w:rPr>
            </w:pPr>
            <w:r>
              <w:rPr>
                <w:rFonts w:hint="eastAsia" w:ascii="仿宋" w:hAnsi="仿宋" w:eastAsia="仿宋" w:cs="仿宋"/>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14:paraId="24BC5426">
            <w:pPr>
              <w:jc w:val="center"/>
              <w:textAlignment w:val="center"/>
              <w:rPr>
                <w:rFonts w:ascii="仿宋" w:hAnsi="仿宋" w:eastAsia="仿宋" w:cs="仿宋"/>
                <w:sz w:val="24"/>
              </w:rPr>
            </w:pPr>
            <w:r>
              <w:rPr>
                <w:rFonts w:hint="eastAsia" w:ascii="仿宋" w:hAnsi="仿宋" w:eastAsia="仿宋" w:cs="仿宋"/>
                <w:sz w:val="24"/>
              </w:rPr>
              <w:t>指标</w:t>
            </w:r>
          </w:p>
        </w:tc>
        <w:tc>
          <w:tcPr>
            <w:tcW w:w="5472" w:type="dxa"/>
            <w:tcBorders>
              <w:top w:val="single" w:color="000000" w:sz="4" w:space="0"/>
              <w:left w:val="single" w:color="000000" w:sz="4" w:space="0"/>
              <w:bottom w:val="single" w:color="000000" w:sz="4" w:space="0"/>
              <w:right w:val="single" w:color="000000" w:sz="4" w:space="0"/>
            </w:tcBorders>
            <w:vAlign w:val="center"/>
          </w:tcPr>
          <w:p w14:paraId="065C14EB">
            <w:pPr>
              <w:jc w:val="center"/>
              <w:textAlignment w:val="center"/>
              <w:rPr>
                <w:rFonts w:ascii="仿宋" w:hAnsi="仿宋" w:eastAsia="仿宋" w:cs="仿宋"/>
                <w:sz w:val="24"/>
              </w:rPr>
            </w:pPr>
            <w:r>
              <w:rPr>
                <w:rFonts w:hint="eastAsia" w:ascii="仿宋" w:hAnsi="仿宋" w:eastAsia="仿宋" w:cs="仿宋"/>
                <w:sz w:val="24"/>
              </w:rPr>
              <w:t>评分标准</w:t>
            </w:r>
          </w:p>
        </w:tc>
        <w:tc>
          <w:tcPr>
            <w:tcW w:w="798" w:type="dxa"/>
            <w:tcBorders>
              <w:top w:val="single" w:color="000000" w:sz="4" w:space="0"/>
              <w:left w:val="single" w:color="000000" w:sz="4" w:space="0"/>
              <w:bottom w:val="single" w:color="000000" w:sz="4" w:space="0"/>
              <w:right w:val="single" w:color="000000" w:sz="4" w:space="0"/>
            </w:tcBorders>
            <w:vAlign w:val="center"/>
          </w:tcPr>
          <w:p w14:paraId="46A02F73">
            <w:pPr>
              <w:jc w:val="center"/>
              <w:textAlignment w:val="center"/>
              <w:rPr>
                <w:rFonts w:ascii="仿宋" w:hAnsi="仿宋" w:eastAsia="仿宋" w:cs="仿宋"/>
                <w:sz w:val="24"/>
              </w:rPr>
            </w:pPr>
            <w:r>
              <w:rPr>
                <w:rFonts w:hint="eastAsia" w:ascii="仿宋" w:hAnsi="仿宋" w:eastAsia="仿宋" w:cs="仿宋"/>
                <w:sz w:val="24"/>
              </w:rPr>
              <w:t>分值</w:t>
            </w:r>
          </w:p>
        </w:tc>
      </w:tr>
      <w:tr w14:paraId="73DBA789">
        <w:tblPrEx>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630CA41D">
            <w:pPr>
              <w:jc w:val="center"/>
              <w:textAlignment w:val="center"/>
              <w:rPr>
                <w:rFonts w:ascii="仿宋" w:hAnsi="仿宋" w:eastAsia="仿宋" w:cs="仿宋"/>
                <w:sz w:val="24"/>
              </w:rPr>
            </w:pPr>
            <w:r>
              <w:rPr>
                <w:rFonts w:hint="eastAsia" w:ascii="仿宋" w:hAnsi="仿宋" w:eastAsia="仿宋" w:cs="仿宋"/>
                <w:sz w:val="24"/>
              </w:rPr>
              <w:t>1</w:t>
            </w:r>
          </w:p>
        </w:tc>
        <w:tc>
          <w:tcPr>
            <w:tcW w:w="1097" w:type="dxa"/>
            <w:tcBorders>
              <w:top w:val="single" w:color="000000" w:sz="4" w:space="0"/>
              <w:left w:val="single" w:color="000000" w:sz="4" w:space="0"/>
              <w:bottom w:val="single" w:color="000000" w:sz="4" w:space="0"/>
              <w:right w:val="single" w:color="000000" w:sz="4" w:space="0"/>
            </w:tcBorders>
            <w:vAlign w:val="center"/>
          </w:tcPr>
          <w:p w14:paraId="60DABCD7">
            <w:pPr>
              <w:textAlignment w:val="center"/>
              <w:rPr>
                <w:rFonts w:ascii="仿宋" w:hAnsi="仿宋" w:eastAsia="仿宋" w:cs="仿宋"/>
                <w:sz w:val="24"/>
              </w:rPr>
            </w:pPr>
            <w:r>
              <w:rPr>
                <w:rFonts w:hint="eastAsia" w:ascii="仿宋" w:hAnsi="仿宋" w:eastAsia="仿宋" w:cs="仿宋"/>
                <w:sz w:val="24"/>
              </w:rPr>
              <w:t>对项目理解与认识程度</w:t>
            </w:r>
          </w:p>
        </w:tc>
        <w:tc>
          <w:tcPr>
            <w:tcW w:w="5472" w:type="dxa"/>
            <w:tcBorders>
              <w:top w:val="single" w:color="000000" w:sz="4" w:space="0"/>
              <w:left w:val="single" w:color="000000" w:sz="4" w:space="0"/>
              <w:bottom w:val="single" w:color="000000" w:sz="4" w:space="0"/>
              <w:right w:val="single" w:color="000000" w:sz="4" w:space="0"/>
            </w:tcBorders>
            <w:vAlign w:val="center"/>
          </w:tcPr>
          <w:p w14:paraId="16DB49A0">
            <w:pPr>
              <w:textAlignment w:val="center"/>
              <w:rPr>
                <w:rFonts w:ascii="仿宋" w:hAnsi="仿宋" w:eastAsia="仿宋" w:cs="仿宋"/>
                <w:sz w:val="24"/>
              </w:rPr>
            </w:pPr>
            <w:r>
              <w:rPr>
                <w:rFonts w:hint="eastAsia" w:ascii="仿宋" w:hAnsi="仿宋" w:eastAsia="仿宋" w:cs="仿宋"/>
                <w:sz w:val="24"/>
              </w:rPr>
              <w:t xml:space="preserve">根据投标人对本项目的理解及认识程度，对项目重点、难点分析、应对措施及合理化建议等进行综合评审： </w:t>
            </w:r>
          </w:p>
          <w:p w14:paraId="47846BCF">
            <w:pPr>
              <w:textAlignment w:val="center"/>
              <w:rPr>
                <w:rFonts w:ascii="仿宋" w:hAnsi="仿宋" w:eastAsia="仿宋" w:cs="仿宋"/>
                <w:sz w:val="24"/>
              </w:rPr>
            </w:pPr>
            <w:r>
              <w:rPr>
                <w:rFonts w:hint="eastAsia" w:ascii="仿宋" w:hAnsi="仿宋" w:eastAsia="仿宋" w:cs="仿宋"/>
                <w:sz w:val="24"/>
              </w:rPr>
              <w:t>1.对项目的理解及认识充分，重点、难点把握准确的，应对措施及合理化建议针对性及可操作性强，内容清晰、明确，能完全满足购需求的，得</w:t>
            </w:r>
            <w:r>
              <w:rPr>
                <w:rFonts w:hint="eastAsia" w:ascii="仿宋" w:hAnsi="仿宋" w:eastAsia="PMingLiU" w:cs="仿宋"/>
                <w:sz w:val="24"/>
                <w:lang w:val="en-US" w:eastAsia="zh-TW"/>
              </w:rPr>
              <w:t>2</w:t>
            </w:r>
            <w:r>
              <w:rPr>
                <w:rFonts w:hint="eastAsia" w:ascii="仿宋" w:hAnsi="仿宋" w:eastAsia="仿宋" w:cs="仿宋"/>
                <w:sz w:val="24"/>
              </w:rPr>
              <w:t>0分；</w:t>
            </w:r>
          </w:p>
          <w:p w14:paraId="41B10673">
            <w:pPr>
              <w:textAlignment w:val="center"/>
              <w:rPr>
                <w:rFonts w:ascii="仿宋" w:hAnsi="仿宋" w:eastAsia="仿宋" w:cs="仿宋"/>
                <w:sz w:val="24"/>
              </w:rPr>
            </w:pPr>
            <w:r>
              <w:rPr>
                <w:rFonts w:hint="eastAsia" w:ascii="仿宋" w:hAnsi="仿宋" w:eastAsia="仿宋" w:cs="仿宋"/>
                <w:sz w:val="24"/>
              </w:rPr>
              <w:t>2.对项目的理解及认识较充分，重点、难点把握较准确的，应对措施及合理化建议针对性及可操作性较强，内容清晰，比较能满足采购需求的，得</w:t>
            </w:r>
            <w:r>
              <w:rPr>
                <w:rFonts w:hint="eastAsia" w:ascii="仿宋" w:hAnsi="仿宋" w:eastAsia="PMingLiU" w:cs="仿宋"/>
                <w:sz w:val="24"/>
                <w:lang w:val="en-US" w:eastAsia="zh-TW"/>
              </w:rPr>
              <w:t>15</w:t>
            </w:r>
            <w:r>
              <w:rPr>
                <w:rFonts w:hint="eastAsia" w:ascii="仿宋" w:hAnsi="仿宋" w:eastAsia="仿宋" w:cs="仿宋"/>
                <w:sz w:val="24"/>
              </w:rPr>
              <w:t xml:space="preserve">分； </w:t>
            </w:r>
          </w:p>
          <w:p w14:paraId="580D1127">
            <w:pPr>
              <w:textAlignment w:val="center"/>
              <w:rPr>
                <w:rFonts w:ascii="仿宋" w:hAnsi="仿宋" w:eastAsia="仿宋" w:cs="仿宋"/>
                <w:sz w:val="24"/>
              </w:rPr>
            </w:pPr>
            <w:r>
              <w:rPr>
                <w:rFonts w:hint="eastAsia" w:ascii="仿宋" w:hAnsi="仿宋" w:eastAsia="仿宋" w:cs="仿宋"/>
                <w:sz w:val="24"/>
              </w:rPr>
              <w:t>3.对项目的理解及认识一般，重点、难点把握准确性一般的，应对措施及合理化建议针对性及可操作性一般，内容基本准确，基本满足采购需求的，得</w:t>
            </w:r>
            <w:r>
              <w:rPr>
                <w:rFonts w:hint="eastAsia" w:ascii="仿宋" w:hAnsi="仿宋" w:eastAsia="PMingLiU" w:cs="仿宋"/>
                <w:sz w:val="24"/>
                <w:lang w:val="en-US" w:eastAsia="zh-TW"/>
              </w:rPr>
              <w:t>10</w:t>
            </w:r>
            <w:r>
              <w:rPr>
                <w:rFonts w:hint="eastAsia" w:ascii="仿宋" w:hAnsi="仿宋" w:eastAsia="仿宋" w:cs="仿宋"/>
                <w:sz w:val="24"/>
              </w:rPr>
              <w:t xml:space="preserve">分； </w:t>
            </w:r>
          </w:p>
          <w:p w14:paraId="63B2FE19">
            <w:pPr>
              <w:textAlignment w:val="center"/>
              <w:rPr>
                <w:rFonts w:ascii="仿宋" w:hAnsi="仿宋" w:eastAsia="仿宋" w:cs="仿宋"/>
                <w:sz w:val="24"/>
              </w:rPr>
            </w:pPr>
            <w:r>
              <w:rPr>
                <w:rFonts w:hint="eastAsia" w:ascii="仿宋" w:hAnsi="仿宋" w:eastAsia="仿宋" w:cs="仿宋"/>
                <w:sz w:val="24"/>
              </w:rPr>
              <w:t>4.对项目的理解及重点、难点把握准确性差的，应对措施及合理化建议针对性及可操作性不够，内容不准确的，不能满足采购需求的，得</w:t>
            </w:r>
            <w:r>
              <w:rPr>
                <w:rFonts w:hint="eastAsia" w:ascii="仿宋" w:hAnsi="仿宋" w:eastAsia="PMingLiU" w:cs="仿宋"/>
                <w:sz w:val="24"/>
                <w:lang w:val="en-US" w:eastAsia="zh-TW"/>
              </w:rPr>
              <w:t>5</w:t>
            </w:r>
            <w:r>
              <w:rPr>
                <w:rFonts w:hint="eastAsia" w:ascii="仿宋" w:hAnsi="仿宋" w:eastAsia="仿宋" w:cs="仿宋"/>
                <w:sz w:val="24"/>
              </w:rPr>
              <w:t xml:space="preserve">分。  </w:t>
            </w:r>
          </w:p>
          <w:p w14:paraId="2ABE2936">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14:paraId="4B98062B">
            <w:pPr>
              <w:jc w:val="center"/>
              <w:textAlignment w:val="center"/>
              <w:rPr>
                <w:rFonts w:ascii="仿宋" w:hAnsi="仿宋" w:eastAsia="仿宋" w:cs="仿宋"/>
                <w:sz w:val="24"/>
              </w:rPr>
            </w:pPr>
            <w:r>
              <w:rPr>
                <w:rFonts w:hint="eastAsia" w:ascii="仿宋" w:hAnsi="仿宋" w:eastAsia="PMingLiU" w:cs="仿宋"/>
                <w:sz w:val="24"/>
                <w:lang w:val="en-US" w:eastAsia="zh-TW"/>
              </w:rPr>
              <w:t>2</w:t>
            </w:r>
            <w:r>
              <w:rPr>
                <w:rFonts w:hint="eastAsia" w:ascii="仿宋" w:hAnsi="仿宋" w:eastAsia="仿宋" w:cs="仿宋"/>
                <w:sz w:val="24"/>
              </w:rPr>
              <w:t>0分</w:t>
            </w:r>
          </w:p>
        </w:tc>
      </w:tr>
      <w:tr w14:paraId="6993B71C">
        <w:tblPrEx>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02EEB5DB">
            <w:pPr>
              <w:jc w:val="center"/>
              <w:textAlignment w:val="center"/>
              <w:rPr>
                <w:rFonts w:ascii="仿宋" w:hAnsi="仿宋" w:eastAsia="仿宋" w:cs="仿宋"/>
                <w:sz w:val="24"/>
              </w:rPr>
            </w:pPr>
            <w:r>
              <w:rPr>
                <w:rFonts w:ascii="仿宋" w:hAnsi="仿宋" w:eastAsia="仿宋" w:cs="仿宋"/>
                <w:sz w:val="24"/>
              </w:rPr>
              <w:t>2</w:t>
            </w:r>
          </w:p>
        </w:tc>
        <w:tc>
          <w:tcPr>
            <w:tcW w:w="1097" w:type="dxa"/>
            <w:tcBorders>
              <w:top w:val="single" w:color="000000" w:sz="4" w:space="0"/>
              <w:left w:val="single" w:color="000000" w:sz="4" w:space="0"/>
              <w:bottom w:val="single" w:color="000000" w:sz="4" w:space="0"/>
              <w:right w:val="single" w:color="000000" w:sz="4" w:space="0"/>
            </w:tcBorders>
            <w:vAlign w:val="center"/>
          </w:tcPr>
          <w:p w14:paraId="3F84A4BF">
            <w:pPr>
              <w:textAlignment w:val="center"/>
              <w:rPr>
                <w:rFonts w:ascii="仿宋" w:hAnsi="仿宋" w:eastAsia="仿宋" w:cs="仿宋"/>
                <w:sz w:val="24"/>
              </w:rPr>
            </w:pPr>
            <w:r>
              <w:rPr>
                <w:rFonts w:hint="eastAsia" w:ascii="仿宋" w:hAnsi="仿宋" w:eastAsia="仿宋" w:cs="仿宋"/>
                <w:sz w:val="24"/>
              </w:rPr>
              <w:t>培训实施方案</w:t>
            </w:r>
          </w:p>
        </w:tc>
        <w:tc>
          <w:tcPr>
            <w:tcW w:w="5472" w:type="dxa"/>
            <w:tcBorders>
              <w:top w:val="single" w:color="000000" w:sz="4" w:space="0"/>
              <w:left w:val="single" w:color="000000" w:sz="4" w:space="0"/>
              <w:bottom w:val="single" w:color="000000" w:sz="4" w:space="0"/>
              <w:right w:val="single" w:color="000000" w:sz="4" w:space="0"/>
            </w:tcBorders>
            <w:vAlign w:val="center"/>
          </w:tcPr>
          <w:p w14:paraId="6EF6BD0A">
            <w:pPr>
              <w:textAlignment w:val="center"/>
              <w:rPr>
                <w:rFonts w:ascii="仿宋" w:hAnsi="仿宋" w:eastAsia="仿宋" w:cs="仿宋"/>
                <w:sz w:val="24"/>
              </w:rPr>
            </w:pPr>
            <w:r>
              <w:rPr>
                <w:rFonts w:hint="eastAsia" w:ascii="仿宋" w:hAnsi="仿宋" w:eastAsia="仿宋" w:cs="仿宋"/>
                <w:sz w:val="24"/>
              </w:rPr>
              <w:t>根据投标人制定项目实施方案进行综合评审，内容包括但不限于：1、具体培训内容；2、培训方法；</w:t>
            </w:r>
            <w:r>
              <w:rPr>
                <w:rFonts w:hint="eastAsia" w:ascii="仿宋" w:hAnsi="仿宋" w:eastAsia="PMingLiU" w:cs="仿宋"/>
                <w:sz w:val="24"/>
                <w:lang w:val="en-US" w:eastAsia="zh-TW"/>
              </w:rPr>
              <w:t>3</w:t>
            </w:r>
            <w:r>
              <w:rPr>
                <w:rFonts w:hint="eastAsia" w:ascii="仿宋" w:hAnsi="仿宋" w:eastAsia="仿宋" w:cs="仿宋"/>
                <w:sz w:val="24"/>
              </w:rPr>
              <w:t xml:space="preserve">、培训流程等工作方案。 </w:t>
            </w:r>
          </w:p>
          <w:p w14:paraId="4EBE7F98">
            <w:pPr>
              <w:textAlignment w:val="center"/>
              <w:rPr>
                <w:rFonts w:ascii="仿宋" w:hAnsi="仿宋" w:eastAsia="仿宋" w:cs="仿宋"/>
                <w:sz w:val="24"/>
              </w:rPr>
            </w:pPr>
            <w:r>
              <w:rPr>
                <w:rFonts w:hint="eastAsia" w:ascii="仿宋" w:hAnsi="仿宋" w:eastAsia="仿宋" w:cs="仿宋"/>
                <w:sz w:val="24"/>
              </w:rPr>
              <w:t>1.项目实施方案内容清晰详尽，全面、科学、合理，可操作性强，人员设备投入满足项目需要能完全满足或优于采购需求的，得</w:t>
            </w:r>
            <w:r>
              <w:rPr>
                <w:rFonts w:hint="eastAsia" w:ascii="仿宋" w:hAnsi="仿宋" w:eastAsia="PMingLiU" w:cs="仿宋"/>
                <w:sz w:val="24"/>
                <w:lang w:val="en-US" w:eastAsia="zh-TW"/>
              </w:rPr>
              <w:t>20</w:t>
            </w:r>
            <w:r>
              <w:rPr>
                <w:rFonts w:hint="eastAsia" w:ascii="仿宋" w:hAnsi="仿宋" w:eastAsia="仿宋" w:cs="仿宋"/>
                <w:sz w:val="24"/>
              </w:rPr>
              <w:t xml:space="preserve">分；  </w:t>
            </w:r>
          </w:p>
          <w:p w14:paraId="6A48F140">
            <w:pPr>
              <w:textAlignment w:val="center"/>
              <w:rPr>
                <w:rFonts w:ascii="仿宋" w:hAnsi="仿宋" w:eastAsia="仿宋" w:cs="仿宋"/>
                <w:sz w:val="24"/>
              </w:rPr>
            </w:pPr>
            <w:r>
              <w:rPr>
                <w:rFonts w:hint="eastAsia" w:ascii="仿宋" w:hAnsi="仿宋" w:eastAsia="仿宋" w:cs="仿宋"/>
                <w:sz w:val="24"/>
              </w:rPr>
              <w:t>2.项目实施方案内容较为清晰详尽，合理，可行，比较能满足采购需求的，得</w:t>
            </w:r>
            <w:r>
              <w:rPr>
                <w:rFonts w:hint="eastAsia" w:ascii="仿宋" w:hAnsi="仿宋" w:eastAsia="PMingLiU" w:cs="仿宋"/>
                <w:sz w:val="24"/>
                <w:lang w:val="en-US" w:eastAsia="zh-TW"/>
              </w:rPr>
              <w:t>15</w:t>
            </w:r>
            <w:r>
              <w:rPr>
                <w:rFonts w:hint="eastAsia" w:ascii="仿宋" w:hAnsi="仿宋" w:eastAsia="仿宋" w:cs="仿宋"/>
                <w:sz w:val="24"/>
              </w:rPr>
              <w:t xml:space="preserve">分；  </w:t>
            </w:r>
          </w:p>
          <w:p w14:paraId="33A934DF">
            <w:pPr>
              <w:textAlignment w:val="center"/>
              <w:rPr>
                <w:rFonts w:ascii="仿宋" w:hAnsi="仿宋" w:eastAsia="仿宋" w:cs="仿宋"/>
                <w:sz w:val="24"/>
              </w:rPr>
            </w:pPr>
            <w:r>
              <w:rPr>
                <w:rFonts w:hint="eastAsia" w:ascii="仿宋" w:hAnsi="仿宋" w:eastAsia="仿宋" w:cs="仿宋"/>
                <w:sz w:val="24"/>
              </w:rPr>
              <w:t>3.项目实施方案内容基本清晰详尽，基本合理，可行，基本满足采购需求的，得</w:t>
            </w:r>
            <w:r>
              <w:rPr>
                <w:rFonts w:hint="eastAsia" w:ascii="仿宋" w:hAnsi="仿宋" w:eastAsia="PMingLiU" w:cs="仿宋"/>
                <w:sz w:val="24"/>
                <w:lang w:val="en-US" w:eastAsia="zh-TW"/>
              </w:rPr>
              <w:t>10</w:t>
            </w:r>
            <w:r>
              <w:rPr>
                <w:rFonts w:hint="eastAsia" w:ascii="仿宋" w:hAnsi="仿宋" w:eastAsia="仿宋" w:cs="仿宋"/>
                <w:sz w:val="24"/>
              </w:rPr>
              <w:t xml:space="preserve">分；  </w:t>
            </w:r>
          </w:p>
          <w:p w14:paraId="245C4812">
            <w:pPr>
              <w:textAlignment w:val="center"/>
              <w:rPr>
                <w:rFonts w:ascii="仿宋" w:hAnsi="仿宋" w:eastAsia="仿宋" w:cs="仿宋"/>
                <w:sz w:val="24"/>
              </w:rPr>
            </w:pPr>
            <w:r>
              <w:rPr>
                <w:rFonts w:hint="eastAsia" w:ascii="仿宋" w:hAnsi="仿宋" w:eastAsia="仿宋" w:cs="仿宋"/>
                <w:sz w:val="24"/>
              </w:rPr>
              <w:t>4.项目实施方案内容过于简单，方案不够合理，可行性差，不能满足采购需求的，得</w:t>
            </w:r>
            <w:r>
              <w:rPr>
                <w:rFonts w:hint="eastAsia" w:ascii="仿宋" w:hAnsi="仿宋" w:eastAsia="PMingLiU" w:cs="仿宋"/>
                <w:sz w:val="24"/>
                <w:lang w:val="en-US" w:eastAsia="zh-TW"/>
              </w:rPr>
              <w:t>5</w:t>
            </w:r>
            <w:r>
              <w:rPr>
                <w:rFonts w:hint="eastAsia" w:ascii="仿宋" w:hAnsi="仿宋" w:eastAsia="仿宋" w:cs="仿宋"/>
                <w:sz w:val="24"/>
              </w:rPr>
              <w:t xml:space="preserve">分。 </w:t>
            </w:r>
          </w:p>
          <w:p w14:paraId="7ED71C06">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14:paraId="7BD8CDA4">
            <w:pPr>
              <w:jc w:val="center"/>
              <w:textAlignment w:val="center"/>
              <w:rPr>
                <w:rFonts w:ascii="仿宋" w:hAnsi="仿宋" w:eastAsia="仿宋" w:cs="仿宋"/>
                <w:sz w:val="24"/>
              </w:rPr>
            </w:pPr>
            <w:r>
              <w:rPr>
                <w:rFonts w:hint="eastAsia" w:ascii="仿宋" w:hAnsi="仿宋" w:eastAsia="PMingLiU" w:cs="仿宋"/>
                <w:sz w:val="24"/>
                <w:lang w:val="en-US" w:eastAsia="zh-TW"/>
              </w:rPr>
              <w:t>2</w:t>
            </w:r>
            <w:r>
              <w:rPr>
                <w:rFonts w:hint="eastAsia" w:ascii="仿宋" w:hAnsi="仿宋" w:eastAsia="仿宋" w:cs="仿宋"/>
                <w:sz w:val="24"/>
              </w:rPr>
              <w:t>0分</w:t>
            </w:r>
          </w:p>
        </w:tc>
      </w:tr>
      <w:tr w14:paraId="5734A47B">
        <w:tblPrEx>
          <w:tblCellMar>
            <w:top w:w="0" w:type="dxa"/>
            <w:left w:w="108" w:type="dxa"/>
            <w:bottom w:w="0" w:type="dxa"/>
            <w:right w:w="108" w:type="dxa"/>
          </w:tblCellMar>
        </w:tblPrEx>
        <w:trPr>
          <w:trHeight w:val="189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11E37E89">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3</w:t>
            </w:r>
          </w:p>
        </w:tc>
        <w:tc>
          <w:tcPr>
            <w:tcW w:w="1097" w:type="dxa"/>
            <w:tcBorders>
              <w:top w:val="single" w:color="000000" w:sz="4" w:space="0"/>
              <w:left w:val="single" w:color="000000" w:sz="4" w:space="0"/>
              <w:bottom w:val="single" w:color="000000" w:sz="4" w:space="0"/>
              <w:right w:val="single" w:color="000000" w:sz="4" w:space="0"/>
            </w:tcBorders>
            <w:vAlign w:val="center"/>
          </w:tcPr>
          <w:p w14:paraId="6C702D37">
            <w:pPr>
              <w:textAlignment w:val="center"/>
              <w:rPr>
                <w:rFonts w:ascii="仿宋" w:hAnsi="仿宋" w:eastAsia="仿宋" w:cs="仿宋"/>
                <w:sz w:val="24"/>
              </w:rPr>
            </w:pPr>
            <w:r>
              <w:rPr>
                <w:rFonts w:hint="eastAsia" w:ascii="仿宋" w:hAnsi="仿宋" w:eastAsia="仿宋" w:cs="仿宋"/>
                <w:sz w:val="24"/>
              </w:rPr>
              <w:t>质量保证方案</w:t>
            </w:r>
          </w:p>
        </w:tc>
        <w:tc>
          <w:tcPr>
            <w:tcW w:w="5472" w:type="dxa"/>
            <w:tcBorders>
              <w:top w:val="single" w:color="000000" w:sz="4" w:space="0"/>
              <w:left w:val="single" w:color="000000" w:sz="4" w:space="0"/>
              <w:bottom w:val="single" w:color="000000" w:sz="4" w:space="0"/>
              <w:right w:val="single" w:color="000000" w:sz="4" w:space="0"/>
            </w:tcBorders>
            <w:vAlign w:val="center"/>
          </w:tcPr>
          <w:p w14:paraId="7095FECD">
            <w:pPr>
              <w:textAlignment w:val="center"/>
              <w:rPr>
                <w:rFonts w:ascii="仿宋" w:hAnsi="仿宋" w:eastAsia="仿宋" w:cs="仿宋"/>
                <w:sz w:val="24"/>
              </w:rPr>
            </w:pPr>
            <w:r>
              <w:rPr>
                <w:rFonts w:hint="eastAsia" w:ascii="仿宋" w:hAnsi="仿宋" w:eastAsia="仿宋" w:cs="仿宋"/>
                <w:sz w:val="24"/>
              </w:rPr>
              <w:t xml:space="preserve">根据投标人制定质量保证方案进行综合评审，内容包括但不限于：1、组织结构；2、人员安全保证；3、质量控制等。 </w:t>
            </w:r>
          </w:p>
          <w:p w14:paraId="797917A0">
            <w:pPr>
              <w:textAlignment w:val="center"/>
              <w:rPr>
                <w:rFonts w:ascii="仿宋" w:hAnsi="仿宋" w:eastAsia="仿宋" w:cs="仿宋"/>
                <w:sz w:val="24"/>
              </w:rPr>
            </w:pPr>
            <w:r>
              <w:rPr>
                <w:rFonts w:hint="eastAsia" w:ascii="仿宋" w:hAnsi="仿宋" w:eastAsia="仿宋" w:cs="仿宋"/>
                <w:sz w:val="24"/>
              </w:rPr>
              <w:t xml:space="preserve">1.方案完善全面、细致详尽，切实可行，完全满足或优于采购需求的，得10分； </w:t>
            </w:r>
          </w:p>
          <w:p w14:paraId="265D060E">
            <w:pPr>
              <w:textAlignment w:val="center"/>
              <w:rPr>
                <w:rFonts w:ascii="仿宋" w:hAnsi="仿宋" w:eastAsia="仿宋" w:cs="仿宋"/>
                <w:sz w:val="24"/>
              </w:rPr>
            </w:pPr>
            <w:r>
              <w:rPr>
                <w:rFonts w:hint="eastAsia" w:ascii="仿宋" w:hAnsi="仿宋" w:eastAsia="仿宋" w:cs="仿宋"/>
                <w:sz w:val="24"/>
              </w:rPr>
              <w:t xml:space="preserve">2.方案较为全面，合理可行，比较能满足采购需求的，得7分； </w:t>
            </w:r>
          </w:p>
          <w:p w14:paraId="616D7D4F">
            <w:pPr>
              <w:textAlignment w:val="center"/>
              <w:rPr>
                <w:rFonts w:ascii="仿宋" w:hAnsi="仿宋" w:eastAsia="仿宋" w:cs="仿宋"/>
                <w:sz w:val="24"/>
              </w:rPr>
            </w:pPr>
            <w:r>
              <w:rPr>
                <w:rFonts w:hint="eastAsia" w:ascii="仿宋" w:hAnsi="仿宋" w:eastAsia="仿宋" w:cs="仿宋"/>
                <w:sz w:val="24"/>
              </w:rPr>
              <w:t xml:space="preserve">3.方案基本齐全，基本合理可行，基本满足采购需求的，得4分； </w:t>
            </w:r>
          </w:p>
          <w:p w14:paraId="68F9DC44">
            <w:pPr>
              <w:textAlignment w:val="center"/>
              <w:rPr>
                <w:rFonts w:ascii="仿宋" w:hAnsi="仿宋" w:eastAsia="仿宋" w:cs="仿宋"/>
                <w:sz w:val="24"/>
              </w:rPr>
            </w:pPr>
            <w:r>
              <w:rPr>
                <w:rFonts w:hint="eastAsia" w:ascii="仿宋" w:hAnsi="仿宋" w:eastAsia="仿宋" w:cs="仿宋"/>
                <w:sz w:val="24"/>
              </w:rPr>
              <w:t>4.方案过于简单，可行性不强，不能满足采购需求的，得1分</w:t>
            </w:r>
            <w:r>
              <w:rPr>
                <w:rFonts w:hint="eastAsia" w:ascii="仿宋" w:hAnsi="仿宋" w:eastAsia="仿宋" w:cs="仿宋"/>
                <w:sz w:val="24"/>
                <w:lang w:eastAsia="zh-CN"/>
              </w:rPr>
              <w:t>；</w:t>
            </w:r>
            <w:r>
              <w:rPr>
                <w:rFonts w:hint="eastAsia" w:ascii="仿宋" w:hAnsi="仿宋" w:eastAsia="仿宋" w:cs="仿宋"/>
                <w:sz w:val="24"/>
              </w:rPr>
              <w:t xml:space="preserve"> </w:t>
            </w:r>
          </w:p>
          <w:p w14:paraId="4131FB72">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14:paraId="0DF522DB">
            <w:pPr>
              <w:jc w:val="center"/>
              <w:textAlignment w:val="center"/>
              <w:rPr>
                <w:rFonts w:ascii="仿宋" w:hAnsi="仿宋" w:eastAsia="仿宋" w:cs="仿宋"/>
                <w:sz w:val="24"/>
              </w:rPr>
            </w:pPr>
            <w:r>
              <w:rPr>
                <w:rFonts w:hint="eastAsia" w:ascii="仿宋" w:hAnsi="仿宋" w:eastAsia="仿宋" w:cs="仿宋"/>
                <w:sz w:val="24"/>
              </w:rPr>
              <w:t>10分</w:t>
            </w:r>
          </w:p>
        </w:tc>
      </w:tr>
    </w:tbl>
    <w:p w14:paraId="51FB2754">
      <w:pPr>
        <w:keepNext/>
        <w:keepLines/>
        <w:spacing w:before="100" w:line="360" w:lineRule="auto"/>
        <w:jc w:val="center"/>
        <w:outlineLvl w:val="2"/>
        <w:rPr>
          <w:rFonts w:ascii="仿宋" w:hAnsi="仿宋" w:eastAsia="仿宋" w:cs="仿宋"/>
          <w:b/>
          <w:bCs/>
          <w:sz w:val="32"/>
          <w:szCs w:val="32"/>
        </w:rPr>
      </w:pPr>
      <w:bookmarkStart w:id="0" w:name="_Toc16125"/>
      <w:bookmarkStart w:id="1" w:name="_Toc7240"/>
      <w:r>
        <w:rPr>
          <w:rFonts w:hint="eastAsia" w:ascii="仿宋" w:hAnsi="仿宋" w:eastAsia="仿宋" w:cs="仿宋"/>
          <w:b/>
          <w:bCs/>
          <w:sz w:val="32"/>
          <w:szCs w:val="32"/>
        </w:rPr>
        <w:t>商务部分（30分）</w:t>
      </w:r>
      <w:bookmarkEnd w:id="0"/>
      <w:bookmarkEnd w:id="1"/>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14:paraId="098A0C6A">
        <w:tblPrEx>
          <w:tblCellMar>
            <w:top w:w="0" w:type="dxa"/>
            <w:left w:w="108" w:type="dxa"/>
            <w:bottom w:w="0" w:type="dxa"/>
            <w:right w:w="108" w:type="dxa"/>
          </w:tblCellMar>
        </w:tblPrEx>
        <w:trPr>
          <w:trHeight w:val="2282"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9B1E04E">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4</w:t>
            </w:r>
          </w:p>
        </w:tc>
        <w:tc>
          <w:tcPr>
            <w:tcW w:w="1191" w:type="dxa"/>
            <w:tcBorders>
              <w:top w:val="single" w:color="000000" w:sz="4" w:space="0"/>
              <w:left w:val="single" w:color="000000" w:sz="4" w:space="0"/>
              <w:bottom w:val="single" w:color="000000" w:sz="4" w:space="0"/>
              <w:right w:val="single" w:color="000000" w:sz="4" w:space="0"/>
            </w:tcBorders>
            <w:vAlign w:val="center"/>
          </w:tcPr>
          <w:p w14:paraId="3E7ED83B">
            <w:pPr>
              <w:jc w:val="center"/>
              <w:textAlignment w:val="center"/>
              <w:rPr>
                <w:rFonts w:ascii="仿宋" w:hAnsi="仿宋" w:eastAsia="仿宋" w:cs="仿宋"/>
                <w:sz w:val="24"/>
              </w:rPr>
            </w:pPr>
            <w:r>
              <w:rPr>
                <w:rFonts w:hint="eastAsia" w:ascii="仿宋" w:hAnsi="仿宋" w:eastAsia="仿宋" w:cs="仿宋"/>
                <w:sz w:val="24"/>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14:paraId="7893DC44">
            <w:pPr>
              <w:textAlignment w:val="center"/>
              <w:rPr>
                <w:rFonts w:ascii="仿宋" w:hAnsi="仿宋" w:eastAsia="仿宋" w:cs="仿宋"/>
                <w:sz w:val="24"/>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年1月1日（以合同签订时间为准）以来，承接现已完成的具有类似科普宣教、志愿者培训、科普比賽业绩的，一项得</w:t>
            </w:r>
            <w:r>
              <w:rPr>
                <w:rFonts w:hint="eastAsia" w:ascii="仿宋" w:hAnsi="仿宋" w:eastAsia="PMingLiU" w:cs="仿宋"/>
                <w:sz w:val="24"/>
              </w:rPr>
              <w:t>2.5</w:t>
            </w:r>
            <w:r>
              <w:rPr>
                <w:rFonts w:hint="eastAsia" w:ascii="仿宋" w:hAnsi="仿宋" w:eastAsia="仿宋" w:cs="仿宋"/>
                <w:sz w:val="24"/>
              </w:rPr>
              <w:t>分，最多计</w:t>
            </w:r>
            <w:r>
              <w:rPr>
                <w:rFonts w:hint="eastAsia" w:ascii="仿宋" w:hAnsi="仿宋" w:eastAsia="PMingLiU" w:cs="仿宋"/>
                <w:sz w:val="24"/>
              </w:rPr>
              <w:t>4</w:t>
            </w:r>
            <w:r>
              <w:rPr>
                <w:rFonts w:hint="eastAsia" w:ascii="仿宋" w:hAnsi="仿宋" w:eastAsia="仿宋" w:cs="仿宋"/>
                <w:sz w:val="24"/>
              </w:rPr>
              <w:t>项业绩，满分</w:t>
            </w:r>
            <w:r>
              <w:rPr>
                <w:rFonts w:hint="eastAsia" w:ascii="仿宋" w:hAnsi="仿宋" w:eastAsia="PMingLiU" w:cs="仿宋"/>
                <w:sz w:val="24"/>
              </w:rPr>
              <w:t>10</w:t>
            </w:r>
            <w:r>
              <w:rPr>
                <w:rFonts w:hint="eastAsia" w:ascii="仿宋" w:hAnsi="仿宋" w:eastAsia="仿宋" w:cs="仿宋"/>
                <w:sz w:val="24"/>
              </w:rPr>
              <w:t>分。</w:t>
            </w:r>
          </w:p>
          <w:p w14:paraId="44700651">
            <w:pPr>
              <w:spacing w:before="120"/>
              <w:textAlignment w:val="center"/>
              <w:rPr>
                <w:rFonts w:ascii="仿宋" w:hAnsi="仿宋" w:eastAsia="仿宋" w:cs="仿宋"/>
                <w:sz w:val="24"/>
              </w:rPr>
            </w:pPr>
            <w:r>
              <w:rPr>
                <w:rFonts w:hint="eastAsia" w:ascii="仿宋" w:hAnsi="仿宋" w:eastAsia="仿宋" w:cs="仿宋"/>
                <w:sz w:val="24"/>
              </w:rPr>
              <w:t>注：投标文件中提供中标（成交）通知书、相关业绩合同及验收报告复印件并加盖公章。未提供有效证明材料的不得分。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0AA74984">
            <w:pPr>
              <w:jc w:val="center"/>
              <w:textAlignment w:val="center"/>
              <w:rPr>
                <w:rFonts w:ascii="仿宋" w:hAnsi="仿宋" w:eastAsia="仿宋" w:cs="仿宋"/>
                <w:sz w:val="24"/>
              </w:rPr>
            </w:pPr>
            <w:r>
              <w:rPr>
                <w:rFonts w:hint="eastAsia" w:ascii="仿宋" w:hAnsi="仿宋" w:eastAsia="PMingLiU" w:cs="仿宋"/>
                <w:sz w:val="24"/>
                <w:lang w:eastAsia="zh-TW"/>
              </w:rPr>
              <w:t>10</w:t>
            </w:r>
            <w:r>
              <w:rPr>
                <w:rFonts w:hint="eastAsia" w:ascii="仿宋" w:hAnsi="仿宋" w:eastAsia="仿宋" w:cs="仿宋"/>
                <w:sz w:val="24"/>
              </w:rPr>
              <w:t>分</w:t>
            </w:r>
          </w:p>
        </w:tc>
      </w:tr>
      <w:tr w14:paraId="6515B336">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437A588">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5</w:t>
            </w:r>
          </w:p>
        </w:tc>
        <w:tc>
          <w:tcPr>
            <w:tcW w:w="1191" w:type="dxa"/>
            <w:tcBorders>
              <w:top w:val="single" w:color="000000" w:sz="4" w:space="0"/>
              <w:left w:val="single" w:color="000000" w:sz="4" w:space="0"/>
              <w:bottom w:val="single" w:color="000000" w:sz="4" w:space="0"/>
              <w:right w:val="single" w:color="000000" w:sz="4" w:space="0"/>
            </w:tcBorders>
            <w:vAlign w:val="center"/>
          </w:tcPr>
          <w:p w14:paraId="0E752017">
            <w:pPr>
              <w:jc w:val="center"/>
              <w:textAlignment w:val="center"/>
              <w:rPr>
                <w:rFonts w:ascii="仿宋" w:hAnsi="仿宋" w:eastAsia="仿宋" w:cs="仿宋"/>
                <w:sz w:val="24"/>
              </w:rPr>
            </w:pPr>
            <w:r>
              <w:rPr>
                <w:rFonts w:hint="eastAsia" w:ascii="仿宋" w:hAnsi="仿宋" w:eastAsia="仿宋" w:cs="仿宋"/>
                <w:sz w:val="24"/>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14:paraId="6301469B">
            <w:pPr>
              <w:textAlignment w:val="center"/>
              <w:rPr>
                <w:rStyle w:val="38"/>
                <w:rFonts w:hint="eastAsia" w:ascii="仿宋" w:hAnsi="仿宋" w:eastAsia="仿宋" w:cs="仿宋"/>
                <w:color w:val="auto"/>
                <w:kern w:val="0"/>
                <w:lang w:eastAsia="zh-TW"/>
              </w:rPr>
            </w:pPr>
            <w:r>
              <w:rPr>
                <w:rStyle w:val="38"/>
                <w:rFonts w:ascii="仿宋" w:hAnsi="仿宋" w:eastAsia="仿宋" w:cs="仿宋"/>
                <w:color w:val="auto"/>
                <w:kern w:val="0"/>
              </w:rPr>
              <w:t>项目团队人员</w:t>
            </w:r>
            <w:r>
              <w:rPr>
                <w:rStyle w:val="38"/>
                <w:rFonts w:hint="eastAsia" w:ascii="仿宋" w:hAnsi="仿宋" w:eastAsia="仿宋" w:cs="仿宋"/>
                <w:color w:val="auto"/>
                <w:kern w:val="0"/>
                <w:lang w:val="en-US" w:eastAsia="zh-CN"/>
              </w:rPr>
              <w:t>要求本科以上、</w:t>
            </w:r>
            <w:r>
              <w:rPr>
                <w:rStyle w:val="38"/>
                <w:rFonts w:ascii="仿宋" w:hAnsi="仿宋" w:eastAsia="仿宋" w:cs="仿宋"/>
                <w:color w:val="auto"/>
                <w:kern w:val="0"/>
              </w:rPr>
              <w:t>具有科普宣教、野外工作、教育培训等</w:t>
            </w:r>
            <w:r>
              <w:rPr>
                <w:rStyle w:val="38"/>
                <w:rFonts w:hint="eastAsia" w:ascii="仿宋" w:hAnsi="仿宋" w:eastAsia="仿宋" w:cs="仿宋"/>
                <w:color w:val="auto"/>
                <w:kern w:val="0"/>
                <w:lang w:val="en-US" w:eastAsia="zh-CN"/>
              </w:rPr>
              <w:t>2年以上</w:t>
            </w:r>
            <w:r>
              <w:rPr>
                <w:rStyle w:val="38"/>
                <w:rFonts w:ascii="仿宋" w:hAnsi="仿宋" w:eastAsia="仿宋" w:cs="仿宋"/>
                <w:color w:val="auto"/>
                <w:kern w:val="0"/>
              </w:rPr>
              <w:t>工作经验，每人得</w:t>
            </w:r>
            <w:r>
              <w:rPr>
                <w:rStyle w:val="38"/>
                <w:rFonts w:hint="default" w:ascii="仿宋" w:hAnsi="仿宋" w:eastAsia="仿宋" w:cs="仿宋"/>
                <w:color w:val="auto"/>
                <w:kern w:val="0"/>
              </w:rPr>
              <w:t>2</w:t>
            </w:r>
            <w:r>
              <w:rPr>
                <w:rStyle w:val="38"/>
                <w:rFonts w:ascii="仿宋" w:hAnsi="仿宋" w:eastAsia="仿宋" w:cs="仿宋"/>
                <w:color w:val="auto"/>
                <w:kern w:val="0"/>
              </w:rPr>
              <w:t>分，最高得</w:t>
            </w:r>
            <w:r>
              <w:rPr>
                <w:rStyle w:val="38"/>
                <w:rFonts w:hint="default" w:ascii="仿宋" w:hAnsi="仿宋" w:eastAsia="仿宋" w:cs="仿宋"/>
                <w:color w:val="auto"/>
                <w:kern w:val="0"/>
              </w:rPr>
              <w:t>10</w:t>
            </w:r>
            <w:r>
              <w:rPr>
                <w:rStyle w:val="38"/>
                <w:rFonts w:ascii="仿宋" w:hAnsi="仿宋" w:eastAsia="仿宋" w:cs="仿宋"/>
                <w:color w:val="auto"/>
                <w:kern w:val="0"/>
              </w:rPr>
              <w:t>分。</w:t>
            </w:r>
          </w:p>
          <w:p w14:paraId="5471E2CD">
            <w:pPr>
              <w:spacing w:before="120"/>
              <w:textAlignment w:val="center"/>
              <w:rPr>
                <w:rStyle w:val="38"/>
                <w:rFonts w:ascii="仿宋" w:hAnsi="仿宋" w:eastAsia="仿宋" w:cs="仿宋"/>
                <w:color w:val="auto"/>
                <w:kern w:val="0"/>
              </w:rPr>
            </w:pPr>
            <w:r>
              <w:rPr>
                <w:rStyle w:val="38"/>
                <w:rFonts w:ascii="仿宋" w:hAnsi="仿宋" w:eastAsia="仿宋" w:cs="仿宋"/>
                <w:color w:val="auto"/>
                <w:kern w:val="0"/>
              </w:rPr>
              <w:t>注：1）投标文件根据上述要求提供</w:t>
            </w:r>
          </w:p>
          <w:p w14:paraId="565220FB">
            <w:pPr>
              <w:numPr>
                <w:ilvl w:val="0"/>
                <w:numId w:val="1"/>
              </w:numPr>
              <w:spacing w:before="120"/>
              <w:textAlignment w:val="center"/>
              <w:rPr>
                <w:rStyle w:val="38"/>
                <w:rFonts w:ascii="仿宋" w:hAnsi="仿宋" w:eastAsia="仿宋" w:cs="仿宋"/>
                <w:color w:val="auto"/>
                <w:kern w:val="0"/>
                <w:lang w:eastAsia="zh-TW"/>
              </w:rPr>
            </w:pPr>
            <w:r>
              <w:rPr>
                <w:rStyle w:val="38"/>
                <w:rFonts w:hint="eastAsia" w:ascii="仿宋" w:hAnsi="仿宋" w:eastAsia="仿宋" w:cs="仿宋"/>
                <w:color w:val="auto"/>
                <w:kern w:val="0"/>
                <w:lang w:val="en-US" w:eastAsia="zh-CN"/>
              </w:rPr>
              <w:t>毕业证复印件</w:t>
            </w:r>
            <w:r>
              <w:rPr>
                <w:rStyle w:val="38"/>
                <w:rFonts w:ascii="仿宋" w:hAnsi="仿宋" w:eastAsia="仿宋" w:cs="仿宋"/>
                <w:color w:val="auto"/>
                <w:kern w:val="0"/>
              </w:rPr>
              <w:t>加盖公章</w:t>
            </w:r>
            <w:r>
              <w:rPr>
                <w:rStyle w:val="38"/>
                <w:rFonts w:hint="eastAsia" w:ascii="仿宋" w:hAnsi="仿宋" w:eastAsia="PMingLiU" w:cs="仿宋"/>
                <w:color w:val="auto"/>
                <w:kern w:val="0"/>
                <w:lang w:val="en-US" w:eastAsia="zh-TW"/>
              </w:rPr>
              <w:t>;</w:t>
            </w:r>
          </w:p>
          <w:p w14:paraId="757E11DD">
            <w:pPr>
              <w:numPr>
                <w:ilvl w:val="0"/>
                <w:numId w:val="1"/>
              </w:numPr>
              <w:spacing w:before="120"/>
              <w:textAlignment w:val="center"/>
              <w:rPr>
                <w:rStyle w:val="38"/>
                <w:rFonts w:hint="default" w:ascii="仿宋" w:hAnsi="仿宋" w:eastAsia="仿宋" w:cs="仿宋"/>
                <w:color w:val="auto"/>
                <w:kern w:val="0"/>
              </w:rPr>
            </w:pPr>
            <w:r>
              <w:rPr>
                <w:rStyle w:val="38"/>
                <w:rFonts w:ascii="仿宋" w:hAnsi="仿宋" w:eastAsia="仿宋" w:cs="仿宋"/>
                <w:color w:val="auto"/>
                <w:kern w:val="0"/>
              </w:rPr>
              <w:t>工作证明或业绩证明复印件加盖公章。业绩证明包括但不限于：合同或成果文件关键页或投标人出具的证明文件等。</w:t>
            </w:r>
          </w:p>
          <w:p w14:paraId="1F9624B7">
            <w:pPr>
              <w:textAlignment w:val="center"/>
              <w:rPr>
                <w:rFonts w:eastAsia="仿宋"/>
                <w:color w:val="FF0000"/>
              </w:rPr>
            </w:pPr>
            <w:r>
              <w:rPr>
                <w:rStyle w:val="38"/>
                <w:rFonts w:ascii="仿宋" w:hAnsi="仿宋" w:eastAsia="仿宋" w:cs="仿宋"/>
                <w:color w:val="auto"/>
                <w:kern w:val="0"/>
              </w:rPr>
              <w:t>2）投标人须提供投标文件递交截止日期前三个月内任意一个月的社保证明文件（彩色扫描件加盖公章）以证明系投标人所属人员。未按要求提供相应得分项不得分。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1877ADF7">
            <w:pPr>
              <w:jc w:val="center"/>
              <w:textAlignment w:val="center"/>
              <w:rPr>
                <w:rFonts w:ascii="仿宋" w:hAnsi="仿宋" w:eastAsia="仿宋" w:cs="仿宋"/>
                <w:color w:val="FF0000"/>
                <w:sz w:val="24"/>
              </w:rPr>
            </w:pPr>
            <w:r>
              <w:rPr>
                <w:rFonts w:ascii="仿宋" w:hAnsi="仿宋" w:cs="仿宋"/>
                <w:sz w:val="24"/>
              </w:rPr>
              <w:t>10</w:t>
            </w:r>
            <w:r>
              <w:rPr>
                <w:rFonts w:hint="eastAsia" w:ascii="仿宋" w:hAnsi="仿宋" w:eastAsia="仿宋" w:cs="仿宋"/>
                <w:sz w:val="24"/>
              </w:rPr>
              <w:t>分</w:t>
            </w:r>
          </w:p>
        </w:tc>
      </w:tr>
      <w:tr w14:paraId="0F2D7485">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391611FB">
            <w:pPr>
              <w:jc w:val="center"/>
              <w:textAlignment w:val="center"/>
              <w:rPr>
                <w:rFonts w:ascii="仿宋" w:hAnsi="仿宋" w:eastAsia="PMingLiU" w:cs="仿宋"/>
                <w:sz w:val="24"/>
                <w:lang w:eastAsia="zh-TW"/>
              </w:rPr>
            </w:pPr>
            <w:r>
              <w:rPr>
                <w:rFonts w:hint="eastAsia" w:ascii="仿宋" w:hAnsi="仿宋" w:eastAsia="PMingLiU" w:cs="仿宋"/>
                <w:sz w:val="24"/>
                <w:lang w:val="en-US" w:eastAsia="zh-TW"/>
              </w:rPr>
              <w:t>6</w:t>
            </w:r>
          </w:p>
        </w:tc>
        <w:tc>
          <w:tcPr>
            <w:tcW w:w="1191" w:type="dxa"/>
            <w:tcBorders>
              <w:top w:val="single" w:color="000000" w:sz="4" w:space="0"/>
              <w:left w:val="single" w:color="000000" w:sz="4" w:space="0"/>
              <w:bottom w:val="single" w:color="000000" w:sz="4" w:space="0"/>
              <w:right w:val="single" w:color="000000" w:sz="4" w:space="0"/>
            </w:tcBorders>
            <w:vAlign w:val="center"/>
          </w:tcPr>
          <w:p w14:paraId="619CF2F1">
            <w:pPr>
              <w:jc w:val="center"/>
              <w:textAlignment w:val="center"/>
              <w:rPr>
                <w:rFonts w:ascii="仿宋" w:hAnsi="仿宋" w:eastAsia="仿宋" w:cs="仿宋"/>
                <w:sz w:val="24"/>
              </w:rPr>
            </w:pPr>
            <w:r>
              <w:rPr>
                <w:rFonts w:hint="eastAsia" w:ascii="仿宋" w:hAnsi="仿宋" w:eastAsia="仿宋" w:cs="仿宋"/>
                <w:sz w:val="24"/>
              </w:rPr>
              <w:t>团队科普宣教经验</w:t>
            </w:r>
          </w:p>
          <w:p w14:paraId="66A041C5">
            <w:pPr>
              <w:jc w:val="center"/>
              <w:textAlignment w:val="center"/>
              <w:rPr>
                <w:rFonts w:ascii="仿宋" w:hAnsi="仿宋" w:eastAsia="仿宋" w:cs="仿宋"/>
                <w:sz w:val="24"/>
              </w:rPr>
            </w:pPr>
          </w:p>
        </w:tc>
        <w:tc>
          <w:tcPr>
            <w:tcW w:w="5040" w:type="dxa"/>
            <w:tcBorders>
              <w:top w:val="single" w:color="000000" w:sz="4" w:space="0"/>
              <w:left w:val="single" w:color="000000" w:sz="4" w:space="0"/>
              <w:bottom w:val="single" w:color="000000" w:sz="4" w:space="0"/>
              <w:right w:val="single" w:color="000000" w:sz="4" w:space="0"/>
            </w:tcBorders>
            <w:vAlign w:val="center"/>
          </w:tcPr>
          <w:p w14:paraId="1F342971">
            <w:pPr>
              <w:textAlignment w:val="center"/>
              <w:rPr>
                <w:rStyle w:val="38"/>
                <w:rFonts w:hint="default" w:ascii="仿宋" w:hAnsi="仿宋" w:eastAsia="仿宋" w:cs="仿宋"/>
                <w:color w:val="auto"/>
                <w:kern w:val="0"/>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w:t>
            </w:r>
            <w:r>
              <w:rPr>
                <w:rStyle w:val="38"/>
                <w:rFonts w:ascii="仿宋" w:hAnsi="仿宋" w:eastAsia="仿宋" w:cs="仿宋"/>
                <w:color w:val="auto"/>
                <w:kern w:val="0"/>
              </w:rPr>
              <w:t>投标人负责的科普宣教项目荣获省级及省级以上奖励的，得</w:t>
            </w:r>
            <w:r>
              <w:rPr>
                <w:rStyle w:val="38"/>
                <w:rFonts w:hint="default" w:ascii="仿宋" w:hAnsi="仿宋" w:eastAsia="仿宋" w:cs="仿宋"/>
                <w:color w:val="auto"/>
                <w:kern w:val="0"/>
              </w:rPr>
              <w:t>3</w:t>
            </w:r>
            <w:r>
              <w:rPr>
                <w:rStyle w:val="38"/>
                <w:rFonts w:ascii="仿宋" w:hAnsi="仿宋" w:eastAsia="仿宋" w:cs="仿宋"/>
                <w:color w:val="auto"/>
                <w:kern w:val="0"/>
              </w:rPr>
              <w:t>分；荣获市级奖励的，得2分。本项满分</w:t>
            </w:r>
            <w:r>
              <w:rPr>
                <w:rStyle w:val="38"/>
                <w:rFonts w:hint="eastAsia" w:ascii="仿宋" w:hAnsi="仿宋" w:eastAsia="PMingLiU" w:cs="仿宋"/>
                <w:color w:val="auto"/>
                <w:kern w:val="0"/>
                <w:lang w:val="en-US" w:eastAsia="zh-TW"/>
              </w:rPr>
              <w:t>10</w:t>
            </w:r>
            <w:r>
              <w:rPr>
                <w:rStyle w:val="38"/>
                <w:rFonts w:ascii="仿宋" w:hAnsi="仿宋" w:eastAsia="仿宋" w:cs="仿宋"/>
                <w:color w:val="auto"/>
                <w:kern w:val="0"/>
              </w:rPr>
              <w:t>分。注：投标文件中须提供获奖证书复印件，加盖投标人公章，未按要求提供，本项不得分。</w:t>
            </w:r>
            <w:bookmarkStart w:id="2" w:name="_GoBack"/>
            <w:bookmarkEnd w:id="2"/>
          </w:p>
          <w:p w14:paraId="5037A54D">
            <w:pPr>
              <w:textAlignment w:val="center"/>
              <w:rPr>
                <w:rStyle w:val="38"/>
                <w:rFonts w:hint="default" w:ascii="仿宋" w:hAnsi="仿宋" w:eastAsia="仿宋" w:cs="仿宋"/>
                <w:color w:val="auto"/>
                <w:kern w:val="0"/>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EA92CDB">
            <w:pPr>
              <w:jc w:val="center"/>
              <w:textAlignment w:val="center"/>
              <w:rPr>
                <w:rFonts w:ascii="仿宋" w:hAnsi="仿宋" w:eastAsia="PMingLiU" w:cs="仿宋"/>
                <w:sz w:val="24"/>
                <w:lang w:eastAsia="zh-TW"/>
              </w:rPr>
            </w:pPr>
            <w:r>
              <w:rPr>
                <w:rFonts w:hint="eastAsia" w:ascii="仿宋" w:hAnsi="仿宋" w:eastAsia="PMingLiU" w:cs="仿宋"/>
                <w:sz w:val="24"/>
                <w:lang w:val="en-US" w:eastAsia="zh-TW"/>
              </w:rPr>
              <w:t>10</w:t>
            </w:r>
            <w:r>
              <w:rPr>
                <w:rFonts w:hint="eastAsia" w:ascii="仿宋" w:hAnsi="仿宋" w:eastAsia="PMingLiU" w:cs="仿宋"/>
                <w:sz w:val="24"/>
                <w:lang w:eastAsia="zh-TW"/>
              </w:rPr>
              <w:t>分</w:t>
            </w:r>
          </w:p>
        </w:tc>
      </w:tr>
    </w:tbl>
    <w:p w14:paraId="36E14E55">
      <w:pPr>
        <w:jc w:val="center"/>
        <w:rPr>
          <w:rFonts w:ascii="仿宋" w:hAnsi="仿宋" w:eastAsia="仿宋" w:cs="仿宋"/>
          <w:b/>
          <w:bCs/>
          <w:sz w:val="24"/>
        </w:rPr>
      </w:pPr>
    </w:p>
    <w:p w14:paraId="18D7CD17">
      <w:pPr>
        <w:keepNext/>
        <w:keepLines/>
        <w:spacing w:before="100" w:line="360" w:lineRule="auto"/>
        <w:jc w:val="center"/>
        <w:outlineLvl w:val="2"/>
        <w:rPr>
          <w:rFonts w:ascii="仿宋" w:hAnsi="仿宋" w:eastAsia="仿宋" w:cs="仿宋"/>
          <w:b/>
          <w:bCs/>
          <w:sz w:val="32"/>
          <w:szCs w:val="32"/>
        </w:rPr>
      </w:pPr>
      <w:r>
        <w:rPr>
          <w:rFonts w:hint="eastAsia" w:ascii="仿宋" w:hAnsi="仿宋" w:eastAsia="仿宋" w:cs="仿宋"/>
          <w:b/>
          <w:bCs/>
          <w:sz w:val="32"/>
          <w:szCs w:val="32"/>
        </w:rPr>
        <w:t>经济标评分表（20分）</w:t>
      </w:r>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14:paraId="25154E40">
        <w:tblPrEx>
          <w:tblCellMar>
            <w:top w:w="0" w:type="dxa"/>
            <w:left w:w="108" w:type="dxa"/>
            <w:bottom w:w="0" w:type="dxa"/>
            <w:right w:w="108" w:type="dxa"/>
          </w:tblCellMar>
        </w:tblPrEx>
        <w:trPr>
          <w:trHeight w:val="269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21BBF19">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7</w:t>
            </w:r>
          </w:p>
        </w:tc>
        <w:tc>
          <w:tcPr>
            <w:tcW w:w="1191" w:type="dxa"/>
            <w:tcBorders>
              <w:top w:val="single" w:color="000000" w:sz="4" w:space="0"/>
              <w:left w:val="single" w:color="000000" w:sz="4" w:space="0"/>
              <w:bottom w:val="single" w:color="000000" w:sz="4" w:space="0"/>
              <w:right w:val="single" w:color="000000" w:sz="4" w:space="0"/>
            </w:tcBorders>
            <w:vAlign w:val="center"/>
          </w:tcPr>
          <w:p w14:paraId="482CB28A">
            <w:pPr>
              <w:textAlignment w:val="center"/>
              <w:rPr>
                <w:rFonts w:ascii="仿宋" w:hAnsi="仿宋" w:eastAsia="仿宋" w:cs="仿宋"/>
                <w:sz w:val="24"/>
              </w:rPr>
            </w:pPr>
            <w:r>
              <w:rPr>
                <w:rFonts w:hint="eastAsia" w:ascii="仿宋" w:hAnsi="仿宋" w:eastAsia="仿宋" w:cs="仿宋"/>
                <w:sz w:val="24"/>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14:paraId="63600FC3">
            <w:pPr>
              <w:textAlignment w:val="center"/>
              <w:rPr>
                <w:rStyle w:val="38"/>
                <w:rFonts w:hint="eastAsia" w:ascii="仿宋" w:hAnsi="仿宋" w:eastAsia="仿宋" w:cs="仿宋"/>
                <w:color w:val="auto"/>
                <w:lang w:eastAsia="zh-CN"/>
              </w:rPr>
            </w:pPr>
            <w:r>
              <w:rPr>
                <w:rStyle w:val="38"/>
                <w:rFonts w:ascii="仿宋" w:hAnsi="仿宋" w:eastAsia="仿宋" w:cs="仿宋"/>
                <w:color w:val="auto"/>
              </w:rPr>
              <w:t>投标报价得分按以下公式进行计算：</w:t>
            </w:r>
          </w:p>
          <w:p w14:paraId="331FA7EA">
            <w:pPr>
              <w:textAlignment w:val="center"/>
              <w:rPr>
                <w:rStyle w:val="38"/>
                <w:rFonts w:hint="eastAsia" w:ascii="仿宋" w:hAnsi="仿宋" w:eastAsia="仿宋" w:cs="仿宋"/>
                <w:color w:val="auto"/>
                <w:lang w:eastAsia="zh-CN"/>
              </w:rPr>
            </w:pPr>
            <w:r>
              <w:rPr>
                <w:rStyle w:val="38"/>
                <w:rFonts w:hint="default" w:ascii="仿宋" w:hAnsi="仿宋" w:eastAsia="仿宋" w:cs="仿宋"/>
                <w:color w:val="auto"/>
              </w:rPr>
              <w:t>经济</w:t>
            </w:r>
            <w:r>
              <w:rPr>
                <w:rStyle w:val="38"/>
                <w:rFonts w:ascii="仿宋" w:hAnsi="仿宋" w:eastAsia="仿宋" w:cs="仿宋"/>
                <w:color w:val="auto"/>
              </w:rPr>
              <w:t>价格得分= (评标基准价/评标价)×20%×100。</w:t>
            </w:r>
          </w:p>
          <w:p w14:paraId="709B7E12">
            <w:pPr>
              <w:textAlignment w:val="center"/>
              <w:rPr>
                <w:rFonts w:ascii="仿宋" w:hAnsi="仿宋" w:eastAsia="仿宋" w:cs="仿宋"/>
                <w:sz w:val="24"/>
              </w:rPr>
            </w:pPr>
            <w:r>
              <w:rPr>
                <w:rStyle w:val="38"/>
                <w:rFonts w:ascii="仿宋" w:hAnsi="仿宋" w:eastAsia="仿宋" w:cs="仿宋"/>
                <w:color w:val="auto"/>
              </w:rPr>
              <w:t>评标基准价为满足</w:t>
            </w:r>
            <w:r>
              <w:rPr>
                <w:rStyle w:val="36"/>
                <w:rFonts w:ascii="仿宋" w:hAnsi="仿宋" w:eastAsia="仿宋" w:cs="仿宋"/>
                <w:color w:val="auto"/>
              </w:rPr>
              <w:t>采购需求文件</w:t>
            </w:r>
            <w:r>
              <w:rPr>
                <w:rStyle w:val="38"/>
                <w:rFonts w:ascii="仿宋" w:hAnsi="仿宋" w:eastAsia="仿宋" w:cs="仿宋"/>
                <w:color w:val="auto"/>
              </w:rPr>
              <w:t>要求最低的评标价，其价格分为满分。</w:t>
            </w:r>
            <w:r>
              <w:rPr>
                <w:rStyle w:val="38"/>
                <w:rFonts w:hint="default" w:ascii="仿宋" w:hAnsi="仿宋" w:eastAsia="仿宋" w:cs="仿宋"/>
                <w:color w:val="auto"/>
              </w:rPr>
              <w:t>评标价为在报价基础上作算术修正后的价格，无算术修正情况下，报价即为评标价。</w:t>
            </w:r>
            <w:r>
              <w:rPr>
                <w:rStyle w:val="38"/>
                <w:rFonts w:ascii="仿宋" w:hAnsi="仿宋" w:eastAsia="仿宋" w:cs="仿宋"/>
                <w:color w:val="auto"/>
              </w:rPr>
              <w:t>若投标报价高于报价上限，则其投标文件按无效投标文件处理。（保留小数点后二位）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14:paraId="449F2E8D">
            <w:pPr>
              <w:jc w:val="center"/>
              <w:textAlignment w:val="center"/>
              <w:rPr>
                <w:rFonts w:ascii="仿宋" w:hAnsi="仿宋" w:eastAsia="仿宋" w:cs="仿宋"/>
                <w:sz w:val="24"/>
              </w:rPr>
            </w:pPr>
            <w:r>
              <w:rPr>
                <w:rFonts w:hint="eastAsia" w:ascii="仿宋" w:hAnsi="仿宋" w:eastAsia="仿宋" w:cs="仿宋"/>
                <w:sz w:val="24"/>
              </w:rPr>
              <w:t>20分</w:t>
            </w:r>
          </w:p>
        </w:tc>
      </w:tr>
    </w:tbl>
    <w:p w14:paraId="6CEC0CE7">
      <w:pPr>
        <w:pStyle w:val="10"/>
        <w:rPr>
          <w:rFonts w:ascii="FangSong_GB2312" w:hAnsi="FangSong_GB2312" w:eastAsia="FangSong_GB2312" w:cs="FangSong_GB2312"/>
          <w:b/>
          <w:sz w:val="44"/>
        </w:rPr>
      </w:pPr>
    </w:p>
    <w:p w14:paraId="6C7A1059">
      <w:pPr>
        <w:pStyle w:val="10"/>
        <w:rPr>
          <w:rFonts w:ascii="FangSong_GB2312" w:hAnsi="FangSong_GB2312" w:eastAsia="FangSong_GB2312" w:cs="FangSong_GB2312"/>
          <w:b/>
          <w:sz w:val="44"/>
        </w:rPr>
      </w:pPr>
    </w:p>
    <w:p w14:paraId="4422270E">
      <w:pPr>
        <w:pStyle w:val="10"/>
        <w:rPr>
          <w:rFonts w:ascii="FangSong_GB2312" w:hAnsi="FangSong_GB2312" w:eastAsia="FangSong_GB2312" w:cs="FangSong_GB2312"/>
          <w:b/>
          <w:sz w:val="44"/>
        </w:rPr>
      </w:pPr>
    </w:p>
    <w:p w14:paraId="6B9C99E8">
      <w:pPr>
        <w:pStyle w:val="10"/>
        <w:rPr>
          <w:rFonts w:ascii="FangSong_GB2312" w:hAnsi="FangSong_GB2312" w:eastAsia="FangSong_GB2312" w:cs="FangSong_GB2312"/>
          <w:b/>
          <w:sz w:val="44"/>
        </w:rPr>
      </w:pPr>
    </w:p>
    <w:p w14:paraId="4B8CAC2C">
      <w:pPr>
        <w:keepLines/>
        <w:widowControl/>
        <w:adjustRightInd w:val="0"/>
        <w:snapToGrid w:val="0"/>
        <w:spacing w:line="360" w:lineRule="auto"/>
        <w:rPr>
          <w:rFonts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F722">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14:paraId="1807A3CE">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724E">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14:paraId="76D31574">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8CAA0"/>
    <w:multiLevelType w:val="singleLevel"/>
    <w:tmpl w:val="BDA8CA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919"/>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B7E"/>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5FCD"/>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047D"/>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0672F2"/>
    <w:rsid w:val="021A1E7F"/>
    <w:rsid w:val="021B1745"/>
    <w:rsid w:val="02377C77"/>
    <w:rsid w:val="023B58CE"/>
    <w:rsid w:val="025D06F6"/>
    <w:rsid w:val="02633683"/>
    <w:rsid w:val="026C6F12"/>
    <w:rsid w:val="026F1E9B"/>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AE1F53"/>
    <w:rsid w:val="05B46316"/>
    <w:rsid w:val="05D81C17"/>
    <w:rsid w:val="05DC6B2C"/>
    <w:rsid w:val="05EB1D06"/>
    <w:rsid w:val="05F620B7"/>
    <w:rsid w:val="06365244"/>
    <w:rsid w:val="065A5258"/>
    <w:rsid w:val="06824DC3"/>
    <w:rsid w:val="068F2701"/>
    <w:rsid w:val="069C68FB"/>
    <w:rsid w:val="06B443B9"/>
    <w:rsid w:val="06C11ECE"/>
    <w:rsid w:val="06C62AC3"/>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42733"/>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BF4B09"/>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82853"/>
    <w:rsid w:val="206C2CF7"/>
    <w:rsid w:val="20912875"/>
    <w:rsid w:val="20A93AD3"/>
    <w:rsid w:val="20AC326D"/>
    <w:rsid w:val="20B56939"/>
    <w:rsid w:val="20BF6D21"/>
    <w:rsid w:val="20C6178E"/>
    <w:rsid w:val="20F14F11"/>
    <w:rsid w:val="2101466E"/>
    <w:rsid w:val="21046A5A"/>
    <w:rsid w:val="211C60E8"/>
    <w:rsid w:val="21224FD1"/>
    <w:rsid w:val="213E5C86"/>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9B58DF"/>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5858BC"/>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4288B"/>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05158"/>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D6209"/>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204FE7"/>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23E86"/>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7C7DA7"/>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366F44"/>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0EE010F"/>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CE914D3"/>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9412D1"/>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762D22"/>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4E43EF"/>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qFormat/>
    <w:uiPriority w:val="0"/>
    <w:rPr>
      <w:rFonts w:hint="eastAsia" w:ascii="宋体" w:hAnsi="宋体" w:eastAsia="宋体" w:cs="宋体"/>
      <w:color w:val="FF0000"/>
      <w:sz w:val="24"/>
      <w:szCs w:val="24"/>
      <w:u w:val="none"/>
    </w:rPr>
  </w:style>
  <w:style w:type="character" w:customStyle="1" w:styleId="39">
    <w:name w:val="article_f141"/>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1489</Words>
  <Characters>1536</Characters>
  <Lines>325</Lines>
  <Paragraphs>127</Paragraphs>
  <TotalTime>21</TotalTime>
  <ScaleCrop>false</ScaleCrop>
  <LinksUpToDate>false</LinksUpToDate>
  <CharactersWithSpaces>1555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2024-06-11T16:49:00Z</dcterms:created>
  <dc:creator>陈微:</dc:creator>
  <cp:lastModifiedBy>星亮</cp:lastModifiedBy>
  <cp:lastPrinted>2024-08-27T07:37:57Z</cp:lastPrinted>
  <dcterms:modified xsi:type="dcterms:W3CDTF">2024-08-27T08:07:58Z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A2FFD13C1955475F9518C36C0C9AD096_13</vt:lpwstr>
  </property>
</Properties>
</file>