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kern w:val="0"/>
          <w:szCs w:val="21"/>
          <w:lang w:bidi="ar"/>
        </w:rPr>
      </w:pPr>
      <w:r>
        <w:rPr>
          <w:rFonts w:ascii="黑体" w:hAnsi="黑体" w:eastAsia="黑体" w:cs="黑体"/>
          <w:color w:val="000000"/>
          <w:kern w:val="0"/>
          <w:szCs w:val="21"/>
          <w:lang w:bidi="ar"/>
        </w:rPr>
        <w:t>附件2</w:t>
      </w:r>
      <w:r>
        <w:rPr>
          <w:rFonts w:hint="eastAsia" w:ascii="黑体" w:hAnsi="黑体" w:eastAsia="黑体" w:cs="黑体"/>
          <w:color w:val="000000"/>
          <w:kern w:val="0"/>
          <w:szCs w:val="21"/>
          <w:lang w:bidi="ar"/>
        </w:rPr>
        <w:t>：</w:t>
      </w:r>
    </w:p>
    <w:p>
      <w:pPr>
        <w:spacing w:line="360" w:lineRule="auto"/>
        <w:jc w:val="center"/>
        <w:rPr>
          <w:rFonts w:ascii="方正小标宋简体" w:hAnsi="方正小标宋简体" w:eastAsia="方正小标宋简体" w:cs="方正小标宋简体"/>
          <w:color w:val="000000"/>
          <w:kern w:val="1"/>
          <w:sz w:val="32"/>
          <w:szCs w:val="32"/>
        </w:rPr>
      </w:pPr>
      <w:r>
        <w:rPr>
          <w:rFonts w:hint="eastAsia" w:ascii="方正小标宋简体" w:hAnsi="方正小标宋简体" w:eastAsia="方正小标宋简体" w:cs="方正小标宋简体"/>
          <w:color w:val="000000"/>
          <w:kern w:val="1"/>
          <w:sz w:val="32"/>
          <w:szCs w:val="32"/>
        </w:rPr>
        <w:t>横琴粤澳深度合作区</w:t>
      </w:r>
      <w:r>
        <w:rPr>
          <w:rFonts w:ascii="方正小标宋简体" w:hAnsi="方正小标宋简体" w:eastAsia="方正小标宋简体" w:cs="方正小标宋简体"/>
          <w:color w:val="000000"/>
          <w:kern w:val="1"/>
          <w:sz w:val="32"/>
          <w:szCs w:val="32"/>
        </w:rPr>
        <w:t>工程造价咨询</w:t>
      </w:r>
      <w:r>
        <w:rPr>
          <w:rFonts w:hint="eastAsia" w:ascii="方正小标宋简体" w:hAnsi="方正小标宋简体" w:eastAsia="方正小标宋简体" w:cs="方正小标宋简体"/>
          <w:color w:val="000000"/>
          <w:kern w:val="1"/>
          <w:sz w:val="32"/>
          <w:szCs w:val="32"/>
        </w:rPr>
        <w:t>企业</w:t>
      </w:r>
      <w:r>
        <w:rPr>
          <w:rFonts w:ascii="方正小标宋简体" w:hAnsi="方正小标宋简体" w:eastAsia="方正小标宋简体" w:cs="方正小标宋简体"/>
          <w:color w:val="000000"/>
          <w:kern w:val="1"/>
          <w:sz w:val="32"/>
          <w:szCs w:val="32"/>
        </w:rPr>
        <w:t>检查评分表</w:t>
      </w:r>
      <w:r>
        <w:rPr>
          <w:rFonts w:hint="eastAsia" w:ascii="仿宋_GB2312" w:hAnsi="仿宋_GB2312" w:eastAsia="仿宋_GB2312" w:cs="仿宋_GB2312"/>
          <w:color w:val="000000"/>
          <w:kern w:val="1"/>
          <w:szCs w:val="21"/>
        </w:rPr>
        <w:t>(占综合评分40%)</w:t>
      </w:r>
    </w:p>
    <w:p>
      <w:pPr>
        <w:spacing w:line="360" w:lineRule="auto"/>
        <w:jc w:val="left"/>
        <w:rPr>
          <w:rFonts w:ascii="黑体" w:hAnsi="黑体" w:eastAsia="黑体" w:cs="黑体"/>
          <w:sz w:val="24"/>
        </w:rPr>
      </w:pPr>
      <w:r>
        <w:rPr>
          <w:rFonts w:hint="eastAsia" w:ascii="黑体" w:hAnsi="黑体" w:eastAsia="黑体" w:cs="黑体"/>
          <w:sz w:val="24"/>
        </w:rPr>
        <w:t>受检项目名称：</w:t>
      </w:r>
    </w:p>
    <w:p>
      <w:pPr>
        <w:spacing w:line="360" w:lineRule="auto"/>
        <w:jc w:val="left"/>
        <w:rPr>
          <w:rFonts w:ascii="黑体" w:hAnsi="黑体" w:eastAsia="黑体" w:cs="黑体"/>
          <w:sz w:val="24"/>
        </w:rPr>
      </w:pPr>
      <w:r>
        <w:rPr>
          <w:rFonts w:hint="eastAsia" w:ascii="黑体" w:hAnsi="黑体" w:eastAsia="黑体" w:cs="黑体"/>
          <w:sz w:val="24"/>
        </w:rPr>
        <w:t>受检单位：                                                                 项目负责人：</w:t>
      </w:r>
    </w:p>
    <w:tbl>
      <w:tblPr>
        <w:tblStyle w:val="9"/>
        <w:tblW w:w="1447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88"/>
        <w:gridCol w:w="6656"/>
        <w:gridCol w:w="669"/>
        <w:gridCol w:w="3574"/>
        <w:gridCol w:w="723"/>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73"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088"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评分项目</w:t>
            </w:r>
          </w:p>
        </w:tc>
        <w:tc>
          <w:tcPr>
            <w:tcW w:w="6656"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评分标准</w:t>
            </w:r>
          </w:p>
        </w:tc>
        <w:tc>
          <w:tcPr>
            <w:tcW w:w="66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分值</w:t>
            </w:r>
          </w:p>
        </w:tc>
        <w:tc>
          <w:tcPr>
            <w:tcW w:w="3574"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检查情况</w:t>
            </w:r>
          </w:p>
        </w:tc>
        <w:tc>
          <w:tcPr>
            <w:tcW w:w="723"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得分</w:t>
            </w:r>
          </w:p>
        </w:tc>
        <w:tc>
          <w:tcPr>
            <w:tcW w:w="1090"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restart"/>
            <w:vAlign w:val="center"/>
          </w:tcPr>
          <w:p>
            <w:pPr>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088"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配合监督检查及企业情况</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13</w:t>
            </w:r>
            <w:r>
              <w:rPr>
                <w:rFonts w:hint="eastAsia" w:ascii="仿宋_GB2312" w:hAnsi="仿宋_GB2312" w:eastAsia="仿宋_GB2312" w:cs="仿宋_GB2312"/>
                <w:szCs w:val="21"/>
              </w:rPr>
              <w:t>分)</w:t>
            </w: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不配合监督检查或不如实提供基本材料导致无法开展检查的，直接认定不合格。</w:t>
            </w:r>
          </w:p>
        </w:tc>
        <w:tc>
          <w:tcPr>
            <w:tcW w:w="669" w:type="dxa"/>
            <w:vAlign w:val="center"/>
          </w:tcPr>
          <w:p>
            <w:pPr>
              <w:spacing w:line="300" w:lineRule="exact"/>
              <w:jc w:val="center"/>
              <w:rPr>
                <w:rFonts w:hint="eastAsia" w:ascii="仿宋_GB2312" w:hAnsi="仿宋_GB2312" w:eastAsia="仿宋_GB2312" w:cs="仿宋_GB2312"/>
                <w:color w:val="000000"/>
                <w:szCs w:val="21"/>
              </w:rPr>
            </w:pP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未按要求提供检查资料的，扣</w:t>
            </w:r>
            <w:r>
              <w:rPr>
                <w:rFonts w:ascii="仿宋_GB2312" w:hAnsi="仿宋_GB2312" w:eastAsia="仿宋_GB2312" w:cs="仿宋_GB2312"/>
                <w:szCs w:val="21"/>
              </w:rPr>
              <w:t>2</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检查时企业（横琴或</w:t>
            </w:r>
            <w:r>
              <w:rPr>
                <w:rFonts w:hint="eastAsia" w:ascii="仿宋_GB2312" w:hAnsi="仿宋_GB2312" w:eastAsia="仿宋_GB2312" w:cs="仿宋_GB2312"/>
                <w:szCs w:val="21"/>
                <w:lang w:eastAsia="zh-CN"/>
              </w:rPr>
              <w:t>珠海分支机构</w:t>
            </w:r>
            <w:r>
              <w:rPr>
                <w:rFonts w:hint="eastAsia" w:ascii="仿宋_GB2312" w:hAnsi="仿宋_GB2312" w:eastAsia="仿宋_GB2312" w:cs="仿宋_GB2312"/>
                <w:szCs w:val="21"/>
              </w:rPr>
              <w:t>）负责人和项目负责人应到场, 缺1人扣</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本地企业在珠海市或横琴粤澳深度合作区从事工程造价咨询服务的企业无固定办公场所的，扣</w:t>
            </w:r>
            <w:r>
              <w:rPr>
                <w:rFonts w:ascii="仿宋_GB2312" w:hAnsi="仿宋_GB2312" w:eastAsia="仿宋_GB2312" w:cs="仿宋_GB2312"/>
                <w:szCs w:val="21"/>
              </w:rPr>
              <w:t>3</w:t>
            </w:r>
            <w:r>
              <w:rPr>
                <w:rFonts w:hint="eastAsia" w:ascii="仿宋_GB2312" w:hAnsi="仿宋_GB2312" w:eastAsia="仿宋_GB2312" w:cs="仿宋_GB2312"/>
                <w:szCs w:val="21"/>
              </w:rPr>
              <w:t>分；非本地企业合同履约期间在珠海市或横琴粤澳深度合作区无固定办公场所的，扣</w:t>
            </w:r>
            <w:r>
              <w:rPr>
                <w:rFonts w:ascii="仿宋_GB2312" w:hAnsi="仿宋_GB2312" w:eastAsia="仿宋_GB2312" w:cs="仿宋_GB2312"/>
                <w:szCs w:val="21"/>
              </w:rPr>
              <w:t>1</w:t>
            </w:r>
            <w:r>
              <w:rPr>
                <w:rFonts w:hint="eastAsia" w:ascii="仿宋_GB2312" w:hAnsi="仿宋_GB2312" w:eastAsia="仿宋_GB2312" w:cs="仿宋_GB2312"/>
                <w:szCs w:val="21"/>
              </w:rPr>
              <w:t>分</w:t>
            </w:r>
            <w:bookmarkStart w:id="0" w:name="_GoBack"/>
            <w:bookmarkEnd w:id="0"/>
            <w:r>
              <w:rPr>
                <w:rFonts w:hint="eastAsia" w:ascii="仿宋_GB2312" w:hAnsi="仿宋_GB2312" w:eastAsia="仿宋_GB2312" w:cs="仿宋_GB2312"/>
                <w:szCs w:val="21"/>
              </w:rPr>
              <w:t>。</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企业无质量管理制度、财务制度、档案管理制度的，每项扣</w:t>
            </w:r>
            <w:r>
              <w:rPr>
                <w:rFonts w:ascii="仿宋_GB2312" w:hAnsi="仿宋_GB2312" w:eastAsia="仿宋_GB2312" w:cs="仿宋_GB2312"/>
                <w:szCs w:val="21"/>
              </w:rPr>
              <w:t>1</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未在珠海市工程造价咨询业信用信息管理平台上填报上传企业相关信用信息的，扣</w:t>
            </w:r>
            <w:r>
              <w:rPr>
                <w:rFonts w:ascii="仿宋_GB2312" w:hAnsi="仿宋_GB2312" w:eastAsia="仿宋_GB2312" w:cs="仿宋_GB2312"/>
                <w:szCs w:val="21"/>
              </w:rPr>
              <w:t>3</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restart"/>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88"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工程造价咨询业务合同</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17</w:t>
            </w:r>
            <w:r>
              <w:rPr>
                <w:rFonts w:hint="eastAsia" w:ascii="仿宋_GB2312" w:hAnsi="仿宋_GB2312" w:eastAsia="仿宋_GB2312" w:cs="仿宋_GB2312"/>
                <w:szCs w:val="21"/>
              </w:rPr>
              <w:t>分)</w:t>
            </w: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企业没有合同管理台帐的，扣5分。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受检项目没有签订工程造价咨询合同的，扣</w:t>
            </w:r>
            <w:r>
              <w:rPr>
                <w:rFonts w:ascii="仿宋_GB2312" w:hAnsi="仿宋_GB2312" w:eastAsia="仿宋_GB2312" w:cs="仿宋_GB2312"/>
                <w:szCs w:val="21"/>
              </w:rPr>
              <w:t>4</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咨询合同协议书及专用条款中重点条文如服务内容、服务期限、酬金（收费办法）、质量标准、违约责任、项目负责人及团队人员等未约定的，每项扣1分。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240" w:lineRule="atLeast"/>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咨询合同签章手续不完备的，无日期、无签章、无盖章，每项扣1分。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restart"/>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088"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注册造价师执业行为</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30</w:t>
            </w:r>
            <w:r>
              <w:rPr>
                <w:rFonts w:hint="eastAsia" w:ascii="仿宋_GB2312" w:hAnsi="仿宋_GB2312" w:eastAsia="仿宋_GB2312" w:cs="仿宋_GB2312"/>
                <w:szCs w:val="21"/>
              </w:rPr>
              <w:t>分)</w:t>
            </w: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企业未和注册造价师签订劳动合同的，每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人扣</w:t>
            </w:r>
            <w:r>
              <w:rPr>
                <w:rFonts w:ascii="仿宋_GB2312" w:hAnsi="仿宋_GB2312" w:eastAsia="仿宋_GB2312" w:cs="仿宋_GB2312"/>
                <w:szCs w:val="21"/>
              </w:rPr>
              <w:t>2</w:t>
            </w:r>
            <w:r>
              <w:rPr>
                <w:rFonts w:hint="eastAsia" w:ascii="仿宋_GB2312" w:hAnsi="仿宋_GB2312" w:eastAsia="仿宋_GB2312" w:cs="仿宋_GB2312"/>
                <w:szCs w:val="21"/>
              </w:rPr>
              <w:t>分；未为注册造价师按时缴纳五险或缴纳险种不完整的，每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lang w:eastAsia="zh-CN"/>
              </w:rPr>
              <w:t>人</w:t>
            </w:r>
            <w:r>
              <w:rPr>
                <w:rFonts w:hint="eastAsia" w:ascii="仿宋_GB2312" w:hAnsi="仿宋_GB2312" w:eastAsia="仿宋_GB2312" w:cs="仿宋_GB2312"/>
                <w:szCs w:val="21"/>
              </w:rPr>
              <w:t>扣</w:t>
            </w:r>
            <w:r>
              <w:rPr>
                <w:rFonts w:ascii="仿宋_GB2312" w:hAnsi="仿宋_GB2312" w:eastAsia="仿宋_GB2312" w:cs="仿宋_GB2312"/>
                <w:szCs w:val="21"/>
              </w:rPr>
              <w:t>1</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10</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企业有注册造价师挂靠行为的，扣</w:t>
            </w:r>
            <w:r>
              <w:rPr>
                <w:rFonts w:ascii="仿宋_GB2312" w:hAnsi="仿宋_GB2312" w:eastAsia="仿宋_GB2312" w:cs="仿宋_GB2312"/>
                <w:szCs w:val="21"/>
              </w:rPr>
              <w:t>5</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注册造价师超出注册专业和级别范围执业，每</w:t>
            </w:r>
            <w:r>
              <w:rPr>
                <w:rFonts w:hint="eastAsia" w:ascii="仿宋_GB2312" w:hAnsi="仿宋_GB2312" w:eastAsia="仿宋_GB2312" w:cs="仿宋_GB2312"/>
                <w:szCs w:val="21"/>
                <w:lang w:val="en-US" w:eastAsia="zh-CN"/>
              </w:rPr>
              <w:t>1人</w:t>
            </w:r>
            <w:r>
              <w:rPr>
                <w:rFonts w:hint="eastAsia" w:ascii="仿宋_GB2312" w:hAnsi="仿宋_GB2312" w:eastAsia="仿宋_GB2312" w:cs="仿宋_GB2312"/>
                <w:szCs w:val="21"/>
              </w:rPr>
              <w:t>扣</w:t>
            </w:r>
            <w:r>
              <w:rPr>
                <w:rFonts w:ascii="仿宋_GB2312" w:hAnsi="仿宋_GB2312" w:eastAsia="仿宋_GB2312" w:cs="仿宋_GB2312"/>
                <w:szCs w:val="21"/>
              </w:rPr>
              <w:t>1</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企业应有计划地安排所有注册造价工程师继续教育，每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人未按规定参加扣1分。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注册造价师存在注册期满未办理延续注册但继续执业的行为，每人次扣2分。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restart"/>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088"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企业及注册造价师执业质量</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20</w:t>
            </w:r>
            <w:r>
              <w:rPr>
                <w:rFonts w:hint="eastAsia" w:ascii="仿宋_GB2312" w:hAnsi="仿宋_GB2312" w:eastAsia="仿宋_GB2312" w:cs="仿宋_GB2312"/>
                <w:szCs w:val="21"/>
              </w:rPr>
              <w:t>分)</w:t>
            </w: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企业无业务操作流程制度的，扣</w:t>
            </w:r>
            <w:r>
              <w:rPr>
                <w:rFonts w:ascii="仿宋_GB2312" w:hAnsi="仿宋_GB2312" w:eastAsia="仿宋_GB2312" w:cs="仿宋_GB2312"/>
                <w:szCs w:val="21"/>
              </w:rPr>
              <w:t>2</w:t>
            </w:r>
            <w:r>
              <w:rPr>
                <w:rFonts w:hint="eastAsia" w:ascii="仿宋_GB2312" w:hAnsi="仿宋_GB2312" w:eastAsia="仿宋_GB2312" w:cs="仿宋_GB2312"/>
                <w:szCs w:val="21"/>
              </w:rPr>
              <w:t>分。</w:t>
            </w:r>
          </w:p>
        </w:tc>
        <w:tc>
          <w:tcPr>
            <w:tcW w:w="669" w:type="dxa"/>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咨询报告书中扉页法定代表人未签字或盖章；技术负责人(或专业负责人）、项目负责人、专业咨询员未签字并盖执业印章的，每情形扣2分；咨询报告编制人、复核人与咨询报告书盖章人员不一致的，每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情形扣2分。</w:t>
            </w:r>
          </w:p>
        </w:tc>
        <w:tc>
          <w:tcPr>
            <w:tcW w:w="669" w:type="dxa"/>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咨询成果报告应有项目负责人签字、加盖执业印章、工程造价咨询企业公章的，缺1项扣</w:t>
            </w:r>
            <w:r>
              <w:rPr>
                <w:rFonts w:ascii="仿宋_GB2312" w:hAnsi="仿宋_GB2312" w:eastAsia="仿宋_GB2312" w:cs="仿宋_GB2312"/>
                <w:szCs w:val="21"/>
              </w:rPr>
              <w:t>2</w:t>
            </w:r>
            <w:r>
              <w:rPr>
                <w:rFonts w:hint="eastAsia" w:ascii="仿宋_GB2312" w:hAnsi="仿宋_GB2312" w:eastAsia="仿宋_GB2312" w:cs="仿宋_GB2312"/>
                <w:szCs w:val="21"/>
              </w:rPr>
              <w:t>分。</w:t>
            </w:r>
          </w:p>
        </w:tc>
        <w:tc>
          <w:tcPr>
            <w:tcW w:w="669" w:type="dxa"/>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未实行三级审核制的，扣</w:t>
            </w:r>
            <w:r>
              <w:rPr>
                <w:rFonts w:ascii="仿宋_GB2312" w:hAnsi="仿宋_GB2312" w:eastAsia="仿宋_GB2312" w:cs="仿宋_GB2312"/>
                <w:szCs w:val="21"/>
              </w:rPr>
              <w:t>3</w:t>
            </w:r>
            <w:r>
              <w:rPr>
                <w:rFonts w:hint="eastAsia" w:ascii="仿宋_GB2312" w:hAnsi="仿宋_GB2312" w:eastAsia="仿宋_GB2312" w:cs="仿宋_GB2312"/>
                <w:szCs w:val="21"/>
              </w:rPr>
              <w:t>分；三级审核意见不详细的，扣2分；工程造价成果文件的编制人与审核人为同一注册造价工程师的，扣3分。（项目负责人与技术负责人或专业负责人是同一人的，不扣分）</w:t>
            </w:r>
          </w:p>
        </w:tc>
        <w:tc>
          <w:tcPr>
            <w:tcW w:w="669" w:type="dxa"/>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3" w:type="dxa"/>
            <w:vMerge w:val="restart"/>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088"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档案管理</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20</w:t>
            </w:r>
            <w:r>
              <w:rPr>
                <w:rFonts w:hint="eastAsia" w:ascii="仿宋_GB2312" w:hAnsi="仿宋_GB2312" w:eastAsia="仿宋_GB2312" w:cs="仿宋_GB2312"/>
                <w:szCs w:val="21"/>
              </w:rPr>
              <w:t>分)</w:t>
            </w: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未建立档案管理制度的扣3分，档案管理制度未体现咨询业务特点和要求的扣1分；企业档案无专（兼）职档案管理人员的，扣3分；纸质档案未装订，无目录、页码的、无委托人提供的资料清单、无备考表的每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项扣1分。</w:t>
            </w:r>
          </w:p>
        </w:tc>
        <w:tc>
          <w:tcPr>
            <w:tcW w:w="669" w:type="dxa"/>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3574" w:type="dxa"/>
            <w:vAlign w:val="center"/>
          </w:tcPr>
          <w:p>
            <w:pPr>
              <w:spacing w:line="300" w:lineRule="exact"/>
              <w:jc w:val="center"/>
              <w:rPr>
                <w:rFonts w:ascii="仿宋_GB2312" w:hAnsi="仿宋_GB2312" w:eastAsia="仿宋_GB2312" w:cs="仿宋_GB2312"/>
                <w:color w:val="000000"/>
                <w:szCs w:val="21"/>
              </w:rPr>
            </w:pPr>
          </w:p>
        </w:tc>
        <w:tc>
          <w:tcPr>
            <w:tcW w:w="723" w:type="dxa"/>
            <w:vAlign w:val="center"/>
          </w:tcPr>
          <w:p>
            <w:pPr>
              <w:spacing w:line="360" w:lineRule="auto"/>
              <w:jc w:val="center"/>
              <w:rPr>
                <w:rFonts w:ascii="仿宋_GB2312" w:hAnsi="仿宋_GB2312" w:eastAsia="仿宋_GB2312" w:cs="仿宋_GB2312"/>
                <w:b/>
                <w:bCs/>
                <w:szCs w:val="21"/>
              </w:rPr>
            </w:pPr>
          </w:p>
        </w:tc>
        <w:tc>
          <w:tcPr>
            <w:tcW w:w="1090" w:type="dxa"/>
            <w:vAlign w:val="center"/>
          </w:tcPr>
          <w:p>
            <w:pPr>
              <w:spacing w:line="360" w:lineRule="auto"/>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Merge w:val="continue"/>
            <w:vAlign w:val="center"/>
          </w:tcPr>
          <w:p>
            <w:pPr>
              <w:spacing w:line="360" w:lineRule="auto"/>
              <w:jc w:val="center"/>
              <w:rPr>
                <w:rFonts w:ascii="仿宋_GB2312" w:hAnsi="仿宋_GB2312" w:eastAsia="仿宋_GB2312" w:cs="仿宋_GB2312"/>
                <w:szCs w:val="21"/>
              </w:rPr>
            </w:pPr>
          </w:p>
        </w:tc>
        <w:tc>
          <w:tcPr>
            <w:tcW w:w="1088" w:type="dxa"/>
            <w:vMerge w:val="continue"/>
            <w:vAlign w:val="center"/>
          </w:tcPr>
          <w:p>
            <w:pPr>
              <w:spacing w:line="300" w:lineRule="exact"/>
              <w:jc w:val="center"/>
              <w:rPr>
                <w:rFonts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缺少与最终咨询成果文件相关的计算底稿、会议纪要和函件、工程变更或签证等的，每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项扣2分。</w:t>
            </w:r>
          </w:p>
        </w:tc>
        <w:tc>
          <w:tcPr>
            <w:tcW w:w="669" w:type="dxa"/>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3574" w:type="dxa"/>
            <w:vAlign w:val="center"/>
          </w:tcPr>
          <w:p>
            <w:pPr>
              <w:spacing w:line="300" w:lineRule="exact"/>
              <w:jc w:val="center"/>
              <w:rPr>
                <w:rFonts w:ascii="仿宋_GB2312" w:hAnsi="仿宋_GB2312" w:eastAsia="仿宋_GB2312" w:cs="仿宋_GB2312"/>
                <w:szCs w:val="21"/>
              </w:rPr>
            </w:pPr>
          </w:p>
        </w:tc>
        <w:tc>
          <w:tcPr>
            <w:tcW w:w="723" w:type="dxa"/>
            <w:vAlign w:val="center"/>
          </w:tcPr>
          <w:p>
            <w:pPr>
              <w:spacing w:line="300" w:lineRule="exact"/>
              <w:jc w:val="center"/>
              <w:rPr>
                <w:rFonts w:ascii="仿宋_GB2312" w:hAnsi="仿宋_GB2312" w:eastAsia="仿宋_GB2312" w:cs="仿宋_GB2312"/>
                <w:szCs w:val="21"/>
              </w:rPr>
            </w:pPr>
          </w:p>
        </w:tc>
        <w:tc>
          <w:tcPr>
            <w:tcW w:w="1090"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受检项目在监管系统或企业项目台帐中有，但无项目档案资料的，每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个扣</w:t>
            </w:r>
            <w:r>
              <w:rPr>
                <w:rFonts w:ascii="仿宋_GB2312" w:hAnsi="仿宋_GB2312" w:eastAsia="仿宋_GB2312" w:cs="仿宋_GB2312"/>
                <w:szCs w:val="21"/>
              </w:rPr>
              <w:t>2</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3574" w:type="dxa"/>
            <w:vAlign w:val="center"/>
          </w:tcPr>
          <w:p>
            <w:pPr>
              <w:spacing w:line="300" w:lineRule="exact"/>
              <w:jc w:val="center"/>
              <w:rPr>
                <w:rFonts w:ascii="仿宋_GB2312" w:hAnsi="仿宋_GB2312" w:eastAsia="仿宋_GB2312" w:cs="仿宋_GB2312"/>
                <w:szCs w:val="21"/>
              </w:rPr>
            </w:pPr>
          </w:p>
        </w:tc>
        <w:tc>
          <w:tcPr>
            <w:tcW w:w="723" w:type="dxa"/>
            <w:vAlign w:val="center"/>
          </w:tcPr>
          <w:p>
            <w:pPr>
              <w:spacing w:line="300" w:lineRule="exact"/>
              <w:jc w:val="center"/>
              <w:rPr>
                <w:rFonts w:ascii="仿宋_GB2312" w:hAnsi="仿宋_GB2312" w:eastAsia="仿宋_GB2312" w:cs="仿宋_GB2312"/>
                <w:szCs w:val="21"/>
              </w:rPr>
            </w:pPr>
          </w:p>
        </w:tc>
        <w:tc>
          <w:tcPr>
            <w:tcW w:w="1090"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受检项目在企业项目台帐上有，</w:t>
            </w:r>
            <w:r>
              <w:rPr>
                <w:rFonts w:hint="eastAsia" w:ascii="仿宋_GB2312" w:hAnsi="仿宋_GB2312" w:eastAsia="仿宋_GB2312" w:cs="仿宋_GB2312"/>
                <w:szCs w:val="21"/>
                <w:lang w:eastAsia="zh-CN"/>
              </w:rPr>
              <w:t>但</w:t>
            </w:r>
            <w:r>
              <w:rPr>
                <w:rFonts w:hint="eastAsia" w:ascii="仿宋_GB2312" w:hAnsi="仿宋_GB2312" w:eastAsia="仿宋_GB2312" w:cs="仿宋_GB2312"/>
                <w:szCs w:val="21"/>
              </w:rPr>
              <w:t>珠海市工程造价咨询业信用信息管理平台监管系统未登记的，每</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个扣</w:t>
            </w:r>
            <w:r>
              <w:rPr>
                <w:rFonts w:ascii="仿宋_GB2312" w:hAnsi="仿宋_GB2312" w:eastAsia="仿宋_GB2312" w:cs="仿宋_GB2312"/>
                <w:szCs w:val="21"/>
              </w:rPr>
              <w:t>1</w:t>
            </w:r>
            <w:r>
              <w:rPr>
                <w:rFonts w:hint="eastAsia" w:ascii="仿宋_GB2312" w:hAnsi="仿宋_GB2312" w:eastAsia="仿宋_GB2312" w:cs="仿宋_GB2312"/>
                <w:szCs w:val="21"/>
              </w:rPr>
              <w:t>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szCs w:val="21"/>
              </w:rPr>
            </w:pPr>
          </w:p>
        </w:tc>
        <w:tc>
          <w:tcPr>
            <w:tcW w:w="723" w:type="dxa"/>
            <w:vAlign w:val="center"/>
          </w:tcPr>
          <w:p>
            <w:pPr>
              <w:spacing w:line="300" w:lineRule="exact"/>
              <w:jc w:val="center"/>
              <w:rPr>
                <w:rFonts w:ascii="仿宋_GB2312" w:hAnsi="仿宋_GB2312" w:eastAsia="仿宋_GB2312" w:cs="仿宋_GB2312"/>
                <w:szCs w:val="21"/>
              </w:rPr>
            </w:pPr>
          </w:p>
        </w:tc>
        <w:tc>
          <w:tcPr>
            <w:tcW w:w="1090"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未签订书面咨询合同的，直接扣</w:t>
            </w:r>
            <w:r>
              <w:rPr>
                <w:rFonts w:ascii="仿宋_GB2312" w:hAnsi="仿宋_GB2312" w:eastAsia="仿宋_GB2312" w:cs="仿宋_GB2312"/>
                <w:szCs w:val="21"/>
              </w:rPr>
              <w:t>2</w:t>
            </w:r>
            <w:r>
              <w:rPr>
                <w:rFonts w:hint="eastAsia" w:ascii="仿宋_GB2312" w:hAnsi="仿宋_GB2312" w:eastAsia="仿宋_GB2312" w:cs="仿宋_GB2312"/>
                <w:szCs w:val="21"/>
              </w:rPr>
              <w:t>分。咨询合同签订不规范的，如签订时间、收费标准、完成时间咨询期限、成果质量、违约责任等没有或不明确的，缺1项扣0.2分。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szCs w:val="21"/>
              </w:rPr>
            </w:pPr>
          </w:p>
        </w:tc>
        <w:tc>
          <w:tcPr>
            <w:tcW w:w="723" w:type="dxa"/>
            <w:vAlign w:val="center"/>
          </w:tcPr>
          <w:p>
            <w:pPr>
              <w:spacing w:line="300" w:lineRule="exact"/>
              <w:jc w:val="center"/>
              <w:rPr>
                <w:rFonts w:ascii="仿宋_GB2312" w:hAnsi="仿宋_GB2312" w:eastAsia="仿宋_GB2312" w:cs="仿宋_GB2312"/>
                <w:szCs w:val="21"/>
              </w:rPr>
            </w:pPr>
          </w:p>
        </w:tc>
        <w:tc>
          <w:tcPr>
            <w:tcW w:w="1090"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Merge w:val="continue"/>
            <w:vAlign w:val="center"/>
          </w:tcPr>
          <w:p>
            <w:pPr>
              <w:spacing w:line="360" w:lineRule="auto"/>
              <w:jc w:val="center"/>
              <w:rPr>
                <w:rFonts w:hint="eastAsia" w:ascii="仿宋_GB2312" w:hAnsi="仿宋_GB2312" w:eastAsia="仿宋_GB2312" w:cs="仿宋_GB2312"/>
                <w:szCs w:val="21"/>
              </w:rPr>
            </w:pPr>
          </w:p>
        </w:tc>
        <w:tc>
          <w:tcPr>
            <w:tcW w:w="1088" w:type="dxa"/>
            <w:vMerge w:val="continue"/>
            <w:vAlign w:val="center"/>
          </w:tcPr>
          <w:p>
            <w:pPr>
              <w:spacing w:line="300" w:lineRule="exact"/>
              <w:jc w:val="center"/>
              <w:rPr>
                <w:rFonts w:hint="eastAsia" w:ascii="仿宋_GB2312" w:hAnsi="仿宋_GB2312" w:eastAsia="仿宋_GB2312" w:cs="仿宋_GB2312"/>
                <w:szCs w:val="21"/>
              </w:rPr>
            </w:pPr>
          </w:p>
        </w:tc>
        <w:tc>
          <w:tcPr>
            <w:tcW w:w="6656" w:type="dxa"/>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三级质量控制流程单上三级复核书记录内容不完整，签名、印章、日期不全，缺1项扣0.5分。</w:t>
            </w:r>
          </w:p>
        </w:tc>
        <w:tc>
          <w:tcPr>
            <w:tcW w:w="669" w:type="dxa"/>
            <w:vAlign w:val="center"/>
          </w:tcPr>
          <w:p>
            <w:pPr>
              <w:spacing w:line="30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3574" w:type="dxa"/>
            <w:vAlign w:val="center"/>
          </w:tcPr>
          <w:p>
            <w:pPr>
              <w:spacing w:line="300" w:lineRule="exact"/>
              <w:jc w:val="center"/>
              <w:rPr>
                <w:rFonts w:ascii="仿宋_GB2312" w:hAnsi="仿宋_GB2312" w:eastAsia="仿宋_GB2312" w:cs="仿宋_GB2312"/>
                <w:szCs w:val="21"/>
              </w:rPr>
            </w:pPr>
          </w:p>
        </w:tc>
        <w:tc>
          <w:tcPr>
            <w:tcW w:w="723" w:type="dxa"/>
            <w:vAlign w:val="center"/>
          </w:tcPr>
          <w:p>
            <w:pPr>
              <w:spacing w:line="300" w:lineRule="exact"/>
              <w:jc w:val="center"/>
              <w:rPr>
                <w:rFonts w:ascii="仿宋_GB2312" w:hAnsi="仿宋_GB2312" w:eastAsia="仿宋_GB2312" w:cs="仿宋_GB2312"/>
                <w:szCs w:val="21"/>
              </w:rPr>
            </w:pPr>
          </w:p>
        </w:tc>
        <w:tc>
          <w:tcPr>
            <w:tcW w:w="1090" w:type="dxa"/>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86" w:type="dxa"/>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总得分</w:t>
            </w:r>
          </w:p>
        </w:tc>
        <w:tc>
          <w:tcPr>
            <w:tcW w:w="5387" w:type="dxa"/>
            <w:gridSpan w:val="3"/>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761"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b/>
                <w:color w:val="000000"/>
                <w:szCs w:val="21"/>
              </w:rPr>
              <w:t>专家签名</w:t>
            </w:r>
          </w:p>
        </w:tc>
        <w:tc>
          <w:tcPr>
            <w:tcW w:w="7325" w:type="dxa"/>
            <w:gridSpan w:val="2"/>
            <w:vAlign w:val="center"/>
          </w:tcPr>
          <w:p>
            <w:pPr>
              <w:spacing w:line="300" w:lineRule="exact"/>
              <w:jc w:val="center"/>
              <w:rPr>
                <w:rFonts w:ascii="仿宋_GB2312" w:hAnsi="仿宋_GB2312" w:eastAsia="仿宋_GB2312" w:cs="仿宋_GB2312"/>
                <w:szCs w:val="21"/>
              </w:rPr>
            </w:pPr>
          </w:p>
        </w:tc>
        <w:tc>
          <w:tcPr>
            <w:tcW w:w="5387" w:type="dxa"/>
            <w:gridSpan w:val="3"/>
            <w:vAlign w:val="center"/>
          </w:tcPr>
          <w:p>
            <w:pPr>
              <w:spacing w:line="30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 xml:space="preserve"> 检查日期：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761" w:type="dxa"/>
            <w:gridSpan w:val="2"/>
            <w:vAlign w:val="center"/>
          </w:tcPr>
          <w:p>
            <w:pPr>
              <w:spacing w:line="300" w:lineRule="exact"/>
              <w:jc w:val="center"/>
              <w:rPr>
                <w:rFonts w:hint="eastAsia" w:ascii="仿宋_GB2312" w:hAnsi="仿宋_GB2312" w:eastAsia="仿宋_GB2312" w:cs="仿宋_GB2312"/>
                <w:b/>
                <w:color w:val="000000"/>
                <w:szCs w:val="21"/>
                <w:lang w:eastAsia="zh-CN"/>
              </w:rPr>
            </w:pPr>
            <w:r>
              <w:rPr>
                <w:rFonts w:hint="eastAsia" w:ascii="仿宋_GB2312" w:hAnsi="仿宋_GB2312" w:eastAsia="仿宋_GB2312" w:cs="仿宋_GB2312"/>
                <w:b/>
                <w:color w:val="000000"/>
                <w:szCs w:val="21"/>
                <w:lang w:eastAsia="zh-CN"/>
              </w:rPr>
              <w:t>受检企业负责人签名确认</w:t>
            </w:r>
          </w:p>
        </w:tc>
        <w:tc>
          <w:tcPr>
            <w:tcW w:w="7325" w:type="dxa"/>
            <w:gridSpan w:val="2"/>
            <w:vAlign w:val="center"/>
          </w:tcPr>
          <w:p>
            <w:pPr>
              <w:spacing w:line="300" w:lineRule="exact"/>
              <w:jc w:val="center"/>
              <w:rPr>
                <w:rFonts w:ascii="仿宋_GB2312" w:hAnsi="仿宋_GB2312" w:eastAsia="仿宋_GB2312" w:cs="仿宋_GB2312"/>
                <w:szCs w:val="21"/>
              </w:rPr>
            </w:pPr>
          </w:p>
        </w:tc>
        <w:tc>
          <w:tcPr>
            <w:tcW w:w="5387" w:type="dxa"/>
            <w:gridSpan w:val="3"/>
            <w:vAlign w:val="center"/>
          </w:tcPr>
          <w:p>
            <w:pPr>
              <w:spacing w:line="300" w:lineRule="exact"/>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 xml:space="preserve"> 检查日期：  年  月  日</w:t>
            </w:r>
          </w:p>
        </w:tc>
      </w:tr>
    </w:tbl>
    <w:p>
      <w:pPr>
        <w:snapToGrid w:val="0"/>
        <w:jc w:val="left"/>
        <w:rPr>
          <w:rFonts w:ascii="仿宋_GB2312" w:hAnsi="仿宋_GB2312" w:eastAsia="仿宋_GB2312" w:cs="仿宋_GB2312"/>
        </w:rPr>
      </w:pPr>
    </w:p>
    <w:sectPr>
      <w:footerReference r:id="rId3" w:type="default"/>
      <w:pgSz w:w="16838" w:h="11906" w:orient="landscape"/>
      <w:pgMar w:top="1009"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2CD2"/>
    <w:multiLevelType w:val="multilevel"/>
    <w:tmpl w:val="E3B22CD2"/>
    <w:lvl w:ilvl="0" w:tentative="0">
      <w:start w:val="1"/>
      <w:numFmt w:val="chineseCounting"/>
      <w:suff w:val="nothing"/>
      <w:lvlText w:val="第%1章 "/>
      <w:lvlJc w:val="left"/>
      <w:pPr>
        <w:tabs>
          <w:tab w:val="left" w:pos="0"/>
        </w:tabs>
        <w:ind w:left="0" w:firstLine="0"/>
      </w:pPr>
      <w:rPr>
        <w:rFonts w:hint="eastAsia" w:ascii="宋体" w:hAnsi="宋体" w:eastAsia="黑体" w:cs="宋体"/>
        <w:b w:val="0"/>
        <w:sz w:val="32"/>
      </w:rPr>
    </w:lvl>
    <w:lvl w:ilvl="1" w:tentative="0">
      <w:start w:val="1"/>
      <w:numFmt w:val="chineseCounting"/>
      <w:lvlRestart w:val="0"/>
      <w:suff w:val="nothing"/>
      <w:lvlText w:val="第%2条 "/>
      <w:lvlJc w:val="left"/>
      <w:pPr>
        <w:tabs>
          <w:tab w:val="left" w:pos="0"/>
        </w:tabs>
        <w:ind w:left="0" w:firstLine="40"/>
      </w:pPr>
      <w:rPr>
        <w:rFonts w:hint="eastAsia" w:ascii="宋体" w:hAnsi="宋体" w:eastAsia="宋体" w:cs="宋体"/>
        <w:b/>
        <w:sz w:val="32"/>
        <w:szCs w:val="30"/>
      </w:rPr>
    </w:lvl>
    <w:lvl w:ilvl="2" w:tentative="0">
      <w:start w:val="1"/>
      <w:numFmt w:val="chineseCounting"/>
      <w:pStyle w:val="5"/>
      <w:suff w:val="nothing"/>
      <w:lvlText w:val="（%3）"/>
      <w:lvlJc w:val="left"/>
      <w:pPr>
        <w:tabs>
          <w:tab w:val="left" w:pos="0"/>
        </w:tabs>
        <w:ind w:left="0" w:firstLine="40"/>
      </w:pPr>
      <w:rPr>
        <w:rFonts w:hint="eastAsia" w:ascii="宋体" w:hAnsi="宋体" w:eastAsia="宋体" w:cs="宋体"/>
        <w:sz w:val="30"/>
      </w:rPr>
    </w:lvl>
    <w:lvl w:ilvl="3" w:tentative="0">
      <w:start w:val="1"/>
      <w:numFmt w:val="none"/>
      <w:lvlRestart w:val="0"/>
      <w:suff w:val="nothing"/>
      <w:lvlText w:val=""/>
      <w:lvlJc w:val="left"/>
      <w:pPr>
        <w:ind w:left="0" w:firstLine="402"/>
      </w:pPr>
      <w:rPr>
        <w:rFonts w:hint="eastAsia" w:ascii="宋体" w:hAnsi="宋体" w:eastAsia="宋体" w:cs="宋体"/>
      </w:rPr>
    </w:lvl>
    <w:lvl w:ilvl="4" w:tentative="0">
      <w:start w:val="1"/>
      <w:numFmt w:val="none"/>
      <w:lvlRestart w:val="0"/>
      <w:suff w:val="nothing"/>
      <w:lvlText w:val=""/>
      <w:lvlJc w:val="left"/>
      <w:pPr>
        <w:ind w:left="0" w:firstLine="402"/>
      </w:pPr>
      <w:rPr>
        <w:rFonts w:hint="eastAsia" w:ascii="宋体" w:hAnsi="宋体" w:eastAsia="宋体" w:cs="宋体"/>
      </w:rPr>
    </w:lvl>
    <w:lvl w:ilvl="5" w:tentative="0">
      <w:start w:val="1"/>
      <w:numFmt w:val="none"/>
      <w:lvlRestart w:val="0"/>
      <w:suff w:val="nothing"/>
      <w:lvlText w:val=""/>
      <w:lvlJc w:val="left"/>
      <w:pPr>
        <w:ind w:left="0" w:firstLine="402"/>
      </w:pPr>
      <w:rPr>
        <w:rFonts w:hint="eastAsia" w:ascii="宋体" w:hAnsi="宋体" w:eastAsia="宋体" w:cs="宋体"/>
      </w:rPr>
    </w:lvl>
    <w:lvl w:ilvl="6" w:tentative="0">
      <w:start w:val="1"/>
      <w:numFmt w:val="none"/>
      <w:lvlRestart w:val="0"/>
      <w:suff w:val="nothing"/>
      <w:lvlText w:val=""/>
      <w:lvlJc w:val="left"/>
      <w:pPr>
        <w:ind w:left="0" w:firstLine="402"/>
      </w:pPr>
      <w:rPr>
        <w:rFonts w:hint="eastAsia" w:ascii="宋体" w:hAnsi="宋体" w:eastAsia="宋体" w:cs="宋体"/>
      </w:rPr>
    </w:lvl>
    <w:lvl w:ilvl="7" w:tentative="0">
      <w:start w:val="1"/>
      <w:numFmt w:val="none"/>
      <w:lvlRestart w:val="0"/>
      <w:suff w:val="nothing"/>
      <w:lvlText w:val=""/>
      <w:lvlJc w:val="left"/>
      <w:pPr>
        <w:ind w:left="0" w:firstLine="402"/>
      </w:pPr>
      <w:rPr>
        <w:rFonts w:hint="eastAsia" w:ascii="宋体" w:hAnsi="宋体" w:eastAsia="宋体" w:cs="宋体"/>
      </w:rPr>
    </w:lvl>
    <w:lvl w:ilvl="8" w:tentative="0">
      <w:start w:val="1"/>
      <w:numFmt w:val="none"/>
      <w:lvlRestart w:val="0"/>
      <w:suff w:val="nothing"/>
      <w:lvlText w:val=""/>
      <w:lvlJc w:val="left"/>
      <w:pPr>
        <w:ind w:left="0" w:firstLine="402"/>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OTM0Mzk4OTJlNWZlNTMxN2QwNDRiMGU1YWJmMjAifQ=="/>
  </w:docVars>
  <w:rsids>
    <w:rsidRoot w:val="3C724197"/>
    <w:rsid w:val="000237F0"/>
    <w:rsid w:val="0007361F"/>
    <w:rsid w:val="0009732F"/>
    <w:rsid w:val="000D41BA"/>
    <w:rsid w:val="001D5A60"/>
    <w:rsid w:val="00204509"/>
    <w:rsid w:val="00223753"/>
    <w:rsid w:val="00250A2A"/>
    <w:rsid w:val="002A296C"/>
    <w:rsid w:val="00303BF8"/>
    <w:rsid w:val="004D77C4"/>
    <w:rsid w:val="005B7A7B"/>
    <w:rsid w:val="005D383B"/>
    <w:rsid w:val="005E151E"/>
    <w:rsid w:val="00667592"/>
    <w:rsid w:val="006F6D7A"/>
    <w:rsid w:val="00833E7D"/>
    <w:rsid w:val="008613C3"/>
    <w:rsid w:val="008B0F5F"/>
    <w:rsid w:val="008D3316"/>
    <w:rsid w:val="009A32EF"/>
    <w:rsid w:val="00AE2A4D"/>
    <w:rsid w:val="00B44C20"/>
    <w:rsid w:val="00BA3803"/>
    <w:rsid w:val="00BB0C39"/>
    <w:rsid w:val="00C57FE1"/>
    <w:rsid w:val="00D31F3E"/>
    <w:rsid w:val="00D33BD7"/>
    <w:rsid w:val="00D56DFF"/>
    <w:rsid w:val="00D910E9"/>
    <w:rsid w:val="00DD283F"/>
    <w:rsid w:val="00E860F7"/>
    <w:rsid w:val="00F30C35"/>
    <w:rsid w:val="00F60189"/>
    <w:rsid w:val="00F776A6"/>
    <w:rsid w:val="02F403E5"/>
    <w:rsid w:val="04563283"/>
    <w:rsid w:val="054C2F3C"/>
    <w:rsid w:val="06C851B6"/>
    <w:rsid w:val="09261728"/>
    <w:rsid w:val="0B2E0EC5"/>
    <w:rsid w:val="0BA84C5A"/>
    <w:rsid w:val="0C3A111C"/>
    <w:rsid w:val="0F855496"/>
    <w:rsid w:val="112854B3"/>
    <w:rsid w:val="113D4A2B"/>
    <w:rsid w:val="11A7329F"/>
    <w:rsid w:val="12BE45CE"/>
    <w:rsid w:val="130C04BA"/>
    <w:rsid w:val="157E7CA2"/>
    <w:rsid w:val="16A020D3"/>
    <w:rsid w:val="19B759F9"/>
    <w:rsid w:val="1B5C0FA8"/>
    <w:rsid w:val="1BE80B1A"/>
    <w:rsid w:val="1FCB1AFA"/>
    <w:rsid w:val="23F739F1"/>
    <w:rsid w:val="263B7010"/>
    <w:rsid w:val="2CE12A4B"/>
    <w:rsid w:val="2E037714"/>
    <w:rsid w:val="2E06778F"/>
    <w:rsid w:val="2FF10071"/>
    <w:rsid w:val="339B4C2A"/>
    <w:rsid w:val="33E14364"/>
    <w:rsid w:val="36054F45"/>
    <w:rsid w:val="37A829CF"/>
    <w:rsid w:val="38A442FB"/>
    <w:rsid w:val="39B51BBA"/>
    <w:rsid w:val="39DD3C08"/>
    <w:rsid w:val="3C724197"/>
    <w:rsid w:val="3EDC25BB"/>
    <w:rsid w:val="401D4686"/>
    <w:rsid w:val="4073454C"/>
    <w:rsid w:val="45932935"/>
    <w:rsid w:val="4A593B07"/>
    <w:rsid w:val="4C4F4C3F"/>
    <w:rsid w:val="4CF6702F"/>
    <w:rsid w:val="4F6E2D92"/>
    <w:rsid w:val="50132AEB"/>
    <w:rsid w:val="53267709"/>
    <w:rsid w:val="56D8660A"/>
    <w:rsid w:val="581D3A69"/>
    <w:rsid w:val="587F332E"/>
    <w:rsid w:val="5C257E2A"/>
    <w:rsid w:val="5DAF40A9"/>
    <w:rsid w:val="5DB004C1"/>
    <w:rsid w:val="61D37C8C"/>
    <w:rsid w:val="65806087"/>
    <w:rsid w:val="663B68C7"/>
    <w:rsid w:val="666F3643"/>
    <w:rsid w:val="66844626"/>
    <w:rsid w:val="66F32F7B"/>
    <w:rsid w:val="69557DDE"/>
    <w:rsid w:val="6A321B28"/>
    <w:rsid w:val="6B1A25E6"/>
    <w:rsid w:val="6BB22B39"/>
    <w:rsid w:val="6E63518D"/>
    <w:rsid w:val="6EB505AF"/>
    <w:rsid w:val="713D78D4"/>
    <w:rsid w:val="71B132B0"/>
    <w:rsid w:val="726473B5"/>
    <w:rsid w:val="72D512EA"/>
    <w:rsid w:val="72E7527F"/>
    <w:rsid w:val="72F1431F"/>
    <w:rsid w:val="73040E95"/>
    <w:rsid w:val="73372DF7"/>
    <w:rsid w:val="7874039F"/>
    <w:rsid w:val="7B5D73F5"/>
    <w:rsid w:val="7ED568CF"/>
    <w:rsid w:val="7F9E4655"/>
    <w:rsid w:val="7FA1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unhideWhenUsed/>
    <w:qFormat/>
    <w:uiPriority w:val="0"/>
    <w:pPr>
      <w:numPr>
        <w:ilvl w:val="2"/>
        <w:numId w:val="1"/>
      </w:numPr>
      <w:spacing w:line="360" w:lineRule="auto"/>
      <w:ind w:firstLine="880" w:firstLineChars="200"/>
      <w:outlineLvl w:val="3"/>
    </w:pPr>
    <w:rPr>
      <w:rFonts w:ascii="Arial" w:hAnsi="Aria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pPr>
  </w:style>
  <w:style w:type="paragraph" w:styleId="4">
    <w:name w:val="toc 5"/>
    <w:basedOn w:val="1"/>
    <w:next w:val="1"/>
    <w:qFormat/>
    <w:uiPriority w:val="0"/>
    <w:pPr>
      <w:suppressAutoHyphens/>
      <w:ind w:left="1680" w:leftChars="800"/>
    </w:pPr>
    <w:rPr>
      <w:kern w:val="1"/>
      <w:lang w:eastAsia="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3</Pages>
  <Words>241</Words>
  <Characters>1375</Characters>
  <Lines>11</Lines>
  <Paragraphs>3</Paragraphs>
  <TotalTime>6</TotalTime>
  <ScaleCrop>false</ScaleCrop>
  <LinksUpToDate>false</LinksUpToDate>
  <CharactersWithSpaces>1613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2024-08-19T14:03:00Z</dcterms:created>
  <dc:creator>Orbit</dc:creator>
  <cp:lastModifiedBy>苏玲霞:公文起草</cp:lastModifiedBy>
  <cp:lastPrinted>2024-08-22T01:23:00Z</cp:lastPrinted>
  <dcterms:modified xsi:type="dcterms:W3CDTF">2024-09-09T03:42:17Z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D5388C5EC5F840909FBDFBD5E7527843</vt:lpwstr>
  </property>
</Properties>
</file>