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188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8"/>
        <w:gridCol w:w="4010"/>
        <w:gridCol w:w="31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880" w:hRule="atLeast"/>
        </w:trPr>
        <w:tc>
          <w:tcPr>
            <w:tcW w:w="8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横琴粤澳深度合作区跨境办公异议企业2023年度补贴名单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10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>公司名称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4"/>
                <w:lang w:val="en-US" w:eastAsia="zh-CN" w:bidi="ar"/>
              </w:rPr>
              <w:t xml:space="preserve"> 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亚洲福永酒店集团管理有限公司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202,809.76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瀛海汽车租赁服务有限公司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51,447.20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尚御建筑材料有限公司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243,612.72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金螳螂（国际）建筑装饰有限公司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139,259.73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TRANS CENTER INDUSTRIAL CO.,LIMITED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41,611.94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百梦达创意设计有限公司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167,444.98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日洋物业投资有限公司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27,548.50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葡沅贸易有限公司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92,631.60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澳门英途达能生态环境科技工程有限公司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115,243.50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奈佳工业有限公司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94,243.05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Noah Solutions Limited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10,513.57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联一思捷物流有限公司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17,403.02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启源教育（澳门）有限公司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152,599.79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至和健康产业（香港）有限公司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872,559.55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澳门新科电子工程有限公司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12,390.04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适度健康管理有限公司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312,025.77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钟约翰设计装饰工程有限公司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33,152.86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创天有限公司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98,267.85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触角电子商务有限公司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38,925.62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花酒酒业有限公司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47,467.94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露思投资发展有限公司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127,806.39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雄亮地产有限公司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108,508.04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億和盛国际贸易有限公司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11,078.77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钜星国际有限公司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32,426.55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春润顾问有限公司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55,971.03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聚贤亚洲有限公司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25,846.42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澳门恒晋建筑工程有限公司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44,135.25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金山财富管理有限公司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56,313.87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澳德国际教育有限公司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76,243.80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芯依制服服装一人有限公司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11,357.89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澳门四维空间健康管理有限公司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165,871.86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中国龙建工集团有限公司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191,746.20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尚亿集团有限公司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100,424.05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特力装修工程一人有限公司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73,467.95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金樽控股有限公司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32,706.46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言恒技术发展有限公司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23,416.12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81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cs="仿宋_GB2312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横琴粤澳深度合作区跨境办公异议企业2023年度补贴名单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>公司名称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Style w:val="4"/>
                <w:lang w:val="en-US" w:eastAsia="zh-CN" w:bidi="ar"/>
              </w:rPr>
              <w:t xml:space="preserve"> 补贴金额（元）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bookmarkStart w:id="0" w:name="_GoBack" w:colFirst="2" w:colLast="2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领航集团（国际）有限公司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166,081.19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澳门人文投资有限公司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148,468.68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满利建筑装修工程有限公司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45,930.89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姬仕国际（香港）有限公司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110,786.70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5"/>
                <w:lang w:val="en-US" w:eastAsia="zh-CN" w:bidi="ar"/>
              </w:rPr>
              <w:t>尼澳贸易及品牌顾问服务有限公司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72,693.60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rHeight w:val="336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5"/>
                <w:rFonts w:hint="default"/>
                <w:lang w:val="en-US" w:eastAsia="zh-CN" w:bidi="ar"/>
              </w:rPr>
            </w:pPr>
            <w:r>
              <w:rPr>
                <w:rStyle w:val="5"/>
                <w:rFonts w:hint="eastAsia"/>
                <w:lang w:val="en-US" w:eastAsia="zh-CN" w:bidi="ar"/>
              </w:rPr>
              <w:t>钜通科技有限公司</w:t>
            </w:r>
          </w:p>
        </w:tc>
        <w:tc>
          <w:tcPr>
            <w:tcW w:w="3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74097.29</w:t>
            </w:r>
          </w:p>
        </w:tc>
      </w:tr>
      <w:bookmarkEnd w:id="0"/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7020304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EE30BBA"/>
    <w:rsid w:val="7EE30BBA"/>
    <w:rsid w:val="DF6B732A"/>
    <w:rsid w:val="FFEB0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5">
    <w:name w:val="font31"/>
    <w:basedOn w:val="3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Office_6.5.2.8766_F1E327BC-269C-435d-A152-05C5408002CA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2024-08-10T08:48:00Z</dcterms:created>
  <dc:creator>周扬</dc:creator>
  <cp:lastModifiedBy>周扬</cp:lastModifiedBy>
  <dcterms:modified xsi:type="dcterms:W3CDTF">2024-09-26T15:45:25Z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3A636A64ED73080FF1D7B5666B5B1BE1_41</vt:lpwstr>
  </property>
</Properties>
</file>