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附件1：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40"/>
          <w:szCs w:val="40"/>
        </w:rPr>
      </w:pPr>
      <w:r>
        <w:rPr>
          <w:rFonts w:hint="eastAsia" w:ascii="黑体" w:hAnsi="黑体" w:eastAsia="黑体" w:cs="黑体"/>
          <w:i w:val="0"/>
          <w:caps w:val="0"/>
          <w:spacing w:val="0"/>
          <w:sz w:val="40"/>
          <w:szCs w:val="40"/>
          <w:shd w:val="clear"/>
        </w:rPr>
        <w:t>横琴粤澳深度合作区城市规划和建设局</w:t>
      </w:r>
      <w:r>
        <w:rPr>
          <w:rFonts w:hint="eastAsia" w:ascii="黑体" w:hAnsi="黑体" w:eastAsia="黑体" w:cs="黑体"/>
          <w:sz w:val="40"/>
          <w:szCs w:val="40"/>
          <w:lang w:eastAsia="zh-CN"/>
        </w:rPr>
        <w:t>楼宇夜景照明远程控制设备采购安装服务</w:t>
      </w:r>
      <w:r>
        <w:rPr>
          <w:rFonts w:hint="eastAsia" w:ascii="黑体" w:hAnsi="黑体" w:eastAsia="黑体" w:cs="黑体"/>
          <w:b w:val="0"/>
          <w:bCs w:val="0"/>
          <w:sz w:val="40"/>
          <w:szCs w:val="40"/>
        </w:rPr>
        <w:t>需求书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40"/>
          <w:szCs w:val="40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267"/>
        <w:gridCol w:w="5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采购项目名称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/>
              </w:rPr>
              <w:t>横琴粤澳深度合作区城市规划和建设局</w:t>
            </w: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/>
                <w:lang w:val="en-US" w:eastAsia="zh-CN"/>
              </w:rPr>
              <w:t>楼宇夜景照明远程控制设备采购安装服务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人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横琴粤澳深度合作区城市规划和建设局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资格（资质）要求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提供《资格条件承诺函》按提供的承诺函格式响应）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</w:rPr>
              <w:t>1.具有独立承担民事责任的能力；</w:t>
            </w:r>
          </w:p>
          <w:p>
            <w:p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</w:rPr>
              <w:t>2.具有良好的商业信誉和健全的财务会计制度；</w:t>
            </w:r>
          </w:p>
          <w:p>
            <w:p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</w:rPr>
              <w:t>3.具有履行合同所必需的设备和专业技术能力；</w:t>
            </w:r>
          </w:p>
          <w:p>
            <w:p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</w:rPr>
              <w:t>4.有依法缴纳税收和社会保障资金的良好记录；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</w:rPr>
            </w:pP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</w:rPr>
              <w:t>5.参加政府采购活动前三年内，在经营活动中没有重大违法记录；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  <w:lang w:val="en-US" w:eastAsia="zh-CN"/>
              </w:rPr>
              <w:t>6.投标人未被列入“信用中国”网站（www.creditchina.gov.cn）以下任意记录名单之一：①失信被执行人；②重大税收违法失信主体；③政府采购严重违法失信行为。同时，不处于中国政府采购网(www.ccgp.gov.cn)“政府采购严重违法失信行为信息记录”中的禁止参加政府采购活动期间。说明：①由负责资格审查人员于资格审查时在“信用中国”网站（www.creditchina.gov.cn）及中国政府采购网(www.ccgp.gov.cn)查询结果为准。上述网站查询页面不能显示投标人相关查询信息的,视为投标人满足上述要求。投标人分支机构不满足信用信息相关要求的,也视为投标人不满足要求。</w:t>
            </w:r>
          </w:p>
          <w:p>
            <w:p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</w:rPr>
              <w:t>.法律、行政法规规定的其他条件。</w:t>
            </w:r>
          </w:p>
          <w:p>
            <w:pPr>
              <w:widowControl/>
              <w:numPr>
                <w:ilvl w:val="-1"/>
                <w:numId w:val="0"/>
              </w:numPr>
              <w:spacing w:line="360" w:lineRule="auto"/>
              <w:ind w:firstLine="0" w:firstLineChars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项目背景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为做好横琴粤澳深度合作区楼宇夜景照明管理工作</w:t>
            </w: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</w:rPr>
              <w:t>，现</w:t>
            </w: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  <w:lang w:eastAsia="zh-CN"/>
              </w:rPr>
              <w:t>开展楼宇夜景照明远程控制设备采购及安装工作。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5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-1"/>
                <w:numId w:val="0"/>
              </w:numPr>
              <w:spacing w:line="360" w:lineRule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1.前期准备：项目前期中标人负责与各楼宇泛光业主就该项目开展沟通工作。</w:t>
            </w:r>
          </w:p>
          <w:p>
            <w:pPr>
              <w:numPr>
                <w:ilvl w:val="-1"/>
                <w:numId w:val="0"/>
              </w:numPr>
              <w:spacing w:line="360" w:lineRule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2.设备采购：楼宇夜景照明远程控制设备需满足如下功能：</w:t>
            </w:r>
          </w:p>
          <w:p>
            <w:pPr>
              <w:numPr>
                <w:ilvl w:val="-1"/>
                <w:numId w:val="0"/>
              </w:numPr>
              <w:spacing w:line="360" w:lineRule="auto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(1)有独立控制箱，与楼宇泛光控制箱产权清晰。</w:t>
            </w:r>
          </w:p>
          <w:p>
            <w:pPr>
              <w:numPr>
                <w:ilvl w:val="-1"/>
                <w:numId w:val="0"/>
              </w:numPr>
              <w:spacing w:line="360" w:lineRule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(2)设备功能要求：采集三相电流、电压、有功、无功、可视功率、频率、有功电能、无功电能等电参数；具有有功、无功电能:分时计费、峰平谷时段数据采集功能。</w:t>
            </w:r>
          </w:p>
          <w:p>
            <w:pPr>
              <w:numPr>
                <w:ilvl w:val="-1"/>
                <w:numId w:val="0"/>
              </w:numPr>
              <w:spacing w:line="360" w:lineRule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(3)设备带远程控制功能且具备系统平台，包括手机APP和PC端界面。</w:t>
            </w:r>
          </w:p>
          <w:p>
            <w:pPr>
              <w:numPr>
                <w:ilvl w:val="-1"/>
                <w:numId w:val="0"/>
              </w:numPr>
              <w:spacing w:line="360" w:lineRule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3.安装工作：</w:t>
            </w:r>
          </w:p>
          <w:p>
            <w:pPr>
              <w:numPr>
                <w:ilvl w:val="-1"/>
                <w:numId w:val="0"/>
              </w:numPr>
              <w:spacing w:line="360" w:lineRule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(1)现场安装工作要与各楼宇业主做好协商，包括电箱迁移位置、停电送电工作等；</w:t>
            </w:r>
          </w:p>
          <w:p>
            <w:pPr>
              <w:numPr>
                <w:ilvl w:val="-1"/>
                <w:numId w:val="0"/>
              </w:numPr>
              <w:spacing w:line="360" w:lineRule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(2)电缆接头制作需与原电缆同材质同线径；</w:t>
            </w:r>
          </w:p>
          <w:p>
            <w:pPr>
              <w:numPr>
                <w:ilvl w:val="-1"/>
                <w:numId w:val="0"/>
              </w:numPr>
              <w:spacing w:line="360" w:lineRule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(3)新安装的控制箱采用304不锈钢材质；</w:t>
            </w:r>
          </w:p>
          <w:p>
            <w:pPr>
              <w:numPr>
                <w:ilvl w:val="-1"/>
                <w:numId w:val="0"/>
              </w:numPr>
              <w:spacing w:line="360" w:lineRule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(4)终端设备的安装调试工作。</w:t>
            </w:r>
          </w:p>
          <w:p>
            <w:pPr>
              <w:widowControl/>
              <w:spacing w:line="288" w:lineRule="auto"/>
              <w:ind w:firstLine="480" w:firstLineChars="2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合同履行地点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横琴粤澳深度合作区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预算金额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99.53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bookmarkStart w:id="0" w:name="_GoBack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服务时间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</w:rPr>
              <w:t>自</w:t>
            </w: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  <w:lang w:eastAsia="zh-CN"/>
              </w:rPr>
              <w:t>合同</w:t>
            </w: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</w:rPr>
              <w:t>签订</w:t>
            </w: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  <w:lang w:eastAsia="zh-CN"/>
              </w:rPr>
              <w:t>之日起至完成设备采购和安装工作，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成果及资料移交采购人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评标方法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综合评分法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结算方式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验收合格后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全额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支付合同金额。具体以合同约定为准。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2"/>
      <w:suff w:val="nothing"/>
      <w:lvlText w:val="（%2）"/>
      <w:lvlJc w:val="left"/>
      <w:pPr>
        <w:ind w:left="3828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3NTRjN2E5MDMxMjZiMjZiMjkzYWRiNmY2YzQxODAifQ=="/>
    <w:docVar w:name="KSO_WPS_MARK_KEY" w:val="318b446b-aa9b-4745-b19f-2a647b84cae2"/>
  </w:docVars>
  <w:rsids>
    <w:rsidRoot w:val="00172A27"/>
    <w:rsid w:val="001C08C2"/>
    <w:rsid w:val="0026133B"/>
    <w:rsid w:val="00302DEF"/>
    <w:rsid w:val="00466CA0"/>
    <w:rsid w:val="009E2140"/>
    <w:rsid w:val="00D143A2"/>
    <w:rsid w:val="03B215EE"/>
    <w:rsid w:val="0462359B"/>
    <w:rsid w:val="04816840"/>
    <w:rsid w:val="049D645E"/>
    <w:rsid w:val="057C48E4"/>
    <w:rsid w:val="057E686F"/>
    <w:rsid w:val="061E599B"/>
    <w:rsid w:val="077D051E"/>
    <w:rsid w:val="091357CD"/>
    <w:rsid w:val="095553FE"/>
    <w:rsid w:val="098D5D5C"/>
    <w:rsid w:val="09C336F9"/>
    <w:rsid w:val="0B7755A8"/>
    <w:rsid w:val="0C286E81"/>
    <w:rsid w:val="0C9F6AEA"/>
    <w:rsid w:val="0D0B14D7"/>
    <w:rsid w:val="0E0363F7"/>
    <w:rsid w:val="0EAF1E9E"/>
    <w:rsid w:val="0F647F2A"/>
    <w:rsid w:val="10722C04"/>
    <w:rsid w:val="12912183"/>
    <w:rsid w:val="163755DF"/>
    <w:rsid w:val="16CA4630"/>
    <w:rsid w:val="18223D9E"/>
    <w:rsid w:val="1861198A"/>
    <w:rsid w:val="196E1150"/>
    <w:rsid w:val="1A595475"/>
    <w:rsid w:val="1F2673CC"/>
    <w:rsid w:val="1F805480"/>
    <w:rsid w:val="20F00076"/>
    <w:rsid w:val="224A2055"/>
    <w:rsid w:val="22BD6608"/>
    <w:rsid w:val="2362583A"/>
    <w:rsid w:val="23D24931"/>
    <w:rsid w:val="24B658AA"/>
    <w:rsid w:val="265375EF"/>
    <w:rsid w:val="268F603B"/>
    <w:rsid w:val="27E61EEB"/>
    <w:rsid w:val="27FD47AF"/>
    <w:rsid w:val="28F44D50"/>
    <w:rsid w:val="294D06DD"/>
    <w:rsid w:val="2BEC7BF8"/>
    <w:rsid w:val="2C1045E9"/>
    <w:rsid w:val="2C5A4FAA"/>
    <w:rsid w:val="2C90472A"/>
    <w:rsid w:val="2E2D14FA"/>
    <w:rsid w:val="2FFB5AD1"/>
    <w:rsid w:val="3140218A"/>
    <w:rsid w:val="32A22741"/>
    <w:rsid w:val="32A8263B"/>
    <w:rsid w:val="333945D1"/>
    <w:rsid w:val="336432D9"/>
    <w:rsid w:val="34232BA8"/>
    <w:rsid w:val="347A1BA5"/>
    <w:rsid w:val="34C144CB"/>
    <w:rsid w:val="363D1B3B"/>
    <w:rsid w:val="38920262"/>
    <w:rsid w:val="38AE12A0"/>
    <w:rsid w:val="3A3A6493"/>
    <w:rsid w:val="3A4B0479"/>
    <w:rsid w:val="3AB9370D"/>
    <w:rsid w:val="3AFF7E44"/>
    <w:rsid w:val="3CE76110"/>
    <w:rsid w:val="3D1068E1"/>
    <w:rsid w:val="3D3650FF"/>
    <w:rsid w:val="3D384409"/>
    <w:rsid w:val="3E5314F2"/>
    <w:rsid w:val="3F087025"/>
    <w:rsid w:val="3F3E4676"/>
    <w:rsid w:val="426A76FB"/>
    <w:rsid w:val="42C17CB1"/>
    <w:rsid w:val="441036FC"/>
    <w:rsid w:val="45353754"/>
    <w:rsid w:val="46313261"/>
    <w:rsid w:val="48013087"/>
    <w:rsid w:val="48922FD3"/>
    <w:rsid w:val="48CE1098"/>
    <w:rsid w:val="4A174352"/>
    <w:rsid w:val="4A490FC0"/>
    <w:rsid w:val="4B516150"/>
    <w:rsid w:val="4BE41869"/>
    <w:rsid w:val="4C6953B9"/>
    <w:rsid w:val="4D7E45B6"/>
    <w:rsid w:val="4D891B3C"/>
    <w:rsid w:val="4EF10441"/>
    <w:rsid w:val="500C36C3"/>
    <w:rsid w:val="520466BB"/>
    <w:rsid w:val="523031BD"/>
    <w:rsid w:val="52423A84"/>
    <w:rsid w:val="5536507F"/>
    <w:rsid w:val="557A08DD"/>
    <w:rsid w:val="55940BD0"/>
    <w:rsid w:val="582A575A"/>
    <w:rsid w:val="58A7143A"/>
    <w:rsid w:val="597D2197"/>
    <w:rsid w:val="5BFC66DC"/>
    <w:rsid w:val="5E373C38"/>
    <w:rsid w:val="5EEC513F"/>
    <w:rsid w:val="5F443305"/>
    <w:rsid w:val="638A7DB6"/>
    <w:rsid w:val="652A2C26"/>
    <w:rsid w:val="662D0EF3"/>
    <w:rsid w:val="66A366F3"/>
    <w:rsid w:val="688438D2"/>
    <w:rsid w:val="68DD6D92"/>
    <w:rsid w:val="6B0A4F7E"/>
    <w:rsid w:val="6B166ABD"/>
    <w:rsid w:val="6B653E03"/>
    <w:rsid w:val="6EC57C5E"/>
    <w:rsid w:val="71CD6CCA"/>
    <w:rsid w:val="71D51289"/>
    <w:rsid w:val="72123857"/>
    <w:rsid w:val="73856385"/>
    <w:rsid w:val="742007D4"/>
    <w:rsid w:val="751C74CA"/>
    <w:rsid w:val="7551523D"/>
    <w:rsid w:val="76053C0E"/>
    <w:rsid w:val="77B4204D"/>
    <w:rsid w:val="7882271E"/>
    <w:rsid w:val="7924600F"/>
    <w:rsid w:val="796257F8"/>
    <w:rsid w:val="7AA46EDB"/>
    <w:rsid w:val="7AB9467C"/>
    <w:rsid w:val="7BED40DD"/>
    <w:rsid w:val="7F855912"/>
    <w:rsid w:val="7FD4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500" w:lineRule="exact"/>
      <w:ind w:right="8" w:rightChars="8" w:firstLine="640"/>
    </w:pPr>
    <w:rPr>
      <w:rFonts w:ascii="楷体_GB2312" w:hAnsi="Times New Roman" w:eastAsia="楷体_GB2312" w:cs="Times New Roman"/>
      <w:sz w:val="30"/>
      <w:szCs w:val="32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pacing w:val="0"/>
      <w:sz w:val="21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3268</Words>
  <Characters>3412</Characters>
  <Lines>10</Lines>
  <Paragraphs>2</Paragraphs>
  <TotalTime>170</TotalTime>
  <ScaleCrop>false</ScaleCrop>
  <LinksUpToDate>false</LinksUpToDate>
  <CharactersWithSpaces>3418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2023-04-14T17:17:00Z</dcterms:created>
  <dc:creator>郭晓升</dc:creator>
  <cp:lastModifiedBy>张亦超</cp:lastModifiedBy>
  <cp:lastPrinted>2024-10-21T07:21:17Z</cp:lastPrinted>
  <dcterms:modified xsi:type="dcterms:W3CDTF">2024-10-21T09:15:37Z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AC9E138EE9CE456F881F915C745C0CAD</vt:lpwstr>
  </property>
</Properties>
</file>