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adjustRightInd w:val="0"/>
        <w:spacing w:line="560" w:lineRule="exact"/>
        <w:ind w:right="1104"/>
        <w:jc w:val="both"/>
        <w:rPr>
          <w:rFonts w:hint="eastAsia" w:ascii="仿宋_GB2312" w:eastAsia="仿宋_GB2312"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color w:val="000000"/>
          <w:kern w:val="2"/>
          <w:sz w:val="32"/>
        </w:rPr>
        <w:t>附件1</w:t>
      </w:r>
      <w:r>
        <w:rPr>
          <w:rFonts w:hint="eastAsia" w:ascii="仿宋_GB2312" w:eastAsia="仿宋_GB2312"/>
          <w:color w:val="000000"/>
          <w:kern w:val="2"/>
          <w:sz w:val="32"/>
          <w:lang w:eastAsia="zh-CN"/>
        </w:rPr>
        <w:t>：</w:t>
      </w:r>
    </w:p>
    <w:tbl>
      <w:tblPr>
        <w:tblStyle w:val="4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616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46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评价指标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分值</w:t>
            </w:r>
          </w:p>
        </w:tc>
        <w:tc>
          <w:tcPr>
            <w:tcW w:w="726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技术部分（45分）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横琴粤澳深度合作区城市规划和建设局在建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工程承接查验服务</w:t>
            </w:r>
            <w:r>
              <w:rPr>
                <w:rFonts w:hint="eastAsia" w:ascii="仿宋" w:hAnsi="仿宋" w:eastAsia="仿宋" w:cs="宋体"/>
                <w:szCs w:val="21"/>
              </w:rPr>
              <w:t>项目的总体理解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15</w:t>
            </w:r>
          </w:p>
        </w:tc>
        <w:tc>
          <w:tcPr>
            <w:tcW w:w="7262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根据供应商对本项目的认识及理解、对项目重点、难点分析把握，进行综合评分：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1.对项目建设背景、需求及现状深入分析、理解透彻，且具有清晰的总体建设思路，得15分；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2.对项目建设背景、需求及现状有简单分析、理解较深，且具有的总体建设思路，得10分；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3.对项目建设背景、需求及现状有分析、理解较浅，总体建设思路模糊，得5分；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注：未提供方案得0分。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14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技术响应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30</w:t>
            </w:r>
          </w:p>
        </w:tc>
        <w:tc>
          <w:tcPr>
            <w:tcW w:w="7262" w:type="dxa"/>
            <w:vAlign w:val="center"/>
          </w:tcPr>
          <w:p>
            <w:pPr>
              <w:pStyle w:val="7"/>
              <w:ind w:left="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1、对服务方案需求响应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：提供项目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查验目的、查验范围、查验内容及方式的</w:t>
            </w:r>
            <w:r>
              <w:rPr>
                <w:rFonts w:ascii="仿宋" w:hAnsi="仿宋" w:eastAsia="仿宋" w:cs="仿宋"/>
                <w:color w:val="000000"/>
                <w:szCs w:val="21"/>
                <w:highlight w:val="none"/>
              </w:rPr>
              <w:t>分析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、项目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检查标准体系编制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检查工作计划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检查工作流程（首次检查流程、评估组织、所需配合事项、所需检查检测工具、成果输出）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等方案的响应情况，评审委员会针对所有方案进行综合横向评分：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优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25分、良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分、中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分、差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0分。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2、服务能力承诺：投标人具有能力且能够提供满足采购人对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横琴粤澳深度合作区城市规划和建设局在建</w:t>
            </w:r>
            <w:r>
              <w:rPr>
                <w:rFonts w:hint="eastAsia" w:ascii="仿宋" w:hAnsi="仿宋" w:eastAsia="仿宋" w:cs="宋体"/>
                <w:szCs w:val="21"/>
                <w:highlight w:val="none"/>
                <w:lang w:eastAsia="zh-CN"/>
              </w:rPr>
              <w:t>工程承接查验服务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的需求</w:t>
            </w:r>
            <w:r>
              <w:rPr>
                <w:rFonts w:ascii="仿宋" w:hAnsi="仿宋" w:eastAsia="仿宋" w:cs="仿宋"/>
                <w:color w:val="000000"/>
                <w:szCs w:val="21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提供服务能力承诺书，格式自拟）。评审委员会针对所有方案进行综合横向评分。优5分、良3分、中1分、差0分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商务部分（45分）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相关业绩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6</w:t>
            </w:r>
          </w:p>
        </w:tc>
        <w:tc>
          <w:tcPr>
            <w:tcW w:w="7262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根据供应商自2020年1月1日以来（以合同签订时间为准）承接过相关业绩合同的情况进行评分，每个业绩得</w:t>
            </w:r>
            <w:r>
              <w:rPr>
                <w:rFonts w:hint="eastAsia" w:ascii="仿宋" w:hAnsi="仿宋" w:eastAsia="仿宋" w:cs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分；本项满分</w:t>
            </w:r>
            <w:r>
              <w:rPr>
                <w:rFonts w:hint="eastAsia" w:ascii="仿宋" w:hAnsi="仿宋" w:eastAsia="仿宋" w:cs="宋体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分。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注：响应文件中须提供相关的合同关键页（含签订合同双方的单位名称、合同项目名称与含签订合同双方的落款盖章、签订日期的关键页）复印件，否则不计分。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7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拟投入项目技术人员情况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8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15</w:t>
            </w:r>
          </w:p>
        </w:tc>
        <w:tc>
          <w:tcPr>
            <w:tcW w:w="7262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1.拟安排的项目负责人（仅限1人）须为投标人自有员工：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（1）具有建设工程相关专业学历的，全日制本科学历得</w:t>
            </w:r>
            <w:r>
              <w:rPr>
                <w:rFonts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（2）具有一级建造师执业资格证书的，得</w:t>
            </w:r>
            <w:r>
              <w:rPr>
                <w:rFonts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（3）具有工程建设类副高级职称，得</w:t>
            </w:r>
            <w:r>
              <w:rPr>
                <w:rFonts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（4）具有</w:t>
            </w:r>
            <w:r>
              <w:rPr>
                <w:rFonts w:ascii="仿宋" w:hAnsi="仿宋" w:eastAsia="仿宋" w:cs="宋体"/>
                <w:szCs w:val="21"/>
              </w:rPr>
              <w:t>15</w:t>
            </w:r>
            <w:r>
              <w:rPr>
                <w:rFonts w:hint="eastAsia" w:ascii="仿宋" w:hAnsi="仿宋" w:eastAsia="仿宋" w:cs="宋体"/>
                <w:szCs w:val="21"/>
              </w:rPr>
              <w:t>年从事建设类项目管理工作经验的，得</w:t>
            </w:r>
            <w:r>
              <w:rPr>
                <w:rFonts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以上4项，累计最高得5分。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2.拟安排的项目团队成员须为投标人自有员工且不少于</w:t>
            </w:r>
            <w:r>
              <w:rPr>
                <w:rFonts w:ascii="仿宋" w:hAnsi="仿宋" w:eastAsia="仿宋" w:cs="宋体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szCs w:val="21"/>
              </w:rPr>
              <w:t>人，满足以下三项条件: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（1）具有本科及以上学历；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（2）具有建设工程类中级职称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或以上级别</w:t>
            </w:r>
            <w:r>
              <w:rPr>
                <w:rFonts w:hint="eastAsia" w:ascii="仿宋" w:hAnsi="仿宋" w:eastAsia="仿宋" w:cs="宋体"/>
                <w:szCs w:val="21"/>
              </w:rPr>
              <w:t>；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（3）具有二级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或以上级别</w:t>
            </w:r>
            <w:r>
              <w:rPr>
                <w:rFonts w:hint="eastAsia" w:ascii="仿宋" w:hAnsi="仿宋" w:eastAsia="仿宋" w:cs="宋体"/>
                <w:szCs w:val="21"/>
              </w:rPr>
              <w:t>建造师执业资格证书；</w:t>
            </w: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每少1名，扣减</w:t>
            </w:r>
            <w:r>
              <w:rPr>
                <w:rFonts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分，扣完1</w:t>
            </w:r>
            <w:r>
              <w:rPr>
                <w:rFonts w:ascii="仿宋" w:hAnsi="仿宋" w:eastAsia="仿宋" w:cs="宋体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szCs w:val="21"/>
              </w:rPr>
              <w:t>分为止。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提供上述人员职称证、执业资格证书、毕业证书及在供应商单位的社保证明（响应文件截止之日前三个月内任意一个月）复印件加盖供应商公章，同一人不能重复得分。退休返聘人员无法提供社保证明的，须同时提供退休证明和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返聘协议</w:t>
            </w:r>
            <w:r>
              <w:rPr>
                <w:rFonts w:hint="eastAsia" w:ascii="仿宋" w:hAnsi="仿宋" w:eastAsia="仿宋" w:cs="宋体"/>
                <w:szCs w:val="21"/>
              </w:rPr>
              <w:t>复印件加盖公章。为了便于评委评审，请在相关社保证明材料中标识出上述人员。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企业资质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9</w:t>
            </w:r>
          </w:p>
        </w:tc>
        <w:tc>
          <w:tcPr>
            <w:tcW w:w="7262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供应商获得有效的</w:t>
            </w:r>
            <w:r>
              <w:rPr>
                <w:rFonts w:hint="eastAsia" w:ascii="仿宋" w:hAnsi="仿宋" w:eastAsia="仿宋" w:cs="宋体"/>
                <w:color w:val="333333"/>
                <w:szCs w:val="21"/>
              </w:rPr>
              <w:t>质量管理体系认证证书、环境管理体系认证证书、职业健康安全管理体系认证证书</w:t>
            </w:r>
            <w:r>
              <w:rPr>
                <w:rFonts w:hint="eastAsia" w:ascii="仿宋" w:hAnsi="仿宋" w:eastAsia="仿宋" w:cs="宋体"/>
                <w:szCs w:val="21"/>
              </w:rPr>
              <w:t>，每个得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Cs w:val="21"/>
              </w:rPr>
              <w:t>分，最多得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注：响应文件中须提供相应的有效证书复印件，管理体系认证须同时提供在“全国认证认可信息公共服务平台”对体系证书的信息查询截图作为评审依据，已失效或撤销的不得分。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诚信评分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</w:t>
            </w:r>
          </w:p>
        </w:tc>
        <w:tc>
          <w:tcPr>
            <w:tcW w:w="7262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依据《关于加强珠海市政府采购供应商诚信管理有关事项的通知》珠财采通〔2022〕20号文规定，采购代理机构在评审活动开始前（评审当天），通过广东政府采购网“其他监管检查公告”栏和珠海市财政局网站“信用财政”栏查询投标（响应）供应商诚信状况，提供给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Cs w:val="21"/>
              </w:rPr>
              <w:t>评审委员会，由评审委员会根据以下公式进行评审：投标（响应）供应商得分=诚信记录得分×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Cs w:val="21"/>
              </w:rPr>
              <w:t>%。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注：首次参加珠海市政府采购活动的供应商诚信管理基础得分为100 分，在广东政府采购网“其他监管检查公告”栏和珠海市财政局网站“信用财政”栏查询不到相关供应商扣分记录的，视为该供应商年度诚信记录得分为100分。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344" w:type="dxa"/>
            <w:gridSpan w:val="3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价格部分（10分）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经济价格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</w:t>
            </w:r>
          </w:p>
        </w:tc>
        <w:tc>
          <w:tcPr>
            <w:tcW w:w="7262" w:type="dxa"/>
            <w:vAlign w:val="center"/>
          </w:tcPr>
          <w:p>
            <w:pPr>
              <w:pStyle w:val="2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经济价格得分=(评标基准价/评标价)×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0%×100            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上述公式中的“评标基准价”为满足项目需求的最低评标价，其价格得分为满分。上述公式中的“评标价”为在报价基础上作算术修正后的价格，无算术修正情况下，报价即为评标价。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80C11"/>
    <w:rsid w:val="4E7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2024-10-22T06:30:00Z</dcterms:created>
  <dc:creator>dell</dc:creator>
  <cp:lastModifiedBy>Jiaiaia</cp:lastModifiedBy>
  <dcterms:modified xsi:type="dcterms:W3CDTF">2024-10-22T06:57:17Z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