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val="0"/>
        <w:adjustRightInd w:val="0"/>
        <w:spacing w:line="560" w:lineRule="exact"/>
        <w:ind w:right="1104"/>
        <w:jc w:val="center"/>
        <w:rPr>
          <w:rFonts w:ascii="仿宋_GB2312" w:eastAsia="仿宋_GB2312"/>
          <w:kern w:val="2"/>
          <w:sz w:val="32"/>
        </w:rPr>
      </w:pPr>
    </w:p>
    <w:p>
      <w:pPr>
        <w:pStyle w:val="26"/>
        <w:widowControl w:val="0"/>
        <w:adjustRightInd w:val="0"/>
        <w:spacing w:line="560" w:lineRule="exact"/>
        <w:ind w:right="1104"/>
        <w:jc w:val="center"/>
        <w:rPr>
          <w:rFonts w:ascii="仿宋_GB2312" w:hAnsi="仿宋_GB2312" w:eastAsia="仿宋_GB2312"/>
          <w:kern w:val="2"/>
          <w:sz w:val="32"/>
          <w:szCs w:val="32"/>
        </w:rPr>
      </w:pPr>
    </w:p>
    <w:p>
      <w:pPr>
        <w:jc w:val="center"/>
        <w:rPr>
          <w:b/>
          <w:bCs/>
          <w:sz w:val="44"/>
          <w:szCs w:val="44"/>
          <w:lang w:eastAsia="zh-TW"/>
        </w:rPr>
      </w:pPr>
    </w:p>
    <w:p>
      <w:pPr>
        <w:rPr>
          <w:b/>
          <w:bCs/>
          <w:sz w:val="44"/>
          <w:szCs w:val="44"/>
          <w:lang w:eastAsia="zh-TW"/>
        </w:rPr>
      </w:pPr>
    </w:p>
    <w:p>
      <w:pPr>
        <w:rPr>
          <w:b/>
          <w:bCs/>
          <w:sz w:val="44"/>
          <w:szCs w:val="44"/>
          <w:lang w:eastAsia="zh-TW"/>
        </w:rPr>
      </w:pPr>
    </w:p>
    <w:p>
      <w:pPr>
        <w:jc w:val="center"/>
        <w:rPr>
          <w:b/>
          <w:bCs/>
          <w:sz w:val="44"/>
          <w:szCs w:val="44"/>
          <w:lang w:eastAsia="zh-TW"/>
        </w:rPr>
      </w:pPr>
    </w:p>
    <w:p>
      <w:pPr>
        <w:jc w:val="center"/>
        <w:rPr>
          <w:b/>
          <w:bCs/>
          <w:sz w:val="44"/>
          <w:szCs w:val="44"/>
          <w:lang w:eastAsia="zh-TW"/>
        </w:rPr>
      </w:pPr>
    </w:p>
    <w:p>
      <w:pPr>
        <w:pStyle w:val="12"/>
        <w:rPr>
          <w:lang w:eastAsia="zh-TW"/>
        </w:rPr>
      </w:pPr>
    </w:p>
    <w:p>
      <w:pPr>
        <w:jc w:val="center"/>
        <w:rPr>
          <w:b/>
          <w:bCs/>
          <w:sz w:val="44"/>
          <w:szCs w:val="44"/>
          <w:lang w:eastAsia="zh-TW"/>
        </w:rPr>
      </w:pPr>
    </w:p>
    <w:p>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pPr>
        <w:jc w:val="center"/>
        <w:rPr>
          <w:b/>
          <w:bCs/>
          <w:sz w:val="44"/>
          <w:szCs w:val="44"/>
        </w:rPr>
      </w:pPr>
    </w:p>
    <w:p>
      <w:pPr>
        <w:rPr>
          <w:b/>
          <w:bCs/>
          <w:sz w:val="44"/>
          <w:szCs w:val="44"/>
        </w:rPr>
      </w:pPr>
    </w:p>
    <w:p>
      <w:pPr>
        <w:rPr>
          <w:b/>
          <w:bCs/>
          <w:sz w:val="44"/>
          <w:szCs w:val="44"/>
        </w:rPr>
      </w:pPr>
    </w:p>
    <w:p>
      <w:pPr>
        <w:pStyle w:val="12"/>
        <w:rPr>
          <w:b/>
          <w:bCs/>
          <w:sz w:val="44"/>
          <w:szCs w:val="44"/>
        </w:rPr>
      </w:pPr>
    </w:p>
    <w:p>
      <w:pPr>
        <w:pStyle w:val="12"/>
        <w:ind w:left="0" w:firstLine="0"/>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ind w:left="0" w:firstLine="0"/>
        <w:rPr>
          <w:rFonts w:hint="eastAsia"/>
          <w:b/>
          <w:bCs/>
          <w:sz w:val="44"/>
          <w:szCs w:val="44"/>
        </w:rPr>
      </w:pPr>
    </w:p>
    <w:p>
      <w:pPr>
        <w:pStyle w:val="12"/>
        <w:ind w:left="0" w:firstLine="0"/>
        <w:rPr>
          <w:b/>
          <w:bCs/>
          <w:sz w:val="44"/>
          <w:szCs w:val="44"/>
        </w:rPr>
      </w:pPr>
      <w:r>
        <w:rPr>
          <w:rFonts w:hint="eastAsia"/>
          <w:b/>
          <w:bCs/>
          <w:sz w:val="44"/>
          <w:szCs w:val="44"/>
        </w:rPr>
        <w:t xml:space="preserve">             </w:t>
      </w:r>
    </w:p>
    <w:p>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pPr>
        <w:pStyle w:val="25"/>
        <w:spacing w:line="579" w:lineRule="exact"/>
        <w:ind w:firstLine="640"/>
        <w:rPr>
          <w:rFonts w:ascii="仿宋" w:hAnsi="仿宋" w:eastAsia="仿宋" w:cs="仿宋"/>
          <w:bCs/>
          <w:sz w:val="32"/>
          <w:szCs w:val="32"/>
        </w:rPr>
      </w:pPr>
      <w:r>
        <w:rPr>
          <w:rFonts w:hint="eastAsia" w:ascii="仿宋" w:hAnsi="仿宋" w:eastAsia="仿宋" w:cs="仿宋"/>
          <w:bCs/>
          <w:sz w:val="32"/>
          <w:szCs w:val="32"/>
        </w:rPr>
        <w:t>横琴粤澳深度合作区碳普惠平台运营及推广项目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pStyle w:val="25"/>
        <w:spacing w:line="579" w:lineRule="exact"/>
        <w:ind w:firstLine="640"/>
        <w:rPr>
          <w:rFonts w:hint="eastAsia" w:ascii="仿宋" w:hAnsi="仿宋" w:eastAsia="仿宋" w:cs="仿宋"/>
          <w:bCs/>
          <w:sz w:val="32"/>
          <w:szCs w:val="32"/>
        </w:rPr>
      </w:pPr>
      <w:r>
        <w:rPr>
          <w:rFonts w:hint="eastAsia" w:ascii="仿宋" w:hAnsi="仿宋" w:eastAsia="仿宋" w:cs="仿宋"/>
          <w:bCs/>
          <w:sz w:val="32"/>
          <w:szCs w:val="32"/>
          <w:lang w:eastAsia="zh-CN"/>
        </w:rPr>
        <w:t>为切实执行《横琴粤澳深度合作区总体发展规划》</w:t>
      </w:r>
      <w:r>
        <w:rPr>
          <w:rFonts w:hint="eastAsia" w:ascii="仿宋" w:hAnsi="仿宋" w:eastAsia="仿宋" w:cs="仿宋"/>
          <w:bCs/>
          <w:sz w:val="32"/>
          <w:szCs w:val="32"/>
        </w:rPr>
        <w:t>《横琴粤澳深度合作区碳中和试点建设总体规划》</w:t>
      </w:r>
      <w:r>
        <w:rPr>
          <w:rFonts w:hint="eastAsia" w:ascii="仿宋" w:hAnsi="仿宋" w:eastAsia="仿宋" w:cs="仿宋"/>
          <w:bCs/>
          <w:sz w:val="32"/>
          <w:szCs w:val="32"/>
          <w:lang w:eastAsia="zh-CN"/>
        </w:rPr>
        <w:t>等要求</w:t>
      </w:r>
      <w:r>
        <w:rPr>
          <w:rFonts w:hint="eastAsia" w:ascii="仿宋" w:hAnsi="仿宋" w:eastAsia="仿宋" w:cs="仿宋"/>
          <w:bCs/>
          <w:sz w:val="32"/>
          <w:szCs w:val="32"/>
        </w:rPr>
        <w:t>，横琴粤澳深度合作区（以下简称合作区）向绿而行，稳步推进碳中和试点建设，创新低碳发展新模式，探索建立具有地方特色的碳普惠机制，搭建了“琴碳星人”碳普惠平台。</w:t>
      </w:r>
      <w:r>
        <w:rPr>
          <w:rFonts w:hint="eastAsia" w:ascii="仿宋" w:hAnsi="仿宋" w:eastAsia="仿宋" w:cs="仿宋"/>
          <w:bCs/>
          <w:sz w:val="32"/>
          <w:szCs w:val="32"/>
          <w:lang w:eastAsia="zh-CN"/>
        </w:rPr>
        <w:t>为更好推进合作区碳普惠体系建设与平台推广，持续扩大</w:t>
      </w:r>
      <w:r>
        <w:rPr>
          <w:rFonts w:hint="eastAsia" w:ascii="仿宋" w:hAnsi="仿宋" w:eastAsia="仿宋" w:cs="仿宋"/>
          <w:bCs/>
          <w:sz w:val="32"/>
          <w:szCs w:val="32"/>
        </w:rPr>
        <w:t>“琴碳星人”</w:t>
      </w:r>
      <w:r>
        <w:rPr>
          <w:rFonts w:hint="eastAsia" w:ascii="仿宋" w:hAnsi="仿宋" w:eastAsia="仿宋" w:cs="仿宋"/>
          <w:bCs/>
          <w:sz w:val="32"/>
          <w:szCs w:val="32"/>
          <w:lang w:eastAsia="zh-CN"/>
        </w:rPr>
        <w:t>影响力，横琴粤澳深度合作区城市规划和建设局开展碳普惠平台运营及推广工作</w:t>
      </w:r>
      <w:r>
        <w:rPr>
          <w:rFonts w:hint="eastAsia" w:ascii="仿宋" w:hAnsi="仿宋" w:eastAsia="仿宋" w:cs="仿宋"/>
          <w:bCs/>
          <w:sz w:val="32"/>
          <w:szCs w:val="32"/>
        </w:rPr>
        <w:t>。</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三、服务期限</w:t>
      </w:r>
    </w:p>
    <w:p>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cs="仿宋"/>
          <w:sz w:val="32"/>
          <w:szCs w:val="32"/>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eastAsia="zh-CN"/>
        </w:rPr>
        <w:t>。</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四、服务内容及服务要求</w:t>
      </w:r>
    </w:p>
    <w:p>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为更好</w:t>
      </w:r>
      <w:r>
        <w:rPr>
          <w:rFonts w:hint="eastAsia" w:ascii="仿宋" w:hAnsi="仿宋" w:eastAsia="仿宋" w:cs="仿宋"/>
          <w:sz w:val="32"/>
          <w:szCs w:val="32"/>
          <w:lang w:eastAsia="zh-CN"/>
        </w:rPr>
        <w:t>推进</w:t>
      </w:r>
      <w:r>
        <w:rPr>
          <w:rFonts w:hint="eastAsia" w:ascii="仿宋" w:hAnsi="仿宋" w:eastAsia="仿宋" w:cs="仿宋"/>
          <w:sz w:val="32"/>
          <w:szCs w:val="32"/>
        </w:rPr>
        <w:t>合作区碳普惠</w:t>
      </w:r>
      <w:r>
        <w:rPr>
          <w:rFonts w:hint="eastAsia" w:ascii="仿宋" w:hAnsi="仿宋" w:eastAsia="仿宋" w:cs="仿宋"/>
          <w:sz w:val="32"/>
          <w:szCs w:val="32"/>
          <w:lang w:eastAsia="zh-CN"/>
        </w:rPr>
        <w:t>平台</w:t>
      </w:r>
      <w:r>
        <w:rPr>
          <w:rFonts w:hint="eastAsia" w:ascii="仿宋" w:hAnsi="仿宋" w:eastAsia="仿宋" w:cs="仿宋"/>
          <w:sz w:val="32"/>
          <w:szCs w:val="32"/>
        </w:rPr>
        <w:t>建设与运行，制定有效的推广策略，丰富碳普惠激励</w:t>
      </w:r>
      <w:r>
        <w:rPr>
          <w:rFonts w:hint="eastAsia" w:ascii="仿宋" w:hAnsi="仿宋" w:eastAsia="仿宋" w:cs="仿宋"/>
          <w:sz w:val="32"/>
          <w:szCs w:val="32"/>
          <w:lang w:eastAsia="zh-CN"/>
        </w:rPr>
        <w:t>，</w:t>
      </w:r>
      <w:r>
        <w:rPr>
          <w:rFonts w:hint="eastAsia" w:ascii="仿宋" w:hAnsi="仿宋" w:eastAsia="仿宋" w:cs="仿宋"/>
          <w:sz w:val="32"/>
          <w:szCs w:val="32"/>
        </w:rPr>
        <w:t>推动与其他平台的协同联动发展，持续扩大琴碳星人影响力，为合作区的绿色发展贡献力量；同时</w:t>
      </w:r>
      <w:r>
        <w:rPr>
          <w:rFonts w:hint="eastAsia" w:ascii="仿宋" w:hAnsi="仿宋" w:eastAsia="仿宋" w:cs="仿宋"/>
          <w:sz w:val="32"/>
          <w:szCs w:val="32"/>
          <w:lang w:eastAsia="zh-CN"/>
        </w:rPr>
        <w:t>根据用户及合作方意见对平台进行</w:t>
      </w:r>
      <w:r>
        <w:rPr>
          <w:rFonts w:hint="eastAsia" w:ascii="仿宋" w:hAnsi="仿宋" w:eastAsia="仿宋" w:cs="仿宋"/>
          <w:sz w:val="32"/>
          <w:szCs w:val="32"/>
        </w:rPr>
        <w:t>优化，提升平台的易用性、互动性水平，更好地触达公众和商户。</w:t>
      </w:r>
      <w:r>
        <w:rPr>
          <w:rFonts w:hint="eastAsia" w:ascii="仿宋" w:hAnsi="仿宋" w:eastAsia="仿宋" w:cs="仿宋"/>
          <w:sz w:val="32"/>
          <w:szCs w:val="32"/>
          <w:lang w:eastAsia="zh-CN"/>
        </w:rPr>
        <w:t>具体服务内容如下：</w:t>
      </w:r>
    </w:p>
    <w:p>
      <w:pPr>
        <w:pStyle w:val="24"/>
        <w:spacing w:line="579" w:lineRule="exact"/>
        <w:ind w:firstLine="640"/>
        <w:outlineLvl w:val="0"/>
        <w:rPr>
          <w:rFonts w:hint="eastAsia" w:ascii="仿宋" w:hAnsi="仿宋" w:eastAsia="仿宋" w:cs="仿宋"/>
          <w:sz w:val="32"/>
          <w:szCs w:val="32"/>
        </w:rPr>
      </w:pPr>
      <w:bookmarkStart w:id="0" w:name="_Toc529800909"/>
      <w:bookmarkStart w:id="1" w:name="_Toc77098321"/>
      <w:bookmarkStart w:id="2" w:name="_Toc76328165"/>
      <w:r>
        <w:rPr>
          <w:rFonts w:hint="eastAsia" w:ascii="仿宋" w:hAnsi="仿宋" w:eastAsia="仿宋" w:cs="仿宋"/>
          <w:sz w:val="32"/>
          <w:szCs w:val="32"/>
        </w:rPr>
        <w:t xml:space="preserve">（一）运营推广工作 </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rPr>
        <w:t>1、丰富碳普惠商业资源，定期开展商家宣讲，积极引导商业机构入驻琴碳星人碳惠普商城，确保普惠激励持续供给，为公众积分兑换提供丰富的商品和服务。</w:t>
      </w:r>
    </w:p>
    <w:p>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积极引导合作机构申请成为琴碳星人低碳场景，进一步丰富打卡场景。</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开展与政府、企业、互联网平台的线上活动，打造具有宣传效果的活动亮点。</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、聚焦学校、企事业单位、社区、热门景点及商圈等地，针对性策划线下推广活动，增加平台曝光度。</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开展日常运维工作，包括但限于：（</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负责商品兑换工作对接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）持续对接并上线低碳活动；（</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在小程序“低碳学习”和“资讯中心”等模块高频更新优质学习资源和双碳领域前沿动态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定期升级低碳场景题库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）定期撰写宣传推文；（</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）负责宣传物料设计及制作；（</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）负责为线上线下引流活动提供奖励支持</w:t>
      </w:r>
      <w:r>
        <w:rPr>
          <w:rFonts w:hint="eastAsia" w:ascii="仿宋" w:hAnsi="仿宋" w:eastAsia="仿宋" w:cs="仿宋"/>
          <w:sz w:val="32"/>
          <w:szCs w:val="32"/>
        </w:rPr>
        <w:t>。</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rPr>
        <w:t>（二）优化完善平台建设</w:t>
      </w:r>
    </w:p>
    <w:p>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rPr>
        <w:t>1、优化平台使用</w:t>
      </w:r>
      <w:r>
        <w:rPr>
          <w:rFonts w:hint="eastAsia" w:ascii="仿宋" w:hAnsi="仿宋" w:eastAsia="仿宋" w:cs="仿宋"/>
          <w:sz w:val="32"/>
          <w:szCs w:val="32"/>
          <w:lang w:eastAsia="zh-CN"/>
        </w:rPr>
        <w:t>。</w:t>
      </w:r>
    </w:p>
    <w:p>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优化</w:t>
      </w:r>
      <w:r>
        <w:rPr>
          <w:rFonts w:hint="eastAsia" w:ascii="仿宋" w:hAnsi="仿宋" w:eastAsia="仿宋" w:cs="仿宋"/>
          <w:sz w:val="32"/>
          <w:szCs w:val="32"/>
        </w:rPr>
        <w:t>“商户线上申请入驻”、“用户抽奖”等板块</w:t>
      </w:r>
      <w:r>
        <w:rPr>
          <w:rFonts w:hint="eastAsia" w:ascii="仿宋" w:hAnsi="仿宋" w:eastAsia="仿宋" w:cs="仿宋"/>
          <w:sz w:val="32"/>
          <w:szCs w:val="32"/>
          <w:lang w:eastAsia="zh-CN"/>
        </w:rPr>
        <w:t>。</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优化</w:t>
      </w:r>
      <w:r>
        <w:rPr>
          <w:rFonts w:hint="eastAsia" w:ascii="仿宋" w:hAnsi="仿宋" w:eastAsia="仿宋" w:cs="仿宋"/>
          <w:sz w:val="32"/>
          <w:szCs w:val="32"/>
        </w:rPr>
        <w:t>相同低碳场景下用户上传照片的自动查重功能，提升用户体验。</w:t>
      </w:r>
    </w:p>
    <w:p>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）加强与第三方平台的互联互通，在双方达成共识且技术可行的基础上，实现部分第三方数据对接功能，拓展用户触达范围</w:t>
      </w:r>
      <w:r>
        <w:rPr>
          <w:rFonts w:hint="eastAsia" w:ascii="仿宋" w:hAnsi="仿宋" w:eastAsia="仿宋" w:cs="仿宋"/>
          <w:sz w:val="32"/>
          <w:szCs w:val="32"/>
          <w:lang w:eastAsia="zh-CN"/>
        </w:rPr>
        <w:t>。</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根据</w:t>
      </w:r>
      <w:r>
        <w:rPr>
          <w:rFonts w:hint="eastAsia" w:ascii="仿宋" w:hAnsi="仿宋" w:eastAsia="仿宋" w:cs="仿宋"/>
          <w:sz w:val="32"/>
          <w:szCs w:val="32"/>
        </w:rPr>
        <w:t>公众与商家反馈，对平台界面</w:t>
      </w:r>
      <w:r>
        <w:rPr>
          <w:rFonts w:hint="eastAsia" w:ascii="仿宋" w:hAnsi="仿宋" w:eastAsia="仿宋" w:cs="仿宋"/>
          <w:sz w:val="32"/>
          <w:szCs w:val="32"/>
          <w:lang w:eastAsia="zh-CN"/>
        </w:rPr>
        <w:t>及功能</w:t>
      </w:r>
      <w:r>
        <w:rPr>
          <w:rFonts w:hint="eastAsia" w:ascii="仿宋" w:hAnsi="仿宋" w:eastAsia="仿宋" w:cs="仿宋"/>
          <w:sz w:val="32"/>
          <w:szCs w:val="32"/>
        </w:rPr>
        <w:t>进行优化</w:t>
      </w:r>
      <w:r>
        <w:rPr>
          <w:rFonts w:hint="eastAsia" w:ascii="仿宋" w:hAnsi="仿宋" w:eastAsia="仿宋" w:cs="仿宋"/>
          <w:sz w:val="32"/>
          <w:szCs w:val="32"/>
          <w:lang w:eastAsia="zh-CN"/>
        </w:rPr>
        <w:t>。</w:t>
      </w:r>
    </w:p>
    <w:p>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、完善后台管理功能</w:t>
      </w:r>
      <w:r>
        <w:rPr>
          <w:rFonts w:hint="eastAsia" w:ascii="仿宋" w:hAnsi="仿宋" w:eastAsia="仿宋" w:cs="仿宋"/>
          <w:sz w:val="32"/>
          <w:szCs w:val="32"/>
          <w:lang w:eastAsia="zh-CN"/>
        </w:rPr>
        <w:t>。完善</w:t>
      </w:r>
      <w:r>
        <w:rPr>
          <w:rFonts w:hint="eastAsia" w:ascii="仿宋" w:hAnsi="仿宋" w:eastAsia="仿宋" w:cs="仿宋"/>
          <w:sz w:val="32"/>
          <w:szCs w:val="32"/>
        </w:rPr>
        <w:t>后台管理对用户登录行为、频次、打卡场景、用户数等指标</w:t>
      </w:r>
      <w:r>
        <w:rPr>
          <w:rFonts w:hint="eastAsia" w:ascii="仿宋" w:hAnsi="仿宋" w:eastAsia="仿宋" w:cs="仿宋"/>
          <w:sz w:val="32"/>
          <w:szCs w:val="32"/>
          <w:lang w:eastAsia="zh-CN"/>
        </w:rPr>
        <w:t>的</w:t>
      </w:r>
      <w:r>
        <w:rPr>
          <w:rFonts w:hint="eastAsia" w:ascii="仿宋" w:hAnsi="仿宋" w:eastAsia="仿宋" w:cs="仿宋"/>
          <w:sz w:val="32"/>
          <w:szCs w:val="32"/>
        </w:rPr>
        <w:t>统计分析</w:t>
      </w:r>
      <w:r>
        <w:rPr>
          <w:rFonts w:hint="eastAsia" w:ascii="仿宋" w:hAnsi="仿宋" w:eastAsia="仿宋" w:cs="仿宋"/>
          <w:sz w:val="32"/>
          <w:szCs w:val="32"/>
          <w:lang w:eastAsia="zh-CN"/>
        </w:rPr>
        <w:t>功能</w:t>
      </w:r>
      <w:r>
        <w:rPr>
          <w:rFonts w:hint="eastAsia" w:ascii="仿宋" w:hAnsi="仿宋" w:eastAsia="仿宋" w:cs="仿宋"/>
          <w:sz w:val="32"/>
          <w:szCs w:val="32"/>
        </w:rPr>
        <w:t>。</w:t>
      </w:r>
    </w:p>
    <w:p>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五、考核标准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六、采购预算及响应报价要求</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七、付款方式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1期：成交供应商与采购人签订合同1</w:t>
      </w:r>
      <w:r>
        <w:rPr>
          <w:rFonts w:hint="eastAsia" w:ascii="仿宋" w:hAnsi="仿宋" w:eastAsia="PMingLiU" w:cs="仿宋"/>
          <w:spacing w:val="-4"/>
          <w:sz w:val="32"/>
          <w:szCs w:val="32"/>
        </w:rPr>
        <w:t>5</w:t>
      </w:r>
      <w:r>
        <w:rPr>
          <w:rFonts w:hint="eastAsia" w:ascii="仿宋" w:hAnsi="仿宋" w:eastAsia="仿宋" w:cs="仿宋"/>
          <w:spacing w:val="-4"/>
          <w:sz w:val="32"/>
          <w:szCs w:val="32"/>
        </w:rPr>
        <w:t>个工作日内，采购人向成交供应商支付合同总价款的</w:t>
      </w:r>
      <w:r>
        <w:rPr>
          <w:rFonts w:hint="eastAsia" w:ascii="仿宋" w:hAnsi="仿宋" w:cs="仿宋" w:eastAsiaTheme="minorEastAsia"/>
          <w:spacing w:val="-4"/>
          <w:sz w:val="32"/>
          <w:szCs w:val="32"/>
          <w:lang w:val="en-US" w:eastAsia="zh-CN"/>
        </w:rPr>
        <w:t>4</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2期：</w:t>
      </w:r>
      <w:r>
        <w:rPr>
          <w:rFonts w:hint="eastAsia" w:ascii="仿宋" w:hAnsi="仿宋" w:eastAsia="仿宋" w:cs="仿宋"/>
          <w:spacing w:val="-4"/>
          <w:sz w:val="32"/>
          <w:szCs w:val="32"/>
          <w:lang w:eastAsia="zh-CN"/>
        </w:rPr>
        <w:t>完成项目服务内容并通过验收</w:t>
      </w:r>
      <w:r>
        <w:rPr>
          <w:rFonts w:hint="eastAsia" w:ascii="仿宋" w:hAnsi="仿宋" w:eastAsia="仿宋" w:cs="仿宋"/>
          <w:spacing w:val="-4"/>
          <w:sz w:val="32"/>
          <w:szCs w:val="32"/>
        </w:rPr>
        <w:t>后，成交供应商按照采购人要求申请付款，采购人向成交供应商支付合同总价款的剩余款项，即合同总价款的</w:t>
      </w: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rPr>
        <w:t>0%。</w:t>
      </w:r>
    </w:p>
    <w:p>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560" w:lineRule="exact"/>
        <w:jc w:val="left"/>
        <w:rPr>
          <w:rFonts w:ascii="仿宋_GB2312" w:hAnsi="仿宋_GB2312" w:eastAsia="仿宋_GB2312" w:cs="仿宋_GB2312"/>
          <w:sz w:val="32"/>
          <w:szCs w:val="32"/>
        </w:rPr>
      </w:pPr>
    </w:p>
    <w:p>
      <w:pPr>
        <w:spacing w:line="560" w:lineRule="exact"/>
        <w:ind w:left="6072" w:leftChars="1520" w:hanging="2880" w:hangingChars="900"/>
        <w:jc w:val="left"/>
      </w:pPr>
      <w:r>
        <w:rPr>
          <w:rFonts w:hint="eastAsia" w:ascii="仿宋_GB2312" w:hAnsi="仿宋_GB2312" w:eastAsia="仿宋_GB2312" w:cs="仿宋_GB2312"/>
          <w:sz w:val="32"/>
          <w:szCs w:val="32"/>
        </w:rPr>
        <w:t>横琴粤澳深度合作区城市规划和建设局</w:t>
      </w:r>
      <w:bookmarkStart w:id="3" w:name="_GoBack"/>
      <w:r>
        <w:rPr>
          <w:rFonts w:hint="eastAsia" w:ascii="仿宋_GB2312" w:hAnsi="仿宋_GB2312" w:eastAsia="仿宋_GB2312" w:cs="仿宋_GB2312"/>
          <w:sz w:val="32"/>
          <w:szCs w:val="32"/>
          <w:highlight w:val="none"/>
        </w:rPr>
        <w:t>2024年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w:t>
      </w:r>
      <w:bookmarkEnd w:id="3"/>
    </w:p>
    <w:p>
      <w:pPr>
        <w:keepLines/>
        <w:widowControl/>
        <w:adjustRightInd w:val="0"/>
        <w:snapToGrid w:val="0"/>
        <w:spacing w:line="360" w:lineRule="auto"/>
        <w:rPr>
          <w:rFonts w:ascii="仿宋" w:hAnsi="仿宋" w:eastAsia="仿宋"/>
          <w:color w:val="FF0000"/>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- 5 -</w:t>
    </w:r>
    <w:r>
      <w:rPr>
        <w:rFonts w:ascii="宋体" w:hAnsi="宋体"/>
        <w:sz w:val="24"/>
        <w:szCs w:val="24"/>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5D40"/>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254D0"/>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DA7CF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A4A81"/>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0C2137"/>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AB54A5"/>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B040C"/>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862C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D14CF7"/>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ind w:firstLine="596" w:firstLineChars="200"/>
      <w:outlineLvl w:val="0"/>
    </w:pPr>
    <w:rPr>
      <w:rFonts w:ascii="黑体" w:eastAsia="黑体"/>
      <w:b/>
      <w:sz w:val="32"/>
      <w:szCs w:val="22"/>
    </w:rPr>
  </w:style>
  <w:style w:type="paragraph" w:styleId="5">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color w:val="000000"/>
      <w:szCs w:val="20"/>
    </w:rPr>
  </w:style>
  <w:style w:type="paragraph" w:styleId="3">
    <w:name w:val="Body Text"/>
    <w:basedOn w:val="1"/>
    <w:next w:val="1"/>
    <w:qFormat/>
    <w:uiPriority w:val="0"/>
    <w:pPr>
      <w:spacing w:after="120"/>
    </w:pPr>
  </w:style>
  <w:style w:type="paragraph" w:styleId="8">
    <w:name w:val="annotation text"/>
    <w:basedOn w:val="1"/>
    <w:semiHidden/>
    <w:qFormat/>
    <w:uiPriority w:val="0"/>
    <w:pPr>
      <w:jc w:val="left"/>
    </w:pPr>
    <w:rPr>
      <w:szCs w:val="20"/>
    </w:r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Char"/>
    <w:link w:val="5"/>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Char"/>
    <w:link w:val="16"/>
    <w:semiHidden/>
    <w:qFormat/>
    <w:uiPriority w:val="0"/>
    <w:rPr>
      <w:rFonts w:eastAsia="仿宋_GB2312"/>
      <w:kern w:val="2"/>
      <w:sz w:val="18"/>
      <w:szCs w:val="18"/>
      <w:lang w:val="en-US" w:eastAsia="zh-CN" w:bidi="ar-SA"/>
    </w:rPr>
  </w:style>
  <w:style w:type="character" w:customStyle="1" w:styleId="42">
    <w:name w:val="标题 1 Char"/>
    <w:link w:val="4"/>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Words>
  <Characters>1537</Characters>
  <Lines>12</Lines>
  <Paragraphs>3</Paragraphs>
  <TotalTime>16</TotalTime>
  <ScaleCrop>false</ScaleCrop>
  <LinksUpToDate>false</LinksUpToDate>
  <CharactersWithSpaces>1803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2023-11-22T08:42:00Z</dcterms:created>
  <dc:creator>陈微:</dc:creator>
  <cp:lastModifiedBy>陈旭磊</cp:lastModifiedBy>
  <cp:lastPrinted>2023-12-28T01:02:00Z</cp:lastPrinted>
  <dcterms:modified xsi:type="dcterms:W3CDTF">2024-10-29T06:21:57Z</dcterms:modified>
  <dc:title>珠横新规国字〔2010〕20号                 签发人：王瑞森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64C0ECD2719B40BD84AD68582284B87A</vt:lpwstr>
  </property>
</Properties>
</file>