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before="100" w:after="0" w:line="360" w:lineRule="auto"/>
        <w:jc w:val="center"/>
        <w:rPr>
          <w:rStyle w:val="11"/>
          <w:rFonts w:ascii="仿宋" w:hAnsi="仿宋" w:eastAsia="仿宋" w:cs="仿宋"/>
          <w:sz w:val="24"/>
          <w:szCs w:val="24"/>
        </w:rPr>
      </w:pPr>
      <w:bookmarkStart w:id="0" w:name="_Toc83237336"/>
      <w:bookmarkStart w:id="1" w:name="_Toc28990"/>
      <w:bookmarkStart w:id="2" w:name="_Toc5046"/>
      <w:bookmarkStart w:id="3" w:name="_Toc27635"/>
      <w:bookmarkStart w:id="4" w:name="_Toc24533"/>
      <w:bookmarkStart w:id="5" w:name="_Toc4342"/>
      <w:bookmarkStart w:id="6" w:name="_Toc3582"/>
      <w:bookmarkStart w:id="7" w:name="_Toc26778"/>
      <w:bookmarkStart w:id="8" w:name="_Toc3580"/>
      <w:bookmarkStart w:id="9" w:name="_Toc25943"/>
      <w:bookmarkStart w:id="10" w:name="_Toc8800"/>
      <w:bookmarkStart w:id="11" w:name="_Toc29548"/>
      <w:bookmarkStart w:id="12" w:name="_Toc22648"/>
      <w:bookmarkStart w:id="13" w:name="_Toc13465"/>
      <w:bookmarkStart w:id="14" w:name="_Toc10390"/>
      <w:bookmarkStart w:id="15" w:name="_Toc70015595"/>
      <w:bookmarkStart w:id="16" w:name="_Toc17796"/>
      <w:bookmarkStart w:id="17" w:name="_Toc25031"/>
      <w:bookmarkStart w:id="18" w:name="_Toc6736"/>
      <w:r>
        <w:rPr>
          <w:rStyle w:val="11"/>
          <w:rFonts w:hint="eastAsia" w:ascii="仿宋" w:hAnsi="仿宋" w:eastAsia="仿宋" w:cs="仿宋"/>
          <w:sz w:val="30"/>
          <w:szCs w:val="30"/>
        </w:rPr>
        <w:t>附件一：技术评分</w:t>
      </w:r>
      <w:r>
        <w:rPr>
          <w:rFonts w:hint="eastAsia" w:ascii="仿宋" w:hAnsi="仿宋" w:eastAsia="仿宋" w:cs="仿宋"/>
          <w:sz w:val="30"/>
          <w:szCs w:val="30"/>
        </w:rPr>
        <w:t>细则</w:t>
      </w:r>
      <w:r>
        <w:rPr>
          <w:rStyle w:val="11"/>
          <w:rFonts w:hint="eastAsia" w:ascii="仿宋" w:hAnsi="仿宋" w:eastAsia="仿宋" w:cs="仿宋"/>
          <w:sz w:val="30"/>
          <w:szCs w:val="30"/>
        </w:rPr>
        <w:t>（</w:t>
      </w:r>
      <w:r>
        <w:rPr>
          <w:rStyle w:val="11"/>
          <w:rFonts w:hint="eastAsia" w:ascii="仿宋" w:hAnsi="仿宋" w:eastAsia="仿宋" w:cs="仿宋"/>
          <w:sz w:val="30"/>
          <w:szCs w:val="30"/>
          <w:lang w:val="en-US" w:eastAsia="zh-CN"/>
        </w:rPr>
        <w:t>60</w:t>
      </w:r>
      <w:r>
        <w:rPr>
          <w:rStyle w:val="11"/>
          <w:rFonts w:hint="eastAsia" w:ascii="仿宋" w:hAnsi="仿宋" w:eastAsia="仿宋" w:cs="仿宋"/>
          <w:sz w:val="30"/>
          <w:szCs w:val="30"/>
        </w:rPr>
        <w:t>分）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tbl>
      <w:tblPr>
        <w:tblStyle w:val="9"/>
        <w:tblW w:w="8399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6922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评审内容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评分细则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对本项目的理解程度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</w:rPr>
              <w:t>分）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972"/>
              </w:tabs>
              <w:ind w:firstLine="0" w:firstLineChars="0"/>
            </w:pPr>
            <w:r>
              <w:rPr>
                <w:rFonts w:ascii="仿宋" w:hAnsi="仿宋" w:eastAsia="仿宋" w:cs="仿宋"/>
                <w:kern w:val="0"/>
              </w:rPr>
              <w:t>根据各报价供应商对项目编制背景、工作目标</w:t>
            </w:r>
            <w:r>
              <w:rPr>
                <w:rFonts w:hint="eastAsia" w:ascii="仿宋" w:hAnsi="仿宋" w:eastAsia="仿宋" w:cs="仿宋"/>
                <w:kern w:val="0"/>
              </w:rPr>
              <w:t>、</w:t>
            </w:r>
            <w:r>
              <w:rPr>
                <w:rFonts w:ascii="仿宋" w:hAnsi="仿宋" w:eastAsia="仿宋" w:cs="仿宋"/>
                <w:kern w:val="0"/>
              </w:rPr>
              <w:t>工作内容</w:t>
            </w:r>
            <w:r>
              <w:rPr>
                <w:rFonts w:hint="eastAsia" w:ascii="仿宋" w:hAnsi="仿宋" w:eastAsia="仿宋" w:cs="仿宋"/>
                <w:kern w:val="0"/>
              </w:rPr>
              <w:t>的</w:t>
            </w:r>
            <w:r>
              <w:rPr>
                <w:rFonts w:ascii="仿宋" w:hAnsi="仿宋" w:eastAsia="仿宋" w:cs="仿宋"/>
                <w:kern w:val="0"/>
              </w:rPr>
              <w:t>理解和认识是否深刻、准确</w:t>
            </w:r>
            <w:r>
              <w:rPr>
                <w:rFonts w:hint="eastAsia" w:ascii="仿宋" w:hAnsi="仿宋" w:eastAsia="仿宋" w:cs="仿宋"/>
                <w:kern w:val="0"/>
              </w:rPr>
              <w:t>进行评分</w:t>
            </w:r>
            <w:r>
              <w:rPr>
                <w:rFonts w:ascii="仿宋" w:hAnsi="仿宋" w:eastAsia="仿宋" w:cs="仿宋"/>
                <w:kern w:val="0"/>
              </w:rPr>
              <w:t>。</w:t>
            </w:r>
          </w:p>
          <w:p>
            <w:pPr>
              <w:tabs>
                <w:tab w:val="left" w:pos="972"/>
              </w:tabs>
              <w:ind w:firstLine="0" w:firstLineChars="0"/>
            </w:pPr>
            <w:r>
              <w:rPr>
                <w:rFonts w:ascii="仿宋" w:hAnsi="仿宋" w:eastAsia="仿宋" w:cs="仿宋"/>
                <w:kern w:val="0"/>
              </w:rPr>
              <w:t>响应内容对项目的</w:t>
            </w:r>
            <w:r>
              <w:rPr>
                <w:rFonts w:hint="eastAsia" w:ascii="仿宋" w:hAnsi="仿宋" w:eastAsia="仿宋" w:cs="仿宋"/>
                <w:kern w:val="0"/>
              </w:rPr>
              <w:t>编制背景、工作目标、工作内容</w:t>
            </w:r>
            <w:r>
              <w:rPr>
                <w:rFonts w:ascii="仿宋" w:hAnsi="仿宋" w:eastAsia="仿宋" w:cs="仿宋"/>
                <w:kern w:val="0"/>
              </w:rPr>
              <w:t>理解、认识深刻准确，完全满足且优于项目需求的得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20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  <w:r>
              <w:rPr>
                <w:rFonts w:hint="eastAsia" w:ascii="仿宋" w:hAnsi="仿宋" w:eastAsia="仿宋" w:cs="仿宋"/>
                <w:kern w:val="0"/>
              </w:rPr>
              <w:t xml:space="preserve"> 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响应内容对项目的编制背景、工作目标、工作内容</w:t>
            </w:r>
            <w:r>
              <w:rPr>
                <w:rFonts w:ascii="仿宋" w:hAnsi="仿宋" w:eastAsia="仿宋" w:cs="仿宋"/>
                <w:kern w:val="0"/>
              </w:rPr>
              <w:t>理解、认识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正确</w:t>
            </w:r>
            <w:r>
              <w:rPr>
                <w:rFonts w:ascii="仿宋" w:hAnsi="仿宋" w:eastAsia="仿宋" w:cs="仿宋"/>
                <w:kern w:val="0"/>
              </w:rPr>
              <w:t>，</w:t>
            </w:r>
            <w:bookmarkStart w:id="69" w:name="_GoBack"/>
            <w:bookmarkEnd w:id="69"/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大部分</w:t>
            </w:r>
            <w:r>
              <w:rPr>
                <w:rFonts w:ascii="仿宋" w:hAnsi="仿宋" w:eastAsia="仿宋" w:cs="仿宋"/>
                <w:kern w:val="0"/>
              </w:rPr>
              <w:t>满足项目需求的得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kern w:val="0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响应内容对项目的编制背景、工作目标、工作内容</w:t>
            </w:r>
            <w:r>
              <w:rPr>
                <w:rFonts w:ascii="仿宋" w:hAnsi="仿宋" w:eastAsia="仿宋" w:cs="仿宋"/>
                <w:kern w:val="0"/>
              </w:rPr>
              <w:t>理解、认识一般，基本满足项目需求的得1</w:t>
            </w:r>
            <w:r>
              <w:rPr>
                <w:rFonts w:hint="default" w:ascii="仿宋" w:hAnsi="仿宋" w:eastAsia="仿宋" w:cs="仿宋"/>
                <w:kern w:val="0"/>
                <w:lang w:val="en-US"/>
              </w:rPr>
              <w:t>0</w:t>
            </w:r>
            <w:r>
              <w:rPr>
                <w:rFonts w:ascii="仿宋" w:hAnsi="仿宋" w:eastAsia="仿宋" w:cs="仿宋"/>
                <w:kern w:val="0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；</w:t>
            </w:r>
          </w:p>
          <w:p>
            <w:pPr>
              <w:tabs>
                <w:tab w:val="left" w:pos="972"/>
              </w:tabs>
              <w:ind w:firstLine="0" w:firstLineChars="0"/>
            </w:pPr>
            <w:r>
              <w:rPr>
                <w:rFonts w:ascii="仿宋" w:hAnsi="仿宋" w:eastAsia="仿宋" w:cs="仿宋"/>
                <w:kern w:val="0"/>
              </w:rPr>
              <w:t>响应内容未能理解或认识项目的</w:t>
            </w:r>
            <w:r>
              <w:rPr>
                <w:rFonts w:hint="eastAsia" w:ascii="仿宋" w:hAnsi="仿宋" w:eastAsia="仿宋" w:cs="仿宋"/>
                <w:kern w:val="0"/>
              </w:rPr>
              <w:t>编制背景、工作目标或工作内容</w:t>
            </w:r>
            <w:r>
              <w:rPr>
                <w:rFonts w:ascii="仿宋" w:hAnsi="仿宋" w:eastAsia="仿宋" w:cs="仿宋"/>
                <w:kern w:val="0"/>
              </w:rPr>
              <w:t>，不能完全满足项目需求的得</w:t>
            </w:r>
            <w:r>
              <w:rPr>
                <w:rFonts w:hint="default" w:ascii="仿宋" w:hAnsi="仿宋" w:eastAsia="仿宋" w:cs="仿宋"/>
                <w:kern w:val="0"/>
                <w:lang w:val="en-US"/>
              </w:rPr>
              <w:t>5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ind w:firstLine="0" w:firstLineChars="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kern w:val="0"/>
              </w:rPr>
              <w:t>无提供不得分。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tabs>
                <w:tab w:val="left" w:pos="0"/>
                <w:tab w:val="left" w:pos="692"/>
              </w:tabs>
              <w:spacing w:line="360" w:lineRule="auto"/>
              <w:ind w:left="0"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项目实施方案（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 xml:space="preserve">根据各报价供应商的实施方案的可操作性进行评分。 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方案科学合理，切实可行的，得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20</w:t>
            </w:r>
            <w:r>
              <w:rPr>
                <w:rFonts w:ascii="仿宋" w:hAnsi="仿宋" w:eastAsia="仿宋" w:cs="仿宋"/>
                <w:kern w:val="0"/>
              </w:rPr>
              <w:t xml:space="preserve">分； 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方案较完整，有一定的可行性的，得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kern w:val="0"/>
              </w:rPr>
              <w:t xml:space="preserve">分； 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方案基本完整，可行性一般的，得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kern w:val="0"/>
              </w:rPr>
              <w:t xml:space="preserve">分； 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方案不完整，可行性差的，得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ind w:firstLine="0" w:firstLineChars="0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kern w:val="0"/>
              </w:rPr>
              <w:t>无相关内容的不得分。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val="en-GB"/>
              </w:rPr>
              <w:t>项目进度计划和保障措施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</w:rPr>
              <w:t>分）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根据各报价供应商的工作进度计划和进度保障措施的情况进行评分。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方案全面、科学合理，针对性和可操作性强，得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方案较全面 ，针对性和可操作性较强，得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kern w:val="0"/>
              </w:rPr>
              <w:t xml:space="preserve">分； 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方案基本完整，针对性和可操作性一般，得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方案不完整，操作性差的，得</w:t>
            </w:r>
            <w:r>
              <w:rPr>
                <w:rFonts w:hint="default" w:ascii="仿宋" w:hAnsi="仿宋" w:eastAsia="仿宋" w:cs="仿宋"/>
                <w:kern w:val="0"/>
                <w:lang w:val="en-US"/>
              </w:rPr>
              <w:t>1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ascii="仿宋" w:hAnsi="仿宋" w:eastAsia="仿宋" w:cs="仿宋"/>
                <w:kern w:val="0"/>
              </w:rPr>
            </w:pPr>
            <w:r>
              <w:rPr>
                <w:rFonts w:ascii="仿宋" w:hAnsi="仿宋" w:eastAsia="仿宋" w:cs="仿宋"/>
                <w:kern w:val="0"/>
              </w:rPr>
              <w:t>无相关内容的不得分。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tabs>
                <w:tab w:val="left" w:pos="0"/>
                <w:tab w:val="left" w:pos="692"/>
              </w:tabs>
              <w:spacing w:line="360" w:lineRule="auto"/>
              <w:ind w:left="0"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质量保障措施和服务承诺</w:t>
            </w:r>
          </w:p>
          <w:p>
            <w:pPr>
              <w:ind w:firstLine="24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default" w:ascii="仿宋" w:hAnsi="仿宋" w:eastAsia="仿宋" w:cs="仿宋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</w:rPr>
              <w:t>分）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根据各报价供应商</w:t>
            </w:r>
            <w:r>
              <w:rPr>
                <w:rFonts w:hint="eastAsia" w:ascii="仿宋" w:hAnsi="仿宋" w:eastAsia="仿宋" w:cs="仿宋"/>
                <w:kern w:val="0"/>
              </w:rPr>
              <w:t>质量保障措施和服务承诺</w:t>
            </w:r>
            <w:r>
              <w:rPr>
                <w:rFonts w:ascii="仿宋" w:hAnsi="仿宋" w:eastAsia="仿宋" w:cs="仿宋"/>
                <w:kern w:val="0"/>
              </w:rPr>
              <w:t>情况进行评分。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  <w:u w:val="none"/>
              </w:rPr>
              <w:t>技术支持度高、跟踪服务能力强、服务计划全面、针对性强，得</w:t>
            </w:r>
            <w:r>
              <w:rPr>
                <w:rFonts w:hint="default" w:ascii="仿宋" w:hAnsi="仿宋" w:eastAsia="仿宋" w:cs="仿宋"/>
                <w:kern w:val="0"/>
                <w:u w:val="none"/>
                <w:lang w:val="en-US"/>
              </w:rPr>
              <w:t>5</w:t>
            </w:r>
            <w:r>
              <w:rPr>
                <w:rFonts w:ascii="仿宋" w:hAnsi="仿宋" w:eastAsia="仿宋" w:cs="仿宋"/>
                <w:kern w:val="0"/>
                <w:u w:val="none"/>
              </w:rPr>
              <w:t>分；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技术支持度一般、跟踪服务能力一般、服务计划不够完善、针对性一般，得</w:t>
            </w:r>
            <w:r>
              <w:rPr>
                <w:rFonts w:hint="default" w:ascii="仿宋" w:hAnsi="仿宋" w:eastAsia="仿宋" w:cs="仿宋"/>
                <w:kern w:val="0"/>
                <w:lang w:val="en-US"/>
              </w:rPr>
              <w:t>3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ascii="仿宋" w:hAnsi="仿宋" w:eastAsia="仿宋" w:cs="仿宋"/>
                <w:kern w:val="0"/>
              </w:rPr>
              <w:t>技术支持度较差、跟踪服务能力较差、服务计划不够完善、针对性较差，得</w:t>
            </w:r>
            <w:r>
              <w:rPr>
                <w:rFonts w:hint="default" w:ascii="仿宋" w:hAnsi="仿宋" w:eastAsia="仿宋" w:cs="仿宋"/>
                <w:kern w:val="0"/>
                <w:lang w:val="en-US"/>
              </w:rPr>
              <w:t>1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ascii="仿宋" w:hAnsi="仿宋" w:eastAsia="仿宋" w:cs="仿宋"/>
                <w:kern w:val="0"/>
              </w:rPr>
            </w:pPr>
            <w:r>
              <w:rPr>
                <w:rFonts w:ascii="仿宋" w:hAnsi="仿宋" w:eastAsia="仿宋" w:cs="仿宋"/>
                <w:kern w:val="0"/>
              </w:rPr>
              <w:t>无相关内容的不得分。</w:t>
            </w:r>
          </w:p>
        </w:tc>
      </w:tr>
    </w:tbl>
    <w:p>
      <w:pPr>
        <w:ind w:firstLine="0" w:firstLineChars="0"/>
        <w:rPr>
          <w:rFonts w:ascii="仿宋" w:hAnsi="仿宋" w:eastAsia="仿宋" w:cs="仿宋"/>
        </w:rPr>
      </w:pPr>
    </w:p>
    <w:p>
      <w:pPr>
        <w:pStyle w:val="2"/>
        <w:numPr>
          <w:ilvl w:val="0"/>
          <w:numId w:val="0"/>
        </w:numPr>
        <w:spacing w:before="100" w:after="0" w:line="360" w:lineRule="auto"/>
        <w:jc w:val="center"/>
        <w:rPr>
          <w:rStyle w:val="11"/>
          <w:rFonts w:ascii="仿宋" w:hAnsi="仿宋" w:eastAsia="仿宋" w:cs="仿宋"/>
          <w:sz w:val="30"/>
          <w:szCs w:val="30"/>
        </w:rPr>
      </w:pPr>
      <w:bookmarkStart w:id="19" w:name="_Toc13335"/>
      <w:bookmarkStart w:id="20" w:name="_Toc9990"/>
      <w:bookmarkStart w:id="21" w:name="_Toc6762"/>
      <w:bookmarkStart w:id="22" w:name="_Toc31977"/>
      <w:bookmarkStart w:id="23" w:name="_Toc24803"/>
      <w:bookmarkStart w:id="24" w:name="_Toc83237337"/>
      <w:bookmarkStart w:id="25" w:name="_Toc18227"/>
      <w:bookmarkStart w:id="26" w:name="_Toc6295"/>
      <w:bookmarkStart w:id="27" w:name="_Toc70015596"/>
      <w:bookmarkStart w:id="28" w:name="_Toc6949"/>
      <w:bookmarkStart w:id="29" w:name="_Toc10477"/>
      <w:bookmarkStart w:id="30" w:name="_Toc19991"/>
      <w:bookmarkStart w:id="31" w:name="_Toc20680"/>
      <w:bookmarkStart w:id="32" w:name="_Toc18905"/>
      <w:bookmarkStart w:id="33" w:name="_Toc6884"/>
      <w:bookmarkStart w:id="34" w:name="_Toc12535"/>
      <w:bookmarkStart w:id="35" w:name="_Toc14226"/>
      <w:bookmarkStart w:id="36" w:name="_Toc7274"/>
      <w:bookmarkStart w:id="37" w:name="_Toc26961"/>
      <w:bookmarkStart w:id="38" w:name="_Toc11225"/>
      <w:bookmarkStart w:id="39" w:name="_Toc1466"/>
      <w:bookmarkStart w:id="40" w:name="_Toc8009"/>
      <w:bookmarkStart w:id="41" w:name="_Toc12039"/>
      <w:bookmarkStart w:id="42" w:name="_Toc15463"/>
      <w:bookmarkStart w:id="43" w:name="_Toc21325"/>
      <w:r>
        <w:rPr>
          <w:rStyle w:val="11"/>
          <w:rFonts w:hint="eastAsia" w:ascii="仿宋" w:hAnsi="仿宋" w:eastAsia="仿宋" w:cs="仿宋"/>
          <w:sz w:val="30"/>
          <w:szCs w:val="30"/>
        </w:rPr>
        <w:t>附件二：商务评分细则（</w:t>
      </w:r>
      <w:r>
        <w:rPr>
          <w:rStyle w:val="11"/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Style w:val="11"/>
          <w:rFonts w:hint="eastAsia" w:ascii="仿宋" w:hAnsi="仿宋" w:eastAsia="仿宋" w:cs="仿宋"/>
          <w:sz w:val="30"/>
          <w:szCs w:val="30"/>
        </w:rPr>
        <w:t>分）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tbl>
      <w:tblPr>
        <w:tblStyle w:val="9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评审内容</w:t>
            </w:r>
          </w:p>
        </w:tc>
        <w:tc>
          <w:tcPr>
            <w:tcW w:w="689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47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业绩经验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highlight w:val="none"/>
                <w:lang w:val="en-US"/>
              </w:rPr>
              <w:t>0</w:t>
            </w:r>
            <w:r>
              <w:rPr>
                <w:rFonts w:hint="eastAsia" w:ascii="仿宋" w:hAnsi="仿宋" w:eastAsia="仿宋" w:cs="仿宋"/>
                <w:highlight w:val="none"/>
              </w:rPr>
              <w:t>分）</w:t>
            </w:r>
          </w:p>
        </w:tc>
        <w:tc>
          <w:tcPr>
            <w:tcW w:w="6895" w:type="dxa"/>
            <w:vAlign w:val="center"/>
          </w:tcPr>
          <w:p>
            <w:pPr>
              <w:tabs>
                <w:tab w:val="left" w:pos="972"/>
                <w:tab w:val="left" w:pos="3600"/>
              </w:tabs>
              <w:ind w:firstLine="0" w:firstLineChars="0"/>
              <w:rPr>
                <w:rFonts w:ascii="仿宋" w:hAnsi="仿宋" w:eastAsia="仿宋" w:cs="仿宋"/>
                <w:kern w:val="0"/>
              </w:rPr>
            </w:pPr>
            <w:r>
              <w:rPr>
                <w:rFonts w:hint="default" w:ascii="仿宋" w:hAnsi="仿宋" w:eastAsia="仿宋" w:cs="仿宋"/>
                <w:kern w:val="0"/>
                <w:u w:val="none"/>
              </w:rPr>
              <w:t>供应商承接过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碳普惠相关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开展过低碳宣传推广活动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以及碳达峰碳中和领域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行业会议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，每一份业绩得5分，本项满分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0 分。</w:t>
            </w:r>
          </w:p>
          <w:p>
            <w:pPr>
              <w:tabs>
                <w:tab w:val="left" w:pos="972"/>
                <w:tab w:val="left" w:pos="3600"/>
              </w:tabs>
              <w:ind w:firstLine="0" w:firstLineChars="0"/>
              <w:rPr>
                <w:rFonts w:ascii="仿宋" w:hAnsi="仿宋" w:eastAsia="仿宋" w:cs="仿宋"/>
                <w:kern w:val="0"/>
              </w:rPr>
            </w:pPr>
            <w:r>
              <w:rPr>
                <w:rFonts w:ascii="仿宋" w:hAnsi="仿宋" w:eastAsia="仿宋" w:cs="仿宋"/>
                <w:kern w:val="0"/>
              </w:rPr>
              <w:t>注：业绩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需</w:t>
            </w:r>
            <w:r>
              <w:rPr>
                <w:rFonts w:ascii="仿宋" w:hAnsi="仿宋" w:eastAsia="仿宋" w:cs="仿宋"/>
                <w:kern w:val="0"/>
              </w:rPr>
              <w:t>提供相关合同</w:t>
            </w:r>
            <w:r>
              <w:rPr>
                <w:rFonts w:hint="eastAsia" w:ascii="仿宋" w:hAnsi="仿宋" w:eastAsia="仿宋" w:cs="仿宋"/>
                <w:kern w:val="0"/>
              </w:rPr>
              <w:t>或其他证明文件</w:t>
            </w:r>
            <w:r>
              <w:rPr>
                <w:rFonts w:ascii="仿宋" w:hAnsi="仿宋" w:eastAsia="仿宋" w:cs="仿宋"/>
                <w:kern w:val="0"/>
              </w:rPr>
              <w:t>复印件并加盖供应商公章，无提供或提供证明文件不全的不得分。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拟投入本项目的项目组实力（</w:t>
            </w:r>
            <w:r>
              <w:rPr>
                <w:rFonts w:hint="default" w:ascii="仿宋" w:hAnsi="仿宋" w:eastAsia="仿宋" w:cs="仿宋"/>
                <w:highlight w:val="none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highlight w:val="none"/>
              </w:rPr>
              <w:t>分）</w:t>
            </w:r>
          </w:p>
        </w:tc>
        <w:tc>
          <w:tcPr>
            <w:tcW w:w="6895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972"/>
                <w:tab w:val="left" w:pos="3600"/>
              </w:tabs>
              <w:ind w:firstLine="0" w:firstLineChars="0"/>
              <w:jc w:val="left"/>
              <w:rPr>
                <w:rFonts w:ascii="仿宋" w:hAnsi="仿宋" w:eastAsia="仿宋" w:cs="仿宋"/>
                <w:kern w:val="0"/>
              </w:rPr>
            </w:pPr>
          </w:p>
          <w:p>
            <w:pPr>
              <w:tabs>
                <w:tab w:val="left" w:pos="972"/>
                <w:tab w:val="left" w:pos="3600"/>
              </w:tabs>
              <w:ind w:firstLine="0" w:firstLineChars="0"/>
              <w:jc w:val="left"/>
              <w:rPr>
                <w:rFonts w:hint="default" w:ascii="仿宋" w:hAnsi="仿宋" w:eastAsia="仿宋" w:cs="仿宋"/>
                <w:kern w:val="0"/>
                <w:u w:val="none"/>
                <w:lang w:eastAsia="zh-CN"/>
              </w:rPr>
            </w:pPr>
            <w:r>
              <w:rPr>
                <w:rFonts w:ascii="仿宋" w:hAnsi="仿宋" w:eastAsia="仿宋" w:cs="仿宋"/>
                <w:kern w:val="0"/>
                <w:u w:val="none"/>
              </w:rPr>
              <w:t>供应商拟配备团队人员中，具有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正高</w:t>
            </w:r>
            <w:r>
              <w:rPr>
                <w:rFonts w:hint="default" w:ascii="仿宋" w:hAnsi="仿宋" w:eastAsia="仿宋" w:cs="仿宋"/>
                <w:kern w:val="0"/>
                <w:u w:val="none"/>
                <w:lang w:val="en-US" w:eastAsia="zh-CN"/>
              </w:rPr>
              <w:t>或副高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级职称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或博士学位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的每人得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分，中级职称的每人得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分</w:t>
            </w:r>
            <w:r>
              <w:rPr>
                <w:rFonts w:hint="default" w:ascii="仿宋" w:hAnsi="仿宋" w:eastAsia="仿宋" w:cs="仿宋"/>
                <w:kern w:val="0"/>
                <w:u w:val="none"/>
                <w:lang w:eastAsia="zh-CN"/>
              </w:rPr>
              <w:t>，</w:t>
            </w:r>
            <w:r>
              <w:rPr>
                <w:rFonts w:ascii="仿宋" w:hAnsi="仿宋" w:eastAsia="仿宋" w:cs="仿宋"/>
                <w:kern w:val="0"/>
                <w:u w:val="none"/>
              </w:rPr>
              <w:t>本项合计最高得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kern w:val="0"/>
                <w:u w:val="none"/>
              </w:rPr>
              <w:t>分</w:t>
            </w:r>
            <w:r>
              <w:rPr>
                <w:rFonts w:hint="default" w:ascii="仿宋" w:hAnsi="仿宋" w:eastAsia="仿宋" w:cs="仿宋"/>
                <w:kern w:val="0"/>
                <w:u w:val="none"/>
                <w:lang w:eastAsia="zh-CN"/>
              </w:rPr>
              <w:t>。</w:t>
            </w:r>
          </w:p>
          <w:p>
            <w:pPr>
              <w:tabs>
                <w:tab w:val="left" w:pos="972"/>
                <w:tab w:val="left" w:pos="3600"/>
              </w:tabs>
              <w:ind w:firstLine="0" w:firstLineChars="0"/>
              <w:jc w:val="left"/>
              <w:rPr>
                <w:rFonts w:hint="default" w:ascii="仿宋" w:hAnsi="仿宋" w:eastAsia="仿宋" w:cs="仿宋"/>
                <w:kern w:val="0"/>
                <w:u w:val="none"/>
              </w:rPr>
            </w:pPr>
            <w:r>
              <w:rPr>
                <w:rFonts w:hint="default" w:ascii="仿宋" w:hAnsi="仿宋" w:eastAsia="仿宋" w:cs="仿宋"/>
                <w:kern w:val="0"/>
                <w:u w:val="none"/>
              </w:rPr>
              <w:t>注：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</w:rPr>
              <w:t>同一人拿多个证书，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按最大得分计，</w:t>
            </w:r>
            <w:r>
              <w:rPr>
                <w:rFonts w:hint="eastAsia" w:ascii="仿宋" w:hAnsi="仿宋" w:eastAsia="仿宋" w:cs="仿宋"/>
                <w:kern w:val="0"/>
              </w:rPr>
              <w:t>不重复得分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。（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）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需提供相关证明文件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并</w:t>
            </w:r>
            <w:r>
              <w:rPr>
                <w:rFonts w:ascii="仿宋" w:hAnsi="仿宋" w:eastAsia="仿宋" w:cs="仿宋"/>
                <w:kern w:val="0"/>
              </w:rPr>
              <w:t>加盖供应商公章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，无则不予计分。</w:t>
            </w:r>
          </w:p>
          <w:p>
            <w:pPr>
              <w:tabs>
                <w:tab w:val="left" w:pos="972"/>
                <w:tab w:val="left" w:pos="3600"/>
              </w:tabs>
              <w:ind w:firstLine="0" w:firstLineChars="0"/>
              <w:jc w:val="left"/>
              <w:rPr>
                <w:rFonts w:ascii="仿宋" w:hAnsi="仿宋" w:eastAsia="仿宋" w:cs="仿宋"/>
                <w:kern w:val="0"/>
              </w:rPr>
            </w:pPr>
          </w:p>
        </w:tc>
      </w:tr>
    </w:tbl>
    <w:p>
      <w:pPr>
        <w:pStyle w:val="8"/>
        <w:ind w:firstLine="0" w:firstLineChars="0"/>
        <w:rPr>
          <w:rFonts w:ascii="仿宋" w:hAnsi="仿宋" w:eastAsia="仿宋" w:cs="仿宋"/>
        </w:rPr>
      </w:pPr>
    </w:p>
    <w:p>
      <w:pPr>
        <w:pStyle w:val="2"/>
        <w:numPr>
          <w:ilvl w:val="0"/>
          <w:numId w:val="0"/>
        </w:numPr>
        <w:spacing w:before="100" w:after="0" w:line="360" w:lineRule="auto"/>
        <w:jc w:val="center"/>
        <w:rPr>
          <w:rStyle w:val="11"/>
          <w:rFonts w:ascii="仿宋" w:hAnsi="仿宋" w:eastAsia="仿宋" w:cs="仿宋"/>
          <w:sz w:val="30"/>
          <w:szCs w:val="30"/>
        </w:rPr>
      </w:pPr>
      <w:bookmarkStart w:id="44" w:name="_Toc5395"/>
      <w:bookmarkStart w:id="45" w:name="_Toc20472"/>
      <w:bookmarkStart w:id="46" w:name="_Toc13953"/>
      <w:bookmarkStart w:id="47" w:name="_Toc31423"/>
      <w:bookmarkStart w:id="48" w:name="_Toc3494"/>
      <w:bookmarkStart w:id="49" w:name="_Toc27096"/>
      <w:bookmarkStart w:id="50" w:name="_Toc83237338"/>
      <w:bookmarkStart w:id="51" w:name="_Toc3247"/>
      <w:bookmarkStart w:id="52" w:name="_Toc1367"/>
      <w:bookmarkStart w:id="53" w:name="_Toc25899"/>
      <w:bookmarkStart w:id="54" w:name="_Toc3595"/>
      <w:bookmarkStart w:id="55" w:name="_Toc32034"/>
      <w:bookmarkStart w:id="56" w:name="_Toc7019"/>
      <w:bookmarkStart w:id="57" w:name="_Toc22870"/>
      <w:bookmarkStart w:id="58" w:name="_Toc70015597"/>
      <w:bookmarkStart w:id="59" w:name="_Toc23623"/>
      <w:bookmarkStart w:id="60" w:name="_Toc30914"/>
      <w:bookmarkStart w:id="61" w:name="_Toc7833"/>
      <w:bookmarkStart w:id="62" w:name="_Toc6515"/>
      <w:bookmarkStart w:id="63" w:name="_Toc4194"/>
      <w:bookmarkStart w:id="64" w:name="_Toc812"/>
      <w:bookmarkStart w:id="65" w:name="_Toc4946"/>
      <w:bookmarkStart w:id="66" w:name="_Toc30126"/>
      <w:bookmarkStart w:id="67" w:name="_Toc19934"/>
      <w:bookmarkStart w:id="68" w:name="_Toc9109"/>
      <w:r>
        <w:rPr>
          <w:rStyle w:val="11"/>
          <w:rFonts w:hint="eastAsia" w:ascii="仿宋" w:hAnsi="仿宋" w:eastAsia="仿宋" w:cs="仿宋"/>
          <w:sz w:val="30"/>
          <w:szCs w:val="30"/>
        </w:rPr>
        <w:t>附件三：经济价格评分细则（10分）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>
      <w:pPr>
        <w:pStyle w:val="12"/>
        <w:tabs>
          <w:tab w:val="left" w:pos="332"/>
        </w:tabs>
        <w:snapToGrid w:val="0"/>
        <w:ind w:firstLine="480"/>
        <w:rPr>
          <w:rStyle w:val="11"/>
          <w:rFonts w:ascii="仿宋" w:hAnsi="仿宋" w:eastAsia="仿宋" w:cs="仿宋"/>
          <w:bCs/>
          <w:szCs w:val="24"/>
        </w:rPr>
      </w:pPr>
      <w:r>
        <w:rPr>
          <w:rStyle w:val="11"/>
          <w:rFonts w:hint="eastAsia" w:ascii="仿宋" w:hAnsi="仿宋" w:eastAsia="仿宋" w:cs="仿宋"/>
          <w:bCs/>
          <w:szCs w:val="24"/>
        </w:rPr>
        <w:t>各投标人的投标报价得分按以下公式进行计算：</w:t>
      </w:r>
    </w:p>
    <w:p>
      <w:pPr>
        <w:pStyle w:val="12"/>
        <w:tabs>
          <w:tab w:val="left" w:pos="332"/>
        </w:tabs>
        <w:snapToGrid w:val="0"/>
        <w:ind w:firstLine="480"/>
      </w:pPr>
      <w:r>
        <w:rPr>
          <w:rStyle w:val="11"/>
          <w:rFonts w:hint="eastAsia" w:ascii="仿宋" w:hAnsi="仿宋" w:eastAsia="仿宋" w:cs="仿宋"/>
          <w:bCs/>
          <w:szCs w:val="24"/>
        </w:rPr>
        <w:t>投标报价得分=(评标基准价/评标价)×10%×100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D4A3F"/>
    <w:multiLevelType w:val="multilevel"/>
    <w:tmpl w:val="3E9D4A3F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Zjk1NjVjMWU5OTk0ZDRhOTRhMWRmZGMyY2I5MjAifQ=="/>
  </w:docVars>
  <w:rsids>
    <w:rsidRoot w:val="00783AED"/>
    <w:rsid w:val="00045F71"/>
    <w:rsid w:val="0006119C"/>
    <w:rsid w:val="00080D9D"/>
    <w:rsid w:val="000F4777"/>
    <w:rsid w:val="001010F7"/>
    <w:rsid w:val="00124D04"/>
    <w:rsid w:val="0016387E"/>
    <w:rsid w:val="001D4843"/>
    <w:rsid w:val="001E3956"/>
    <w:rsid w:val="001E7DD5"/>
    <w:rsid w:val="00207959"/>
    <w:rsid w:val="00267C62"/>
    <w:rsid w:val="002A7488"/>
    <w:rsid w:val="002C0A25"/>
    <w:rsid w:val="00305FDE"/>
    <w:rsid w:val="00347C7B"/>
    <w:rsid w:val="00352E23"/>
    <w:rsid w:val="00381D51"/>
    <w:rsid w:val="003D26D8"/>
    <w:rsid w:val="00433C2E"/>
    <w:rsid w:val="00541AE5"/>
    <w:rsid w:val="00556CF5"/>
    <w:rsid w:val="006105DC"/>
    <w:rsid w:val="006544AA"/>
    <w:rsid w:val="006A7E37"/>
    <w:rsid w:val="006B386E"/>
    <w:rsid w:val="006C5801"/>
    <w:rsid w:val="006D210D"/>
    <w:rsid w:val="007255C9"/>
    <w:rsid w:val="00751194"/>
    <w:rsid w:val="00783AED"/>
    <w:rsid w:val="00787536"/>
    <w:rsid w:val="007A293A"/>
    <w:rsid w:val="007D0BFF"/>
    <w:rsid w:val="007E1887"/>
    <w:rsid w:val="007E52DF"/>
    <w:rsid w:val="007E5745"/>
    <w:rsid w:val="007F2C01"/>
    <w:rsid w:val="007F7BF5"/>
    <w:rsid w:val="008731E7"/>
    <w:rsid w:val="008C4311"/>
    <w:rsid w:val="008F65A6"/>
    <w:rsid w:val="00936845"/>
    <w:rsid w:val="00962DED"/>
    <w:rsid w:val="00977D05"/>
    <w:rsid w:val="00993E8A"/>
    <w:rsid w:val="00A06BE9"/>
    <w:rsid w:val="00A10012"/>
    <w:rsid w:val="00A21B1B"/>
    <w:rsid w:val="00A416E2"/>
    <w:rsid w:val="00AF2A43"/>
    <w:rsid w:val="00B17BBB"/>
    <w:rsid w:val="00BD18C8"/>
    <w:rsid w:val="00BF48DE"/>
    <w:rsid w:val="00C415E9"/>
    <w:rsid w:val="00C7752B"/>
    <w:rsid w:val="00C85CE8"/>
    <w:rsid w:val="00CA117E"/>
    <w:rsid w:val="00D4055D"/>
    <w:rsid w:val="00D93F9D"/>
    <w:rsid w:val="00DA4FDA"/>
    <w:rsid w:val="00E54BE2"/>
    <w:rsid w:val="00F251E5"/>
    <w:rsid w:val="00F566E4"/>
    <w:rsid w:val="00FE19B3"/>
    <w:rsid w:val="00FE1F9B"/>
    <w:rsid w:val="01A35B5C"/>
    <w:rsid w:val="09EA0AA5"/>
    <w:rsid w:val="09FE6E56"/>
    <w:rsid w:val="0CCF5881"/>
    <w:rsid w:val="0EEE0C6B"/>
    <w:rsid w:val="100B407B"/>
    <w:rsid w:val="1BCD48DA"/>
    <w:rsid w:val="265248D9"/>
    <w:rsid w:val="27F71C0E"/>
    <w:rsid w:val="313F51D5"/>
    <w:rsid w:val="36140EF6"/>
    <w:rsid w:val="3B4B68CB"/>
    <w:rsid w:val="3BB47A2E"/>
    <w:rsid w:val="3E405364"/>
    <w:rsid w:val="3FB6697C"/>
    <w:rsid w:val="418C2076"/>
    <w:rsid w:val="4A2033D0"/>
    <w:rsid w:val="4A581909"/>
    <w:rsid w:val="4B247B60"/>
    <w:rsid w:val="53FC00FE"/>
    <w:rsid w:val="5F324C29"/>
    <w:rsid w:val="67CD648C"/>
    <w:rsid w:val="687F4E68"/>
    <w:rsid w:val="6D000D49"/>
    <w:rsid w:val="725B6C9D"/>
    <w:rsid w:val="72C22595"/>
    <w:rsid w:val="74C2448C"/>
    <w:rsid w:val="79CA35D6"/>
    <w:rsid w:val="7D591CA2"/>
    <w:rsid w:val="7D9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numPr>
        <w:ilvl w:val="2"/>
        <w:numId w:val="1"/>
      </w:numPr>
      <w:spacing w:before="260" w:after="260" w:line="415" w:lineRule="auto"/>
      <w:ind w:firstLineChars="0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 2"/>
    <w:basedOn w:val="1"/>
    <w:next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5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Body Text First Indent"/>
    <w:basedOn w:val="3"/>
    <w:unhideWhenUsed/>
    <w:qFormat/>
    <w:uiPriority w:val="99"/>
    <w:pPr>
      <w:spacing w:line="240" w:lineRule="auto"/>
      <w:ind w:firstLine="420" w:firstLineChars="100"/>
    </w:pPr>
    <w:rPr>
      <w:rFonts w:ascii="Calibri" w:hAnsi="Calibri"/>
      <w:sz w:val="21"/>
    </w:rPr>
  </w:style>
  <w:style w:type="character" w:customStyle="1" w:styleId="11">
    <w:name w:val="NormalCharacter"/>
    <w:qFormat/>
    <w:uiPriority w:val="0"/>
  </w:style>
  <w:style w:type="paragraph" w:customStyle="1" w:styleId="12">
    <w:name w:val="PlainText"/>
    <w:basedOn w:val="1"/>
    <w:qFormat/>
    <w:uiPriority w:val="0"/>
    <w:rPr>
      <w:rFonts w:ascii="宋体" w:hAnsi="Courier New"/>
      <w:szCs w:val="21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Char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批注框文本 Char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8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1123</Words>
  <Characters>1157</Characters>
  <Lines>7</Lines>
  <Paragraphs>2</Paragraphs>
  <TotalTime>83</TotalTime>
  <ScaleCrop>false</ScaleCrop>
  <LinksUpToDate>false</LinksUpToDate>
  <CharactersWithSpaces>1165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2024-02-05T04:36:00Z</dcterms:created>
  <dc:creator>Administrator</dc:creator>
  <cp:lastModifiedBy>陈旭磊</cp:lastModifiedBy>
  <cp:lastPrinted>2024-02-27T09:31:00Z</cp:lastPrinted>
  <dcterms:modified xsi:type="dcterms:W3CDTF">2024-10-29T06:19:05Z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0BBE601AB3A540F7BA4E7183EDB6B462</vt:lpwstr>
  </property>
</Properties>
</file>