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5" w:rightChars="12"/>
        <w:jc w:val="both"/>
        <w:rPr>
          <w:rFonts w:hint="default" w:ascii="仿宋_GB2312" w:hAnsi="宋体" w:eastAsia="仿宋_GB2312" w:cs="Tahoma"/>
          <w:b w:val="0"/>
          <w:bCs/>
          <w:color w:val="000000" w:themeColor="text1"/>
          <w:sz w:val="32"/>
          <w:szCs w:val="32"/>
          <w:lang w:val="en-US" w:eastAsia="zh-CN"/>
          <w14:textFill>
            <w14:solidFill>
              <w14:schemeClr w14:val="tx1"/>
            </w14:solidFill>
          </w14:textFill>
        </w:rPr>
      </w:pPr>
      <w:r>
        <w:rPr>
          <w:rFonts w:hint="eastAsia" w:ascii="仿宋_GB2312" w:hAnsi="宋体" w:eastAsia="仿宋_GB2312" w:cs="Tahoma"/>
          <w:b w:val="0"/>
          <w:bCs/>
          <w:color w:val="000000" w:themeColor="text1"/>
          <w:sz w:val="32"/>
          <w:szCs w:val="32"/>
          <w:lang w:val="en-US" w:eastAsia="zh-CN"/>
          <w14:textFill>
            <w14:solidFill>
              <w14:schemeClr w14:val="tx1"/>
            </w14:solidFill>
          </w14:textFill>
        </w:rPr>
        <w:t>附件3：</w:t>
      </w:r>
    </w:p>
    <w:p>
      <w:pPr>
        <w:spacing w:line="360" w:lineRule="auto"/>
        <w:ind w:right="25" w:rightChars="12"/>
        <w:jc w:val="center"/>
        <w:rPr>
          <w:rFonts w:hint="eastAsia" w:ascii="方正小标宋简体" w:hAnsi="方正小标宋简体" w:eastAsia="方正小标宋简体" w:cs="方正小标宋简体"/>
          <w:b/>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color w:val="000000" w:themeColor="text1"/>
          <w:sz w:val="44"/>
          <w:szCs w:val="44"/>
          <w:lang w:val="en-US" w:eastAsia="zh-CN"/>
          <w14:textFill>
            <w14:solidFill>
              <w14:schemeClr w14:val="tx1"/>
            </w14:solidFill>
          </w14:textFill>
        </w:rPr>
        <w:t>评分标准</w:t>
      </w:r>
    </w:p>
    <w:p>
      <w:pPr>
        <w:pStyle w:val="2"/>
        <w:ind w:firstLine="640" w:firstLineChars="200"/>
        <w:rPr>
          <w:rFonts w:hint="default" w:eastAsia="仿宋_GB2312"/>
          <w:b w:val="0"/>
          <w:bCs/>
          <w:lang w:val="en-US" w:eastAsia="zh-CN"/>
        </w:rPr>
      </w:pPr>
      <w:r>
        <w:rPr>
          <w:rFonts w:hint="eastAsia" w:eastAsia="仿宋_GB2312"/>
          <w:b w:val="0"/>
          <w:bCs/>
          <w:lang w:val="en-US" w:eastAsia="zh-CN"/>
        </w:rPr>
        <w:t>本项目采用综合评分法方法进行评审，具体评分细则详见综合评分表。</w:t>
      </w:r>
    </w:p>
    <w:tbl>
      <w:tblPr>
        <w:tblStyle w:val="7"/>
        <w:tblW w:w="5227" w:type="pct"/>
        <w:jc w:val="center"/>
        <w:tblLayout w:type="autofit"/>
        <w:tblCellMar>
          <w:top w:w="0" w:type="dxa"/>
          <w:left w:w="108" w:type="dxa"/>
          <w:bottom w:w="0" w:type="dxa"/>
          <w:right w:w="108" w:type="dxa"/>
        </w:tblCellMar>
      </w:tblPr>
      <w:tblGrid>
        <w:gridCol w:w="664"/>
        <w:gridCol w:w="2"/>
        <w:gridCol w:w="990"/>
        <w:gridCol w:w="14"/>
        <w:gridCol w:w="878"/>
        <w:gridCol w:w="6349"/>
        <w:gridCol w:w="12"/>
      </w:tblGrid>
      <w:tr>
        <w:tblPrEx>
          <w:tblCellMar>
            <w:top w:w="0" w:type="dxa"/>
            <w:left w:w="108" w:type="dxa"/>
            <w:bottom w:w="0" w:type="dxa"/>
            <w:right w:w="108" w:type="dxa"/>
          </w:tblCellMar>
        </w:tblPrEx>
        <w:trPr>
          <w:gridAfter w:val="1"/>
          <w:wAfter w:w="6" w:type="pct"/>
          <w:trHeight w:val="703" w:hRule="atLeast"/>
          <w:jc w:val="center"/>
        </w:trPr>
        <w:tc>
          <w:tcPr>
            <w:tcW w:w="4993" w:type="pct"/>
            <w:gridSpan w:val="6"/>
            <w:tcBorders>
              <w:top w:val="single" w:color="auto" w:sz="8" w:space="0"/>
              <w:left w:val="single" w:color="auto" w:sz="8" w:space="0"/>
              <w:bottom w:val="single" w:color="auto" w:sz="6" w:space="0"/>
              <w:right w:val="single" w:color="auto" w:sz="6" w:space="0"/>
            </w:tcBorders>
            <w:vAlign w:val="center"/>
          </w:tcPr>
          <w:p>
            <w:pPr>
              <w:spacing w:line="360" w:lineRule="auto"/>
              <w:jc w:val="center"/>
              <w:rPr>
                <w:rFonts w:hint="default" w:ascii="仿宋_GB2312" w:hAnsi="宋体" w:eastAsia="仿宋_GB2312"/>
                <w:b/>
                <w:color w:val="000000" w:themeColor="text1"/>
                <w:sz w:val="24"/>
                <w:szCs w:val="24"/>
                <w:lang w:val="en-US" w:eastAsia="zh-CN"/>
                <w14:textFill>
                  <w14:solidFill>
                    <w14:schemeClr w14:val="tx1"/>
                  </w14:solidFill>
                </w14:textFill>
              </w:rPr>
            </w:pPr>
            <w:r>
              <w:rPr>
                <w:rFonts w:hint="eastAsia" w:ascii="仿宋_GB2312" w:hAnsi="宋体" w:eastAsia="仿宋_GB2312"/>
                <w:b w:val="0"/>
                <w:bCs/>
                <w:color w:val="000000" w:themeColor="text1"/>
                <w:sz w:val="24"/>
                <w:szCs w:val="24"/>
                <w:lang w:val="en-US" w:eastAsia="zh-CN"/>
                <w14:textFill>
                  <w14:solidFill>
                    <w14:schemeClr w14:val="tx1"/>
                  </w14:solidFill>
                </w14:textFill>
              </w:rPr>
              <w:t>1、技术部分（50分）</w:t>
            </w:r>
          </w:p>
        </w:tc>
      </w:tr>
      <w:tr>
        <w:tblPrEx>
          <w:tblCellMar>
            <w:top w:w="0" w:type="dxa"/>
            <w:left w:w="108" w:type="dxa"/>
            <w:bottom w:w="0" w:type="dxa"/>
            <w:right w:w="108" w:type="dxa"/>
          </w:tblCellMar>
        </w:tblPrEx>
        <w:trPr>
          <w:gridAfter w:val="1"/>
          <w:wAfter w:w="6" w:type="pct"/>
          <w:trHeight w:val="703" w:hRule="atLeast"/>
          <w:jc w:val="center"/>
        </w:trPr>
        <w:tc>
          <w:tcPr>
            <w:tcW w:w="373" w:type="pct"/>
            <w:tcBorders>
              <w:top w:val="single" w:color="auto" w:sz="8" w:space="0"/>
              <w:left w:val="single" w:color="auto" w:sz="8" w:space="0"/>
              <w:bottom w:val="single" w:color="auto" w:sz="6" w:space="0"/>
              <w:right w:val="single" w:color="auto" w:sz="4" w:space="0"/>
            </w:tcBorders>
            <w:vAlign w:val="center"/>
          </w:tcPr>
          <w:p>
            <w:pPr>
              <w:spacing w:line="360" w:lineRule="auto"/>
              <w:jc w:val="center"/>
              <w:rPr>
                <w:rFonts w:ascii="仿宋_GB2312" w:hAnsi="宋体" w:eastAsia="仿宋_GB2312"/>
                <w:b/>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序号</w:t>
            </w:r>
          </w:p>
        </w:tc>
        <w:tc>
          <w:tcPr>
            <w:tcW w:w="564" w:type="pct"/>
            <w:gridSpan w:val="3"/>
            <w:tcBorders>
              <w:top w:val="single" w:color="auto" w:sz="8" w:space="0"/>
              <w:left w:val="single" w:color="auto" w:sz="4" w:space="0"/>
              <w:bottom w:val="single" w:color="auto" w:sz="6" w:space="0"/>
              <w:right w:val="single" w:color="auto" w:sz="6" w:space="0"/>
            </w:tcBorders>
            <w:vAlign w:val="center"/>
          </w:tcPr>
          <w:p>
            <w:pPr>
              <w:spacing w:line="360" w:lineRule="auto"/>
              <w:jc w:val="both"/>
              <w:rPr>
                <w:rFonts w:hint="default" w:ascii="仿宋_GB2312" w:hAnsi="宋体" w:eastAsia="仿宋_GB2312"/>
                <w:b/>
                <w:color w:val="000000" w:themeColor="text1"/>
                <w:sz w:val="24"/>
                <w:szCs w:val="24"/>
                <w:lang w:val="en-US" w:eastAsia="zh-CN"/>
                <w14:textFill>
                  <w14:solidFill>
                    <w14:schemeClr w14:val="tx1"/>
                  </w14:solidFill>
                </w14:textFill>
              </w:rPr>
            </w:pPr>
            <w:r>
              <w:rPr>
                <w:rFonts w:hint="eastAsia" w:ascii="仿宋_GB2312" w:hAnsi="宋体" w:eastAsia="仿宋_GB2312"/>
                <w:b/>
                <w:color w:val="000000" w:themeColor="text1"/>
                <w:sz w:val="24"/>
                <w:szCs w:val="24"/>
                <w:lang w:val="en-US" w:eastAsia="zh-CN"/>
                <w14:textFill>
                  <w14:solidFill>
                    <w14:schemeClr w14:val="tx1"/>
                  </w14:solidFill>
                </w14:textFill>
              </w:rPr>
              <w:t>评价指标</w:t>
            </w:r>
          </w:p>
        </w:tc>
        <w:tc>
          <w:tcPr>
            <w:tcW w:w="493" w:type="pct"/>
            <w:tcBorders>
              <w:top w:val="single" w:color="auto" w:sz="8"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b/>
                <w:color w:val="000000" w:themeColor="text1"/>
                <w:sz w:val="24"/>
                <w:szCs w:val="24"/>
                <w14:textFill>
                  <w14:solidFill>
                    <w14:schemeClr w14:val="tx1"/>
                  </w14:solidFill>
                </w14:textFill>
              </w:rPr>
            </w:pPr>
            <w:r>
              <w:rPr>
                <w:rFonts w:hint="eastAsia" w:ascii="仿宋_GB2312" w:hAnsi="宋体" w:eastAsia="仿宋_GB2312"/>
                <w:b/>
                <w:color w:val="000000" w:themeColor="text1"/>
                <w:sz w:val="24"/>
                <w:szCs w:val="24"/>
                <w14:textFill>
                  <w14:solidFill>
                    <w14:schemeClr w14:val="tx1"/>
                  </w14:solidFill>
                </w14:textFill>
              </w:rPr>
              <w:t>分值</w:t>
            </w:r>
          </w:p>
        </w:tc>
        <w:tc>
          <w:tcPr>
            <w:tcW w:w="3561" w:type="pct"/>
            <w:tcBorders>
              <w:top w:val="single" w:color="auto" w:sz="8" w:space="0"/>
              <w:left w:val="single" w:color="auto" w:sz="6" w:space="0"/>
              <w:bottom w:val="single" w:color="auto" w:sz="6" w:space="0"/>
              <w:right w:val="single" w:color="auto" w:sz="6" w:space="0"/>
            </w:tcBorders>
            <w:vAlign w:val="center"/>
          </w:tcPr>
          <w:p>
            <w:pPr>
              <w:spacing w:line="360" w:lineRule="auto"/>
              <w:jc w:val="center"/>
              <w:rPr>
                <w:rFonts w:hint="default" w:ascii="仿宋_GB2312" w:hAnsi="宋体" w:eastAsia="仿宋_GB2312"/>
                <w:b/>
                <w:color w:val="000000" w:themeColor="text1"/>
                <w:sz w:val="24"/>
                <w:szCs w:val="24"/>
                <w:lang w:val="en-US" w:eastAsia="zh-CN"/>
                <w14:textFill>
                  <w14:solidFill>
                    <w14:schemeClr w14:val="tx1"/>
                  </w14:solidFill>
                </w14:textFill>
              </w:rPr>
            </w:pPr>
            <w:r>
              <w:rPr>
                <w:rFonts w:hint="eastAsia" w:ascii="仿宋_GB2312" w:hAnsi="宋体" w:eastAsia="仿宋_GB2312"/>
                <w:b/>
                <w:color w:val="000000" w:themeColor="text1"/>
                <w:sz w:val="24"/>
                <w:szCs w:val="24"/>
                <w:lang w:val="en-US" w:eastAsia="zh-CN"/>
                <w14:textFill>
                  <w14:solidFill>
                    <w14:schemeClr w14:val="tx1"/>
                  </w14:solidFill>
                </w14:textFill>
              </w:rPr>
              <w:t>评分细则</w:t>
            </w:r>
          </w:p>
        </w:tc>
      </w:tr>
      <w:tr>
        <w:tblPrEx>
          <w:tblCellMar>
            <w:top w:w="0" w:type="dxa"/>
            <w:left w:w="108" w:type="dxa"/>
            <w:bottom w:w="0" w:type="dxa"/>
            <w:right w:w="108" w:type="dxa"/>
          </w:tblCellMar>
        </w:tblPrEx>
        <w:trPr>
          <w:gridAfter w:val="1"/>
          <w:wAfter w:w="6" w:type="pct"/>
          <w:trHeight w:val="506" w:hRule="atLeast"/>
          <w:jc w:val="center"/>
        </w:trPr>
        <w:tc>
          <w:tcPr>
            <w:tcW w:w="373" w:type="pct"/>
            <w:tcBorders>
              <w:top w:val="single" w:color="auto" w:sz="6" w:space="0"/>
              <w:left w:val="single" w:color="auto" w:sz="8" w:space="0"/>
              <w:bottom w:val="single" w:color="auto" w:sz="6" w:space="0"/>
              <w:right w:val="single" w:color="auto" w:sz="6" w:space="0"/>
            </w:tcBorders>
            <w:vAlign w:val="center"/>
          </w:tcPr>
          <w:p>
            <w:pPr>
              <w:spacing w:line="36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w:t>
            </w:r>
          </w:p>
        </w:tc>
        <w:tc>
          <w:tcPr>
            <w:tcW w:w="564" w:type="pct"/>
            <w:gridSpan w:val="3"/>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_GB2312" w:eastAsia="仿宋_GB2312" w:hAnsiTheme="minorEastAsia"/>
                <w:snapToGrid w:val="0"/>
                <w:color w:val="000000" w:themeColor="text1"/>
                <w:kern w:val="0"/>
                <w:sz w:val="24"/>
                <w:szCs w:val="24"/>
                <w14:textFill>
                  <w14:solidFill>
                    <w14:schemeClr w14:val="tx1"/>
                  </w14:solidFill>
                </w14:textFill>
              </w:rPr>
            </w:pPr>
            <w:r>
              <w:rPr>
                <w:rFonts w:hint="eastAsia" w:ascii="仿宋_GB2312" w:hAnsi="宋体" w:eastAsia="仿宋_GB2312"/>
                <w:bCs/>
                <w:snapToGrid w:val="0"/>
                <w:color w:val="000000" w:themeColor="text1"/>
                <w:kern w:val="0"/>
                <w:sz w:val="24"/>
                <w:szCs w:val="24"/>
                <w14:textFill>
                  <w14:solidFill>
                    <w14:schemeClr w14:val="tx1"/>
                  </w14:solidFill>
                </w14:textFill>
              </w:rPr>
              <w:t>实施方案</w:t>
            </w:r>
          </w:p>
        </w:tc>
        <w:tc>
          <w:tcPr>
            <w:tcW w:w="493"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_GB2312" w:eastAsia="仿宋_GB2312" w:hAnsiTheme="minorEastAsia"/>
                <w:snapToGrid w:val="0"/>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sz w:val="24"/>
                <w:szCs w:val="24"/>
                <w14:textFill>
                  <w14:solidFill>
                    <w14:schemeClr w14:val="tx1"/>
                  </w14:solidFill>
                </w14:textFill>
              </w:rPr>
              <w:t>20分</w:t>
            </w:r>
          </w:p>
        </w:tc>
        <w:tc>
          <w:tcPr>
            <w:tcW w:w="3561" w:type="pct"/>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仿宋_GB2312" w:hAnsi="宋体" w:eastAsia="仿宋_GB2312" w:cs="宋体_x0004_fal"/>
                <w:b/>
                <w:bCs/>
                <w:color w:val="000000" w:themeColor="text1"/>
                <w:kern w:val="0"/>
                <w:sz w:val="24"/>
                <w:szCs w:val="24"/>
                <w14:textFill>
                  <w14:solidFill>
                    <w14:schemeClr w14:val="tx1"/>
                  </w14:solidFill>
                </w14:textFill>
              </w:rPr>
            </w:pPr>
            <w:r>
              <w:rPr>
                <w:rFonts w:hint="eastAsia" w:ascii="仿宋_GB2312" w:hAnsi="宋体" w:eastAsia="仿宋_GB2312" w:cs="宋体_x0004_fal"/>
                <w:b/>
                <w:bCs/>
                <w:color w:val="000000" w:themeColor="text1"/>
                <w:kern w:val="0"/>
                <w:sz w:val="24"/>
                <w:szCs w:val="24"/>
                <w14:textFill>
                  <w14:solidFill>
                    <w14:schemeClr w14:val="tx1"/>
                  </w14:solidFill>
                </w14:textFill>
              </w:rPr>
              <w:t>根据响应供应商提供的实施方案（包括不限于技术思路、团队架构、对定位和目标的分析及实现途径等）进行评审：</w:t>
            </w:r>
          </w:p>
          <w:p>
            <w:pPr>
              <w:snapToGrid w:val="0"/>
              <w:spacing w:line="360" w:lineRule="auto"/>
              <w:rPr>
                <w:rFonts w:ascii="仿宋_GB2312" w:hAnsi="宋体" w:eastAsia="仿宋_GB2312" w:cs="宋体_x0004_fal"/>
                <w:color w:val="000000" w:themeColor="text1"/>
                <w:kern w:val="0"/>
                <w:sz w:val="24"/>
                <w:szCs w:val="24"/>
                <w14:textFill>
                  <w14:solidFill>
                    <w14:schemeClr w14:val="tx1"/>
                  </w14:solidFill>
                </w14:textFill>
              </w:rPr>
            </w:pPr>
            <w:r>
              <w:rPr>
                <w:rFonts w:hint="eastAsia" w:ascii="仿宋_GB2312" w:hAnsi="宋体" w:eastAsia="仿宋_GB2312" w:cs="宋体_x0004_fal"/>
                <w:color w:val="000000" w:themeColor="text1"/>
                <w:kern w:val="0"/>
                <w:sz w:val="24"/>
                <w:szCs w:val="24"/>
                <w14:textFill>
                  <w14:solidFill>
                    <w14:schemeClr w14:val="tx1"/>
                  </w14:solidFill>
                </w14:textFill>
              </w:rPr>
              <w:t>1.技术思路清晰，团队架构完整，全面涵盖服务主要内容完全符合项目实际需要，</w:t>
            </w:r>
            <w:r>
              <w:rPr>
                <w:rFonts w:hint="eastAsia" w:ascii="仿宋_GB2312" w:hAnsi="宋体" w:eastAsia="仿宋_GB2312"/>
                <w:color w:val="000000" w:themeColor="text1"/>
                <w:sz w:val="24"/>
                <w:szCs w:val="24"/>
                <w14:textFill>
                  <w14:solidFill>
                    <w14:schemeClr w14:val="tx1"/>
                  </w14:solidFill>
                </w14:textFill>
              </w:rPr>
              <w:t>对定位、目标分析全面，实现途径明确</w:t>
            </w:r>
            <w:r>
              <w:rPr>
                <w:rFonts w:hint="eastAsia" w:ascii="仿宋_GB2312" w:hAnsi="宋体" w:eastAsia="仿宋_GB2312" w:cs="宋体_x0004_fal"/>
                <w:color w:val="000000" w:themeColor="text1"/>
                <w:kern w:val="0"/>
                <w:sz w:val="24"/>
                <w:szCs w:val="24"/>
                <w14:textFill>
                  <w14:solidFill>
                    <w14:schemeClr w14:val="tx1"/>
                  </w14:solidFill>
                </w14:textFill>
              </w:rPr>
              <w:t>，预算合理，能有效保障项目顺利实施，得20分；</w:t>
            </w:r>
          </w:p>
          <w:p>
            <w:pPr>
              <w:snapToGrid w:val="0"/>
              <w:spacing w:line="360" w:lineRule="auto"/>
              <w:rPr>
                <w:rFonts w:ascii="仿宋_GB2312" w:hAnsi="宋体" w:eastAsia="仿宋_GB2312" w:cs="宋体_x0004_fal"/>
                <w:color w:val="000000" w:themeColor="text1"/>
                <w:kern w:val="0"/>
                <w:sz w:val="24"/>
                <w:szCs w:val="24"/>
                <w14:textFill>
                  <w14:solidFill>
                    <w14:schemeClr w14:val="tx1"/>
                  </w14:solidFill>
                </w14:textFill>
              </w:rPr>
            </w:pPr>
            <w:r>
              <w:rPr>
                <w:rFonts w:hint="eastAsia" w:ascii="仿宋_GB2312" w:hAnsi="宋体" w:eastAsia="仿宋_GB2312" w:cs="宋体_x0004_fal"/>
                <w:color w:val="000000" w:themeColor="text1"/>
                <w:kern w:val="0"/>
                <w:sz w:val="24"/>
                <w:szCs w:val="24"/>
                <w14:textFill>
                  <w14:solidFill>
                    <w14:schemeClr w14:val="tx1"/>
                  </w14:solidFill>
                </w14:textFill>
              </w:rPr>
              <w:t>2.技术思路</w:t>
            </w:r>
            <w:r>
              <w:rPr>
                <w:rFonts w:hint="eastAsia" w:ascii="仿宋_GB2312" w:hAnsi="宋体" w:eastAsia="仿宋_GB2312"/>
                <w:color w:val="000000" w:themeColor="text1"/>
                <w:sz w:val="24"/>
                <w:szCs w:val="24"/>
                <w14:textFill>
                  <w14:solidFill>
                    <w14:schemeClr w14:val="tx1"/>
                  </w14:solidFill>
                </w14:textFill>
              </w:rPr>
              <w:t>基本</w:t>
            </w:r>
            <w:r>
              <w:rPr>
                <w:rFonts w:hint="eastAsia" w:ascii="仿宋_GB2312" w:hAnsi="宋体" w:eastAsia="仿宋_GB2312" w:cs="宋体_x0004_fal"/>
                <w:color w:val="000000" w:themeColor="text1"/>
                <w:kern w:val="0"/>
                <w:sz w:val="24"/>
                <w:szCs w:val="24"/>
                <w14:textFill>
                  <w14:solidFill>
                    <w14:schemeClr w14:val="tx1"/>
                  </w14:solidFill>
                </w14:textFill>
              </w:rPr>
              <w:t>清晰，团队架构</w:t>
            </w:r>
            <w:r>
              <w:rPr>
                <w:rFonts w:hint="eastAsia" w:ascii="仿宋_GB2312" w:hAnsi="宋体" w:eastAsia="仿宋_GB2312"/>
                <w:color w:val="000000" w:themeColor="text1"/>
                <w:sz w:val="24"/>
                <w:szCs w:val="24"/>
                <w14:textFill>
                  <w14:solidFill>
                    <w14:schemeClr w14:val="tx1"/>
                  </w14:solidFill>
                </w14:textFill>
              </w:rPr>
              <w:t>基本</w:t>
            </w:r>
            <w:r>
              <w:rPr>
                <w:rFonts w:hint="eastAsia" w:ascii="仿宋_GB2312" w:hAnsi="宋体" w:eastAsia="仿宋_GB2312" w:cs="宋体_x0004_fal"/>
                <w:color w:val="000000" w:themeColor="text1"/>
                <w:kern w:val="0"/>
                <w:sz w:val="24"/>
                <w:szCs w:val="24"/>
                <w14:textFill>
                  <w14:solidFill>
                    <w14:schemeClr w14:val="tx1"/>
                  </w14:solidFill>
                </w14:textFill>
              </w:rPr>
              <w:t>完整，基本涵盖服务主要内容，</w:t>
            </w:r>
            <w:r>
              <w:rPr>
                <w:rFonts w:hint="eastAsia" w:ascii="仿宋_GB2312" w:hAnsi="宋体" w:eastAsia="仿宋_GB2312"/>
                <w:color w:val="000000" w:themeColor="text1"/>
                <w:sz w:val="24"/>
                <w:szCs w:val="24"/>
                <w14:textFill>
                  <w14:solidFill>
                    <w14:schemeClr w14:val="tx1"/>
                  </w14:solidFill>
                </w14:textFill>
              </w:rPr>
              <w:t>对定位、目标分析基本全面，实现途径有方向</w:t>
            </w:r>
            <w:r>
              <w:rPr>
                <w:rFonts w:hint="eastAsia" w:ascii="仿宋_GB2312" w:hAnsi="宋体" w:eastAsia="仿宋_GB2312" w:cs="宋体_x0004_fal"/>
                <w:color w:val="000000" w:themeColor="text1"/>
                <w:kern w:val="0"/>
                <w:sz w:val="24"/>
                <w:szCs w:val="24"/>
                <w14:textFill>
                  <w14:solidFill>
                    <w14:schemeClr w14:val="tx1"/>
                  </w14:solidFill>
                </w14:textFill>
              </w:rPr>
              <w:t>，预算基本合理，</w:t>
            </w:r>
            <w:r>
              <w:rPr>
                <w:rFonts w:hint="eastAsia" w:ascii="仿宋_GB2312" w:hAnsi="宋体" w:eastAsia="仿宋_GB2312"/>
                <w:color w:val="000000" w:themeColor="text1"/>
                <w:sz w:val="24"/>
                <w:szCs w:val="24"/>
                <w14:textFill>
                  <w14:solidFill>
                    <w14:schemeClr w14:val="tx1"/>
                  </w14:solidFill>
                </w14:textFill>
              </w:rPr>
              <w:t>基本</w:t>
            </w:r>
            <w:r>
              <w:rPr>
                <w:rFonts w:hint="eastAsia" w:ascii="仿宋_GB2312" w:hAnsi="宋体" w:eastAsia="仿宋_GB2312" w:cs="宋体_x0004_fal"/>
                <w:color w:val="000000" w:themeColor="text1"/>
                <w:kern w:val="0"/>
                <w:sz w:val="24"/>
                <w:szCs w:val="24"/>
                <w14:textFill>
                  <w14:solidFill>
                    <w14:schemeClr w14:val="tx1"/>
                  </w14:solidFill>
                </w14:textFill>
              </w:rPr>
              <w:t>能有效保障项目顺利实施，得10分；</w:t>
            </w:r>
          </w:p>
          <w:p>
            <w:pPr>
              <w:snapToGrid w:val="0"/>
              <w:spacing w:line="360" w:lineRule="auto"/>
              <w:rPr>
                <w:rFonts w:ascii="仿宋_GB2312" w:hAnsi="宋体" w:eastAsia="仿宋_GB2312" w:cs="宋体_x0004_fal"/>
                <w:color w:val="000000" w:themeColor="text1"/>
                <w:kern w:val="0"/>
                <w:sz w:val="24"/>
                <w:szCs w:val="24"/>
                <w14:textFill>
                  <w14:solidFill>
                    <w14:schemeClr w14:val="tx1"/>
                  </w14:solidFill>
                </w14:textFill>
              </w:rPr>
            </w:pPr>
            <w:r>
              <w:rPr>
                <w:rFonts w:hint="eastAsia" w:ascii="仿宋_GB2312" w:hAnsi="宋体" w:eastAsia="仿宋_GB2312" w:cs="宋体_x0004_fal"/>
                <w:color w:val="000000" w:themeColor="text1"/>
                <w:kern w:val="0"/>
                <w:sz w:val="24"/>
                <w:szCs w:val="24"/>
                <w14:textFill>
                  <w14:solidFill>
                    <w14:schemeClr w14:val="tx1"/>
                  </w14:solidFill>
                </w14:textFill>
              </w:rPr>
              <w:t>3.技术思路不清晰，团队架构不完整，未涵盖服务主要内容，</w:t>
            </w:r>
            <w:r>
              <w:rPr>
                <w:rFonts w:hint="eastAsia" w:ascii="仿宋_GB2312" w:hAnsi="宋体" w:eastAsia="仿宋_GB2312"/>
                <w:color w:val="000000" w:themeColor="text1"/>
                <w:sz w:val="24"/>
                <w:szCs w:val="24"/>
                <w14:textFill>
                  <w14:solidFill>
                    <w14:schemeClr w14:val="tx1"/>
                  </w14:solidFill>
                </w14:textFill>
              </w:rPr>
              <w:t>对定位、目标分析不清晰，实现途径无方向</w:t>
            </w:r>
            <w:r>
              <w:rPr>
                <w:rFonts w:hint="eastAsia" w:ascii="仿宋_GB2312" w:hAnsi="宋体" w:eastAsia="仿宋_GB2312" w:cs="宋体_x0004_fal"/>
                <w:color w:val="000000" w:themeColor="text1"/>
                <w:kern w:val="0"/>
                <w:sz w:val="24"/>
                <w:szCs w:val="24"/>
                <w14:textFill>
                  <w14:solidFill>
                    <w14:schemeClr w14:val="tx1"/>
                  </w14:solidFill>
                </w14:textFill>
              </w:rPr>
              <w:t>，预算不合理，无法保障项目顺利实施，不得分。</w:t>
            </w:r>
          </w:p>
        </w:tc>
      </w:tr>
      <w:tr>
        <w:tblPrEx>
          <w:tblCellMar>
            <w:top w:w="0" w:type="dxa"/>
            <w:left w:w="108" w:type="dxa"/>
            <w:bottom w:w="0" w:type="dxa"/>
            <w:right w:w="108" w:type="dxa"/>
          </w:tblCellMar>
        </w:tblPrEx>
        <w:trPr>
          <w:gridAfter w:val="1"/>
          <w:wAfter w:w="6" w:type="pct"/>
          <w:trHeight w:val="506" w:hRule="atLeast"/>
          <w:jc w:val="center"/>
        </w:trPr>
        <w:tc>
          <w:tcPr>
            <w:tcW w:w="373" w:type="pct"/>
            <w:tcBorders>
              <w:top w:val="single" w:color="auto" w:sz="6" w:space="0"/>
              <w:left w:val="single" w:color="auto" w:sz="8" w:space="0"/>
              <w:bottom w:val="single" w:color="auto" w:sz="6" w:space="0"/>
              <w:right w:val="single" w:color="auto" w:sz="6" w:space="0"/>
            </w:tcBorders>
            <w:vAlign w:val="center"/>
          </w:tcPr>
          <w:p>
            <w:pPr>
              <w:spacing w:line="36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2</w:t>
            </w:r>
          </w:p>
        </w:tc>
        <w:tc>
          <w:tcPr>
            <w:tcW w:w="564" w:type="pct"/>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bCs/>
                <w:snapToGrid w:val="0"/>
                <w:color w:val="000000" w:themeColor="text1"/>
                <w:kern w:val="0"/>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项目工作计划及进度安排</w:t>
            </w:r>
          </w:p>
        </w:tc>
        <w:tc>
          <w:tcPr>
            <w:tcW w:w="493"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cs="宋体"/>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20分</w:t>
            </w:r>
          </w:p>
        </w:tc>
        <w:tc>
          <w:tcPr>
            <w:tcW w:w="3561" w:type="pct"/>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eastAsia="仿宋_GB2312" w:hAnsiTheme="minorEastAsia"/>
                <w:b/>
                <w:color w:val="000000" w:themeColor="text1"/>
                <w:sz w:val="24"/>
                <w:szCs w:val="24"/>
                <w14:textFill>
                  <w14:solidFill>
                    <w14:schemeClr w14:val="tx1"/>
                  </w14:solidFill>
                </w14:textFill>
              </w:rPr>
            </w:pPr>
            <w:r>
              <w:rPr>
                <w:rFonts w:hint="eastAsia" w:ascii="仿宋_GB2312" w:eastAsia="仿宋_GB2312" w:hAnsiTheme="minorEastAsia"/>
                <w:b/>
                <w:color w:val="000000" w:themeColor="text1"/>
                <w:sz w:val="24"/>
                <w:szCs w:val="24"/>
                <w14:textFill>
                  <w14:solidFill>
                    <w14:schemeClr w14:val="tx1"/>
                  </w14:solidFill>
                </w14:textFill>
              </w:rPr>
              <w:t>根据响应供应商提供项目工作计划、进度安排、工作职责分工等内容进行评审：</w:t>
            </w:r>
          </w:p>
          <w:p>
            <w:pPr>
              <w:spacing w:line="360" w:lineRule="auto"/>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1.完全能够按照本项目的服务内容和时间要求，合理安排工作计划、进度安排合理，内容完整且职责清晰，完全符合本项目的服务要求，得20分；</w:t>
            </w:r>
          </w:p>
          <w:p>
            <w:pPr>
              <w:spacing w:line="360" w:lineRule="auto"/>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2.基本能够按照本项目的服务内容和时间要求，合理安排工作计划、进度安排合理，但内容不太完整，职责清晰，基本符合本项目的服务要求，得10分；</w:t>
            </w:r>
          </w:p>
          <w:p>
            <w:pPr>
              <w:spacing w:line="360" w:lineRule="auto"/>
              <w:rPr>
                <w:rFonts w:ascii="仿宋_GB2312" w:hAnsi="宋体" w:eastAsia="仿宋_GB2312"/>
                <w:bCs/>
                <w:snapToGrid w:val="0"/>
                <w:color w:val="000000" w:themeColor="text1"/>
                <w:sz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3.基本能够按照本项目的服务内容和时间要求，但工作计划和进度安排不太合理，内容不太完整，职责不太清晰，不太能够符合本项目的服务要求，</w:t>
            </w:r>
            <w:r>
              <w:rPr>
                <w:rFonts w:hint="eastAsia" w:ascii="仿宋_GB2312" w:hAnsi="宋体" w:eastAsia="仿宋_GB2312"/>
                <w:bCs/>
                <w:snapToGrid w:val="0"/>
                <w:color w:val="000000" w:themeColor="text1"/>
                <w:sz w:val="24"/>
                <w14:textFill>
                  <w14:solidFill>
                    <w14:schemeClr w14:val="tx1"/>
                  </w14:solidFill>
                </w14:textFill>
              </w:rPr>
              <w:t>不得分。</w:t>
            </w:r>
          </w:p>
        </w:tc>
      </w:tr>
      <w:tr>
        <w:tblPrEx>
          <w:tblCellMar>
            <w:top w:w="0" w:type="dxa"/>
            <w:left w:w="108" w:type="dxa"/>
            <w:bottom w:w="0" w:type="dxa"/>
            <w:right w:w="108" w:type="dxa"/>
          </w:tblCellMar>
        </w:tblPrEx>
        <w:trPr>
          <w:gridAfter w:val="1"/>
          <w:wAfter w:w="6" w:type="pct"/>
          <w:trHeight w:val="506" w:hRule="atLeast"/>
          <w:jc w:val="center"/>
        </w:trPr>
        <w:tc>
          <w:tcPr>
            <w:tcW w:w="373" w:type="pct"/>
            <w:tcBorders>
              <w:top w:val="single" w:color="auto" w:sz="6" w:space="0"/>
              <w:left w:val="single" w:color="auto" w:sz="8" w:space="0"/>
              <w:bottom w:val="single" w:color="auto" w:sz="6" w:space="0"/>
              <w:right w:val="single" w:color="auto" w:sz="6" w:space="0"/>
            </w:tcBorders>
            <w:vAlign w:val="center"/>
          </w:tcPr>
          <w:p>
            <w:pPr>
              <w:spacing w:line="360" w:lineRule="auto"/>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3</w:t>
            </w:r>
          </w:p>
        </w:tc>
        <w:tc>
          <w:tcPr>
            <w:tcW w:w="564" w:type="pct"/>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拟投入技术团队</w:t>
            </w:r>
          </w:p>
        </w:tc>
        <w:tc>
          <w:tcPr>
            <w:tcW w:w="493"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10分</w:t>
            </w:r>
          </w:p>
        </w:tc>
        <w:tc>
          <w:tcPr>
            <w:tcW w:w="3561" w:type="pct"/>
            <w:tcBorders>
              <w:top w:val="single" w:color="auto" w:sz="6" w:space="0"/>
              <w:left w:val="single" w:color="auto" w:sz="6" w:space="0"/>
              <w:bottom w:val="single" w:color="auto" w:sz="6" w:space="0"/>
              <w:right w:val="single" w:color="auto" w:sz="6" w:space="0"/>
            </w:tcBorders>
            <w:vAlign w:val="center"/>
          </w:tcPr>
          <w:p>
            <w:pPr>
              <w:spacing w:line="360" w:lineRule="auto"/>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响应供应商拟投入技术人员足够满足承担本项目任务的需求，人员配置完善、合理，拟投入技术力量不少10人。</w:t>
            </w:r>
          </w:p>
          <w:p>
            <w:pPr>
              <w:snapToGrid w:val="0"/>
              <w:spacing w:line="360" w:lineRule="auto"/>
              <w:ind w:left="271" w:hanging="271" w:hangingChars="113"/>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 从事植物保护工作的高级职称科研技术人员4人（含）以上，得10分；</w:t>
            </w:r>
          </w:p>
          <w:p>
            <w:pPr>
              <w:snapToGrid w:val="0"/>
              <w:spacing w:line="360" w:lineRule="auto"/>
              <w:ind w:left="271" w:hanging="271" w:hangingChars="113"/>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 从事植物保护工作的高级职称科研技术人员2人（含）以上，得6分；</w:t>
            </w:r>
          </w:p>
          <w:p>
            <w:pPr>
              <w:snapToGrid w:val="0"/>
              <w:spacing w:line="360" w:lineRule="auto"/>
              <w:ind w:left="271" w:hanging="271" w:hangingChars="113"/>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 从事植物保护工作的高级职称科研技术人员不满2人，得2分。</w:t>
            </w:r>
          </w:p>
        </w:tc>
      </w:tr>
      <w:tr>
        <w:tblPrEx>
          <w:tblCellMar>
            <w:top w:w="0" w:type="dxa"/>
            <w:left w:w="108" w:type="dxa"/>
            <w:bottom w:w="0" w:type="dxa"/>
            <w:right w:w="108" w:type="dxa"/>
          </w:tblCellMar>
        </w:tblPrEx>
        <w:trPr>
          <w:gridAfter w:val="1"/>
          <w:wAfter w:w="6" w:type="pct"/>
          <w:trHeight w:val="506" w:hRule="atLeast"/>
          <w:jc w:val="center"/>
        </w:trPr>
        <w:tc>
          <w:tcPr>
            <w:tcW w:w="4993" w:type="pct"/>
            <w:gridSpan w:val="6"/>
            <w:tcBorders>
              <w:top w:val="single" w:color="auto" w:sz="6" w:space="0"/>
              <w:left w:val="single" w:color="auto" w:sz="8" w:space="0"/>
              <w:bottom w:val="single" w:color="auto" w:sz="6" w:space="0"/>
              <w:right w:val="single" w:color="auto" w:sz="6" w:space="0"/>
            </w:tcBorders>
            <w:vAlign w:val="center"/>
          </w:tcPr>
          <w:p>
            <w:pPr>
              <w:tabs>
                <w:tab w:val="left" w:pos="3493"/>
              </w:tabs>
              <w:snapToGrid w:val="0"/>
              <w:spacing w:line="360" w:lineRule="auto"/>
              <w:ind w:left="271" w:hanging="271" w:hangingChars="113"/>
              <w:jc w:val="center"/>
              <w:rPr>
                <w:rFonts w:hint="default" w:ascii="仿宋_GB2312" w:eastAsia="仿宋_GB2312"/>
                <w:color w:val="000000" w:themeColor="text1"/>
                <w:sz w:val="24"/>
                <w:lang w:val="en-US" w:eastAsia="zh-CN"/>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2、商务部分（35分）</w:t>
            </w:r>
          </w:p>
        </w:tc>
      </w:tr>
      <w:tr>
        <w:tblPrEx>
          <w:tblCellMar>
            <w:top w:w="0" w:type="dxa"/>
            <w:left w:w="108" w:type="dxa"/>
            <w:bottom w:w="0" w:type="dxa"/>
            <w:right w:w="108" w:type="dxa"/>
          </w:tblCellMar>
        </w:tblPrEx>
        <w:trPr>
          <w:gridAfter w:val="1"/>
          <w:wAfter w:w="6" w:type="pct"/>
          <w:trHeight w:val="643" w:hRule="atLeast"/>
          <w:jc w:val="center"/>
        </w:trPr>
        <w:tc>
          <w:tcPr>
            <w:tcW w:w="373" w:type="pct"/>
            <w:tcBorders>
              <w:top w:val="single" w:color="auto" w:sz="8" w:space="0"/>
              <w:left w:val="single" w:color="auto" w:sz="8" w:space="0"/>
              <w:bottom w:val="single" w:color="auto" w:sz="6" w:space="0"/>
              <w:right w:val="single" w:color="auto" w:sz="4" w:space="0"/>
            </w:tcBorders>
            <w:vAlign w:val="center"/>
          </w:tcPr>
          <w:p>
            <w:pPr>
              <w:spacing w:line="360" w:lineRule="auto"/>
              <w:jc w:val="center"/>
              <w:rPr>
                <w:rFonts w:ascii="仿宋_GB2312" w:eastAsia="仿宋_GB2312" w:hAnsiTheme="minorEastAsia"/>
                <w:sz w:val="24"/>
                <w:szCs w:val="24"/>
              </w:rPr>
            </w:pPr>
            <w:r>
              <w:rPr>
                <w:rFonts w:hint="eastAsia" w:ascii="仿宋_GB2312" w:eastAsia="仿宋_GB2312" w:hAnsiTheme="minorEastAsia"/>
                <w:sz w:val="24"/>
                <w:szCs w:val="24"/>
              </w:rPr>
              <w:t>5</w:t>
            </w:r>
          </w:p>
        </w:tc>
        <w:tc>
          <w:tcPr>
            <w:tcW w:w="564" w:type="pct"/>
            <w:gridSpan w:val="3"/>
            <w:tcBorders>
              <w:top w:val="single" w:color="auto" w:sz="8" w:space="0"/>
              <w:left w:val="single" w:color="auto" w:sz="4" w:space="0"/>
              <w:bottom w:val="single" w:color="auto" w:sz="6" w:space="0"/>
              <w:right w:val="single" w:color="auto" w:sz="6" w:space="0"/>
            </w:tcBorders>
            <w:vAlign w:val="center"/>
          </w:tcPr>
          <w:p>
            <w:pPr>
              <w:spacing w:line="360" w:lineRule="auto"/>
              <w:jc w:val="center"/>
              <w:rPr>
                <w:rFonts w:ascii="仿宋_GB2312" w:eastAsia="仿宋_GB2312" w:hAnsiTheme="minorEastAsia"/>
                <w:sz w:val="24"/>
                <w:szCs w:val="24"/>
              </w:rPr>
            </w:pPr>
            <w:r>
              <w:rPr>
                <w:rFonts w:hint="eastAsia" w:ascii="仿宋_GB2312" w:eastAsia="仿宋_GB2312" w:hAnsiTheme="minorEastAsia"/>
                <w:sz w:val="24"/>
                <w:szCs w:val="24"/>
              </w:rPr>
              <w:t>同类业绩</w:t>
            </w:r>
          </w:p>
        </w:tc>
        <w:tc>
          <w:tcPr>
            <w:tcW w:w="493" w:type="pct"/>
            <w:tcBorders>
              <w:top w:val="single" w:color="auto" w:sz="8"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hAnsiTheme="minorEastAsia"/>
                <w:sz w:val="24"/>
                <w:szCs w:val="24"/>
              </w:rPr>
            </w:pPr>
            <w:r>
              <w:rPr>
                <w:rFonts w:hint="eastAsia" w:ascii="仿宋_GB2312" w:eastAsia="仿宋_GB2312" w:hAnsiTheme="minorEastAsia"/>
                <w:sz w:val="24"/>
                <w:szCs w:val="24"/>
              </w:rPr>
              <w:t>1</w:t>
            </w:r>
            <w:r>
              <w:rPr>
                <w:rFonts w:hint="eastAsia" w:ascii="仿宋_GB2312" w:eastAsia="仿宋_GB2312" w:hAnsiTheme="minorEastAsia"/>
                <w:sz w:val="24"/>
                <w:szCs w:val="24"/>
                <w:lang w:val="en-US" w:eastAsia="zh-CN"/>
              </w:rPr>
              <w:t>5</w:t>
            </w:r>
            <w:r>
              <w:rPr>
                <w:rFonts w:hint="eastAsia" w:ascii="仿宋_GB2312" w:eastAsia="仿宋_GB2312" w:hAnsiTheme="minorEastAsia"/>
                <w:sz w:val="24"/>
                <w:szCs w:val="24"/>
              </w:rPr>
              <w:t>分</w:t>
            </w:r>
          </w:p>
        </w:tc>
        <w:tc>
          <w:tcPr>
            <w:tcW w:w="3561" w:type="pct"/>
            <w:tcBorders>
              <w:top w:val="single" w:color="auto" w:sz="8" w:space="0"/>
              <w:left w:val="single" w:color="auto" w:sz="6" w:space="0"/>
              <w:bottom w:val="single" w:color="auto" w:sz="6" w:space="0"/>
              <w:right w:val="single" w:color="auto" w:sz="6" w:space="0"/>
            </w:tcBorders>
            <w:vAlign w:val="center"/>
          </w:tcPr>
          <w:p>
            <w:pPr>
              <w:spacing w:line="360" w:lineRule="auto"/>
              <w:rPr>
                <w:rFonts w:ascii="仿宋_GB2312" w:eastAsia="仿宋_GB2312" w:hAnsiTheme="minorEastAsia"/>
                <w:sz w:val="24"/>
                <w:szCs w:val="24"/>
              </w:rPr>
            </w:pPr>
            <w:r>
              <w:rPr>
                <w:rFonts w:hint="eastAsia" w:ascii="仿宋_GB2312" w:eastAsia="仿宋_GB2312" w:hAnsiTheme="minorEastAsia"/>
                <w:sz w:val="24"/>
                <w:szCs w:val="24"/>
              </w:rPr>
              <w:t>响应供应商自2021年1月1日以来承担过同类项目业绩，每提供一项5分，本项最高得1</w:t>
            </w:r>
            <w:r>
              <w:rPr>
                <w:rFonts w:hint="eastAsia" w:ascii="仿宋_GB2312" w:eastAsia="仿宋_GB2312" w:hAnsiTheme="minorEastAsia"/>
                <w:sz w:val="24"/>
                <w:szCs w:val="24"/>
                <w:lang w:val="en-US" w:eastAsia="zh-CN"/>
              </w:rPr>
              <w:t>5</w:t>
            </w:r>
            <w:r>
              <w:rPr>
                <w:rFonts w:hint="eastAsia" w:ascii="仿宋_GB2312" w:eastAsia="仿宋_GB2312" w:hAnsiTheme="minorEastAsia"/>
                <w:sz w:val="24"/>
                <w:szCs w:val="24"/>
              </w:rPr>
              <w:t>分。无或其它不得分。</w:t>
            </w:r>
          </w:p>
          <w:p>
            <w:pPr>
              <w:spacing w:line="360" w:lineRule="auto"/>
              <w:rPr>
                <w:rFonts w:ascii="仿宋_GB2312" w:eastAsia="仿宋_GB2312" w:hAnsiTheme="minorEastAsia"/>
                <w:b/>
                <w:sz w:val="24"/>
                <w:szCs w:val="24"/>
              </w:rPr>
            </w:pPr>
            <w:r>
              <w:rPr>
                <w:rFonts w:hint="eastAsia" w:ascii="仿宋_GB2312" w:eastAsia="仿宋_GB2312" w:hAnsiTheme="minorEastAsia"/>
                <w:b/>
                <w:bCs/>
                <w:sz w:val="24"/>
                <w:szCs w:val="24"/>
              </w:rPr>
              <w:t>（注：需至少提供合同复印件首页和参加单位盖章页，以合同签订时间为准，证明材料不清晰无法辨认的不得分。）</w:t>
            </w:r>
          </w:p>
        </w:tc>
      </w:tr>
      <w:tr>
        <w:tblPrEx>
          <w:tblCellMar>
            <w:top w:w="0" w:type="dxa"/>
            <w:left w:w="108" w:type="dxa"/>
            <w:bottom w:w="0" w:type="dxa"/>
            <w:right w:w="108" w:type="dxa"/>
          </w:tblCellMar>
        </w:tblPrEx>
        <w:trPr>
          <w:gridAfter w:val="1"/>
          <w:wAfter w:w="6" w:type="pct"/>
          <w:trHeight w:val="643" w:hRule="atLeast"/>
          <w:jc w:val="center"/>
        </w:trPr>
        <w:tc>
          <w:tcPr>
            <w:tcW w:w="373" w:type="pct"/>
            <w:tcBorders>
              <w:top w:val="single" w:color="auto" w:sz="8" w:space="0"/>
              <w:left w:val="single" w:color="auto" w:sz="8" w:space="0"/>
              <w:bottom w:val="single" w:color="auto" w:sz="6" w:space="0"/>
              <w:right w:val="single" w:color="auto" w:sz="4" w:space="0"/>
            </w:tcBorders>
            <w:vAlign w:val="center"/>
          </w:tcPr>
          <w:p>
            <w:pPr>
              <w:spacing w:line="360" w:lineRule="auto"/>
              <w:jc w:val="center"/>
              <w:rPr>
                <w:rFonts w:ascii="仿宋_GB2312" w:eastAsia="仿宋_GB2312" w:hAnsiTheme="minorEastAsia"/>
                <w:sz w:val="24"/>
                <w:szCs w:val="24"/>
              </w:rPr>
            </w:pPr>
            <w:r>
              <w:rPr>
                <w:rFonts w:hint="eastAsia" w:ascii="仿宋_GB2312" w:eastAsia="仿宋_GB2312" w:hAnsiTheme="minorEastAsia"/>
                <w:sz w:val="24"/>
                <w:szCs w:val="24"/>
              </w:rPr>
              <w:t>6</w:t>
            </w:r>
          </w:p>
        </w:tc>
        <w:tc>
          <w:tcPr>
            <w:tcW w:w="564" w:type="pct"/>
            <w:gridSpan w:val="3"/>
            <w:tcBorders>
              <w:top w:val="single" w:color="auto" w:sz="8" w:space="0"/>
              <w:left w:val="single" w:color="auto" w:sz="4" w:space="0"/>
              <w:bottom w:val="single" w:color="auto" w:sz="6" w:space="0"/>
              <w:right w:val="single" w:color="auto" w:sz="6" w:space="0"/>
            </w:tcBorders>
            <w:vAlign w:val="center"/>
          </w:tcPr>
          <w:p>
            <w:pPr>
              <w:spacing w:line="360" w:lineRule="auto"/>
              <w:jc w:val="center"/>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14:textFill>
                  <w14:solidFill>
                    <w14:schemeClr w14:val="tx1"/>
                  </w14:solidFill>
                </w14:textFill>
              </w:rPr>
              <w:t>设施配备</w:t>
            </w:r>
          </w:p>
        </w:tc>
        <w:tc>
          <w:tcPr>
            <w:tcW w:w="493" w:type="pct"/>
            <w:tcBorders>
              <w:top w:val="single" w:color="auto" w:sz="8"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hAnsiTheme="minorEastAsia"/>
                <w:color w:val="000000" w:themeColor="text1"/>
                <w:sz w:val="24"/>
                <w:szCs w:val="24"/>
                <w14:textFill>
                  <w14:solidFill>
                    <w14:schemeClr w14:val="tx1"/>
                  </w14:solidFill>
                </w14:textFill>
              </w:rPr>
            </w:pPr>
            <w:r>
              <w:rPr>
                <w:rFonts w:hint="eastAsia" w:ascii="仿宋_GB2312" w:eastAsia="仿宋_GB2312" w:hAnsiTheme="minorEastAsia"/>
                <w:color w:val="000000" w:themeColor="text1"/>
                <w:sz w:val="24"/>
                <w:szCs w:val="24"/>
                <w:lang w:val="en-US" w:eastAsia="zh-CN"/>
                <w14:textFill>
                  <w14:solidFill>
                    <w14:schemeClr w14:val="tx1"/>
                  </w14:solidFill>
                </w14:textFill>
              </w:rPr>
              <w:t>10</w:t>
            </w:r>
            <w:r>
              <w:rPr>
                <w:rFonts w:hint="eastAsia" w:ascii="仿宋_GB2312" w:eastAsia="仿宋_GB2312" w:hAnsiTheme="minorEastAsia"/>
                <w:color w:val="000000" w:themeColor="text1"/>
                <w:sz w:val="24"/>
                <w:szCs w:val="24"/>
                <w14:textFill>
                  <w14:solidFill>
                    <w14:schemeClr w14:val="tx1"/>
                  </w14:solidFill>
                </w14:textFill>
              </w:rPr>
              <w:t>分</w:t>
            </w:r>
          </w:p>
        </w:tc>
        <w:tc>
          <w:tcPr>
            <w:tcW w:w="3561" w:type="pct"/>
            <w:tcBorders>
              <w:top w:val="single" w:color="auto" w:sz="8" w:space="0"/>
              <w:left w:val="single" w:color="auto" w:sz="6" w:space="0"/>
              <w:bottom w:val="single" w:color="auto" w:sz="6" w:space="0"/>
              <w:right w:val="single" w:color="auto" w:sz="6" w:space="0"/>
            </w:tcBorders>
            <w:vAlign w:val="center"/>
          </w:tcPr>
          <w:p>
            <w:pPr>
              <w:spacing w:line="360" w:lineRule="auto"/>
              <w:rPr>
                <w:rFonts w:hint="eastAsia" w:ascii="仿宋_GB2312" w:eastAsia="仿宋_GB2312" w:hAnsiTheme="minorEastAsia"/>
                <w:sz w:val="24"/>
                <w:szCs w:val="24"/>
              </w:rPr>
            </w:pPr>
            <w:r>
              <w:rPr>
                <w:rFonts w:hint="eastAsia" w:ascii="仿宋_GB2312" w:eastAsia="仿宋_GB2312" w:hAnsiTheme="minorEastAsia"/>
                <w:sz w:val="24"/>
                <w:szCs w:val="24"/>
              </w:rPr>
              <w:t>1. 拥有国家级种质资源库、植物专类园或迁地保育场所等</w:t>
            </w:r>
            <w:r>
              <w:rPr>
                <w:rFonts w:hint="eastAsia" w:ascii="仿宋_GB2312" w:eastAsia="仿宋_GB2312" w:hAnsiTheme="minorEastAsia"/>
                <w:sz w:val="24"/>
                <w:szCs w:val="24"/>
                <w:lang w:val="en-US" w:eastAsia="zh-CN"/>
              </w:rPr>
              <w:t>资质或</w:t>
            </w:r>
            <w:r>
              <w:rPr>
                <w:rFonts w:hint="eastAsia" w:ascii="仿宋_GB2312" w:eastAsia="仿宋_GB2312" w:hAnsiTheme="minorEastAsia"/>
                <w:sz w:val="24"/>
                <w:szCs w:val="24"/>
              </w:rPr>
              <w:t>设施，得</w:t>
            </w:r>
            <w:r>
              <w:rPr>
                <w:rFonts w:hint="eastAsia" w:ascii="仿宋_GB2312" w:eastAsia="仿宋_GB2312" w:hAnsiTheme="minorEastAsia"/>
                <w:sz w:val="24"/>
                <w:szCs w:val="24"/>
                <w:lang w:val="en-US" w:eastAsia="zh-CN"/>
              </w:rPr>
              <w:t>10</w:t>
            </w:r>
            <w:r>
              <w:rPr>
                <w:rFonts w:hint="eastAsia" w:ascii="仿宋_GB2312" w:eastAsia="仿宋_GB2312" w:hAnsiTheme="minorEastAsia"/>
                <w:sz w:val="24"/>
                <w:szCs w:val="24"/>
              </w:rPr>
              <w:t>分。</w:t>
            </w:r>
          </w:p>
          <w:p>
            <w:pPr>
              <w:spacing w:line="360" w:lineRule="auto"/>
              <w:rPr>
                <w:rFonts w:hint="eastAsia" w:ascii="仿宋_GB2312" w:eastAsia="仿宋_GB2312" w:hAnsiTheme="minorEastAsia"/>
                <w:sz w:val="24"/>
                <w:szCs w:val="24"/>
              </w:rPr>
            </w:pPr>
            <w:r>
              <w:rPr>
                <w:rFonts w:hint="eastAsia" w:ascii="仿宋_GB2312" w:eastAsia="仿宋_GB2312" w:hAnsiTheme="minorEastAsia"/>
                <w:sz w:val="24"/>
                <w:szCs w:val="24"/>
              </w:rPr>
              <w:t>2. 拥有省级种质资源库、植物专类园或迁地保育场所等</w:t>
            </w:r>
            <w:r>
              <w:rPr>
                <w:rFonts w:hint="eastAsia" w:ascii="仿宋_GB2312" w:eastAsia="仿宋_GB2312" w:hAnsiTheme="minorEastAsia"/>
                <w:sz w:val="24"/>
                <w:szCs w:val="24"/>
                <w:lang w:val="en-US" w:eastAsia="zh-CN"/>
              </w:rPr>
              <w:t>资质或</w:t>
            </w:r>
            <w:r>
              <w:rPr>
                <w:rFonts w:hint="eastAsia" w:ascii="仿宋_GB2312" w:eastAsia="仿宋_GB2312" w:hAnsiTheme="minorEastAsia"/>
                <w:sz w:val="24"/>
                <w:szCs w:val="24"/>
              </w:rPr>
              <w:t>设施，得</w:t>
            </w:r>
            <w:r>
              <w:rPr>
                <w:rFonts w:hint="eastAsia" w:ascii="仿宋_GB2312" w:eastAsia="仿宋_GB2312" w:hAnsiTheme="minorEastAsia"/>
                <w:sz w:val="24"/>
                <w:szCs w:val="24"/>
                <w:lang w:val="en-US" w:eastAsia="zh-CN"/>
              </w:rPr>
              <w:t>5</w:t>
            </w:r>
            <w:r>
              <w:rPr>
                <w:rFonts w:hint="eastAsia" w:ascii="仿宋_GB2312" w:eastAsia="仿宋_GB2312" w:hAnsiTheme="minorEastAsia"/>
                <w:sz w:val="24"/>
                <w:szCs w:val="24"/>
              </w:rPr>
              <w:t>分。</w:t>
            </w:r>
          </w:p>
          <w:p>
            <w:pPr>
              <w:spacing w:line="360" w:lineRule="auto"/>
              <w:rPr>
                <w:rFonts w:hint="eastAsia" w:ascii="仿宋_GB2312" w:eastAsia="仿宋_GB2312" w:hAnsiTheme="minorEastAsia"/>
                <w:sz w:val="24"/>
                <w:szCs w:val="24"/>
              </w:rPr>
            </w:pPr>
            <w:r>
              <w:rPr>
                <w:rFonts w:hint="eastAsia" w:ascii="仿宋_GB2312" w:eastAsia="仿宋_GB2312" w:hAnsiTheme="minorEastAsia"/>
                <w:sz w:val="24"/>
                <w:szCs w:val="24"/>
              </w:rPr>
              <w:t>3. 拥有地市级或以下种质资源库、植物专类园或迁地保育场所等</w:t>
            </w:r>
            <w:r>
              <w:rPr>
                <w:rFonts w:hint="eastAsia" w:ascii="仿宋_GB2312" w:eastAsia="仿宋_GB2312" w:hAnsiTheme="minorEastAsia"/>
                <w:sz w:val="24"/>
                <w:szCs w:val="24"/>
                <w:lang w:val="en-US" w:eastAsia="zh-CN"/>
              </w:rPr>
              <w:t>资质或</w:t>
            </w:r>
            <w:r>
              <w:rPr>
                <w:rFonts w:hint="eastAsia" w:ascii="仿宋_GB2312" w:eastAsia="仿宋_GB2312" w:hAnsiTheme="minorEastAsia"/>
                <w:sz w:val="24"/>
                <w:szCs w:val="24"/>
              </w:rPr>
              <w:t>设施，得</w:t>
            </w:r>
            <w:r>
              <w:rPr>
                <w:rFonts w:hint="eastAsia" w:ascii="仿宋_GB2312" w:eastAsia="仿宋_GB2312" w:hAnsiTheme="minorEastAsia"/>
                <w:sz w:val="24"/>
                <w:szCs w:val="24"/>
                <w:lang w:val="en-US" w:eastAsia="zh-CN"/>
              </w:rPr>
              <w:t>2</w:t>
            </w:r>
            <w:r>
              <w:rPr>
                <w:rFonts w:hint="eastAsia" w:ascii="仿宋_GB2312" w:eastAsia="仿宋_GB2312" w:hAnsiTheme="minorEastAsia"/>
                <w:sz w:val="24"/>
                <w:szCs w:val="24"/>
              </w:rPr>
              <w:t>分。</w:t>
            </w:r>
          </w:p>
          <w:p>
            <w:pPr>
              <w:pStyle w:val="2"/>
            </w:pPr>
            <w:r>
              <w:rPr>
                <w:rFonts w:hint="eastAsia" w:ascii="仿宋_GB2312" w:eastAsia="仿宋_GB2312" w:hAnsiTheme="minorEastAsia"/>
                <w:b/>
                <w:bCs/>
                <w:sz w:val="24"/>
                <w:szCs w:val="24"/>
              </w:rPr>
              <w:t>（注：需提供</w:t>
            </w:r>
            <w:r>
              <w:rPr>
                <w:rFonts w:hint="eastAsia" w:ascii="仿宋_GB2312" w:eastAsia="仿宋_GB2312" w:hAnsiTheme="minorEastAsia"/>
                <w:b/>
                <w:bCs/>
                <w:sz w:val="24"/>
                <w:szCs w:val="24"/>
                <w:lang w:val="en-US" w:eastAsia="zh-CN"/>
              </w:rPr>
              <w:t>相关证明材料</w:t>
            </w:r>
            <w:r>
              <w:rPr>
                <w:rFonts w:hint="eastAsia" w:ascii="仿宋_GB2312" w:eastAsia="仿宋_GB2312" w:hAnsiTheme="minorEastAsia"/>
                <w:b/>
                <w:bCs/>
                <w:sz w:val="24"/>
                <w:szCs w:val="24"/>
              </w:rPr>
              <w:t>，证明材料不清晰无法辨认的不得分。）</w:t>
            </w:r>
          </w:p>
        </w:tc>
      </w:tr>
      <w:tr>
        <w:tblPrEx>
          <w:tblCellMar>
            <w:top w:w="0" w:type="dxa"/>
            <w:left w:w="108" w:type="dxa"/>
            <w:bottom w:w="0" w:type="dxa"/>
            <w:right w:w="108" w:type="dxa"/>
          </w:tblCellMar>
        </w:tblPrEx>
        <w:trPr>
          <w:gridAfter w:val="1"/>
          <w:wAfter w:w="6" w:type="pct"/>
          <w:trHeight w:val="643" w:hRule="atLeast"/>
          <w:jc w:val="center"/>
        </w:trPr>
        <w:tc>
          <w:tcPr>
            <w:tcW w:w="373" w:type="pct"/>
            <w:tcBorders>
              <w:top w:val="single" w:color="auto" w:sz="8" w:space="0"/>
              <w:left w:val="single" w:color="auto" w:sz="8" w:space="0"/>
              <w:bottom w:val="single" w:color="auto" w:sz="6" w:space="0"/>
              <w:right w:val="single" w:color="auto" w:sz="4" w:space="0"/>
            </w:tcBorders>
            <w:vAlign w:val="center"/>
          </w:tcPr>
          <w:p>
            <w:pPr>
              <w:spacing w:line="360" w:lineRule="auto"/>
              <w:jc w:val="center"/>
              <w:rPr>
                <w:rFonts w:ascii="仿宋_GB2312" w:eastAsia="仿宋_GB2312" w:hAnsiTheme="minorEastAsia"/>
                <w:sz w:val="24"/>
                <w:szCs w:val="24"/>
              </w:rPr>
            </w:pPr>
            <w:r>
              <w:rPr>
                <w:rFonts w:hint="eastAsia" w:ascii="仿宋_GB2312" w:eastAsia="仿宋_GB2312" w:hAnsiTheme="minorEastAsia"/>
                <w:sz w:val="24"/>
                <w:szCs w:val="24"/>
              </w:rPr>
              <w:t>7</w:t>
            </w:r>
          </w:p>
        </w:tc>
        <w:tc>
          <w:tcPr>
            <w:tcW w:w="564" w:type="pct"/>
            <w:gridSpan w:val="3"/>
            <w:tcBorders>
              <w:top w:val="single" w:color="auto" w:sz="8" w:space="0"/>
              <w:left w:val="single" w:color="auto" w:sz="4" w:space="0"/>
              <w:bottom w:val="single" w:color="auto" w:sz="6" w:space="0"/>
              <w:right w:val="single" w:color="auto" w:sz="6" w:space="0"/>
            </w:tcBorders>
            <w:vAlign w:val="center"/>
          </w:tcPr>
          <w:p>
            <w:pPr>
              <w:spacing w:line="360" w:lineRule="auto"/>
              <w:jc w:val="center"/>
              <w:rPr>
                <w:rFonts w:ascii="仿宋_GB2312" w:eastAsia="仿宋_GB2312" w:hAnsiTheme="minorEastAsia"/>
                <w:sz w:val="24"/>
                <w:szCs w:val="24"/>
              </w:rPr>
            </w:pPr>
            <w:r>
              <w:rPr>
                <w:rFonts w:hint="eastAsia" w:ascii="仿宋_GB2312" w:eastAsia="仿宋_GB2312" w:hAnsiTheme="minorEastAsia"/>
                <w:sz w:val="24"/>
                <w:szCs w:val="24"/>
              </w:rPr>
              <w:t>综合实力</w:t>
            </w:r>
          </w:p>
        </w:tc>
        <w:tc>
          <w:tcPr>
            <w:tcW w:w="493" w:type="pct"/>
            <w:tcBorders>
              <w:top w:val="single" w:color="auto" w:sz="8" w:space="0"/>
              <w:left w:val="single" w:color="auto" w:sz="6" w:space="0"/>
              <w:bottom w:val="single" w:color="auto" w:sz="6" w:space="0"/>
              <w:right w:val="single" w:color="auto" w:sz="6" w:space="0"/>
            </w:tcBorders>
            <w:vAlign w:val="center"/>
          </w:tcPr>
          <w:p>
            <w:pPr>
              <w:spacing w:line="360" w:lineRule="auto"/>
              <w:jc w:val="center"/>
              <w:rPr>
                <w:rFonts w:ascii="仿宋_GB2312" w:eastAsia="仿宋_GB2312" w:hAnsiTheme="minorEastAsia"/>
                <w:sz w:val="24"/>
                <w:szCs w:val="24"/>
              </w:rPr>
            </w:pPr>
            <w:r>
              <w:rPr>
                <w:rFonts w:hint="eastAsia" w:ascii="仿宋_GB2312" w:eastAsia="仿宋_GB2312" w:hAnsiTheme="minorEastAsia"/>
                <w:sz w:val="24"/>
                <w:szCs w:val="24"/>
                <w:lang w:val="en-US" w:eastAsia="zh-CN"/>
              </w:rPr>
              <w:t>10</w:t>
            </w:r>
            <w:r>
              <w:rPr>
                <w:rFonts w:hint="eastAsia" w:ascii="仿宋_GB2312" w:eastAsia="仿宋_GB2312" w:hAnsiTheme="minorEastAsia"/>
                <w:sz w:val="24"/>
                <w:szCs w:val="24"/>
              </w:rPr>
              <w:t>分</w:t>
            </w:r>
          </w:p>
        </w:tc>
        <w:tc>
          <w:tcPr>
            <w:tcW w:w="3561" w:type="pct"/>
            <w:tcBorders>
              <w:top w:val="single" w:color="auto" w:sz="8" w:space="0"/>
              <w:left w:val="single" w:color="auto" w:sz="6" w:space="0"/>
              <w:bottom w:val="single" w:color="auto" w:sz="6" w:space="0"/>
              <w:right w:val="single" w:color="auto" w:sz="6" w:space="0"/>
            </w:tcBorders>
            <w:vAlign w:val="center"/>
          </w:tcPr>
          <w:p>
            <w:pPr>
              <w:spacing w:line="360" w:lineRule="auto"/>
              <w:rPr>
                <w:rFonts w:ascii="仿宋_GB2312" w:eastAsia="仿宋_GB2312" w:hAnsiTheme="minorEastAsia"/>
                <w:sz w:val="24"/>
                <w:szCs w:val="24"/>
              </w:rPr>
            </w:pPr>
            <w:r>
              <w:rPr>
                <w:rFonts w:hint="eastAsia" w:ascii="仿宋_GB2312" w:eastAsia="仿宋_GB2312" w:hAnsiTheme="minorEastAsia"/>
                <w:sz w:val="24"/>
                <w:szCs w:val="24"/>
              </w:rPr>
              <w:t>响应供应商自2021年1月1日以来发表过与项目内容相关的文章或专著，或获得过植物保护相关的奖项，每有一项得</w:t>
            </w:r>
            <w:r>
              <w:rPr>
                <w:rFonts w:hint="eastAsia" w:ascii="仿宋_GB2312" w:eastAsia="仿宋_GB2312" w:hAnsiTheme="minorEastAsia"/>
                <w:sz w:val="24"/>
                <w:szCs w:val="24"/>
                <w:lang w:val="en-US" w:eastAsia="zh-CN"/>
              </w:rPr>
              <w:t>5</w:t>
            </w:r>
            <w:r>
              <w:rPr>
                <w:rFonts w:hint="eastAsia" w:ascii="仿宋_GB2312" w:eastAsia="仿宋_GB2312" w:hAnsiTheme="minorEastAsia"/>
                <w:sz w:val="24"/>
                <w:szCs w:val="24"/>
              </w:rPr>
              <w:t>分，本项最高得</w:t>
            </w:r>
            <w:r>
              <w:rPr>
                <w:rFonts w:hint="eastAsia" w:ascii="仿宋_GB2312" w:eastAsia="仿宋_GB2312" w:hAnsiTheme="minorEastAsia"/>
                <w:sz w:val="24"/>
                <w:szCs w:val="24"/>
                <w:lang w:val="en-US" w:eastAsia="zh-CN"/>
              </w:rPr>
              <w:t>10</w:t>
            </w:r>
            <w:r>
              <w:rPr>
                <w:rFonts w:hint="eastAsia" w:ascii="仿宋_GB2312" w:eastAsia="仿宋_GB2312" w:hAnsiTheme="minorEastAsia"/>
                <w:sz w:val="24"/>
                <w:szCs w:val="24"/>
              </w:rPr>
              <w:t>分。</w:t>
            </w:r>
          </w:p>
          <w:p>
            <w:pPr>
              <w:spacing w:line="360" w:lineRule="auto"/>
              <w:rPr>
                <w:rFonts w:ascii="仿宋_GB2312" w:eastAsia="仿宋_GB2312" w:hAnsiTheme="minorEastAsia"/>
                <w:sz w:val="24"/>
                <w:szCs w:val="24"/>
              </w:rPr>
            </w:pPr>
            <w:r>
              <w:rPr>
                <w:rFonts w:hint="eastAsia" w:ascii="仿宋_GB2312" w:eastAsia="仿宋_GB2312" w:hAnsiTheme="minorEastAsia"/>
                <w:b/>
                <w:bCs/>
                <w:sz w:val="24"/>
                <w:szCs w:val="24"/>
              </w:rPr>
              <w:t>（注：需提供文章首页、专著版权页或证书复印件，无提供不得分。）</w:t>
            </w:r>
          </w:p>
        </w:tc>
      </w:tr>
      <w:tr>
        <w:tblPrEx>
          <w:tblCellMar>
            <w:top w:w="0" w:type="dxa"/>
            <w:left w:w="0" w:type="dxa"/>
            <w:bottom w:w="0" w:type="dxa"/>
            <w:right w:w="0" w:type="dxa"/>
          </w:tblCellMar>
        </w:tblPrEx>
        <w:trPr>
          <w:trHeight w:val="679" w:hRule="atLeast"/>
          <w:jc w:val="center"/>
        </w:trPr>
        <w:tc>
          <w:tcPr>
            <w:tcW w:w="5000" w:type="pct"/>
            <w:gridSpan w:val="7"/>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bottom w:w="0" w:type="dxa"/>
              <w:right w:w="15" w:type="dxa"/>
            </w:tcMar>
            <w:vAlign w:val="center"/>
          </w:tcPr>
          <w:p>
            <w:pPr>
              <w:widowControl/>
              <w:jc w:val="center"/>
              <w:rPr>
                <w:rFonts w:hint="eastAsia" w:ascii="仿宋" w:hAnsi="仿宋" w:eastAsia="仿宋" w:cs="宋体"/>
                <w:b/>
                <w:bCs/>
                <w:kern w:val="0"/>
                <w:sz w:val="28"/>
                <w:szCs w:val="28"/>
                <w14:ligatures w14:val="none"/>
              </w:rPr>
            </w:pPr>
            <w:r>
              <w:rPr>
                <w:rFonts w:hint="eastAsia" w:ascii="仿宋" w:hAnsi="仿宋" w:eastAsia="仿宋" w:cs="宋体"/>
                <w:b/>
                <w:bCs/>
                <w:kern w:val="0"/>
                <w:sz w:val="28"/>
                <w:szCs w:val="28"/>
                <w14:ligatures w14:val="none"/>
              </w:rPr>
              <w:t>经济标评分表（</w:t>
            </w:r>
            <w:r>
              <w:rPr>
                <w:rFonts w:hint="eastAsia" w:ascii="仿宋" w:hAnsi="仿宋" w:eastAsia="仿宋" w:cs="宋体"/>
                <w:b/>
                <w:bCs/>
                <w:kern w:val="0"/>
                <w:sz w:val="28"/>
                <w:szCs w:val="28"/>
                <w:lang w:val="en-US" w:eastAsia="zh-CN"/>
                <w14:ligatures w14:val="none"/>
              </w:rPr>
              <w:t>15</w:t>
            </w:r>
            <w:r>
              <w:rPr>
                <w:rFonts w:hint="eastAsia" w:ascii="仿宋" w:hAnsi="仿宋" w:eastAsia="仿宋" w:cs="宋体"/>
                <w:b/>
                <w:bCs/>
                <w:kern w:val="0"/>
                <w:sz w:val="28"/>
                <w:szCs w:val="28"/>
                <w14:ligatures w14:val="none"/>
              </w:rPr>
              <w:t>分）</w:t>
            </w:r>
          </w:p>
        </w:tc>
      </w:tr>
      <w:tr>
        <w:tblPrEx>
          <w:tblCellMar>
            <w:top w:w="0" w:type="dxa"/>
            <w:left w:w="0" w:type="dxa"/>
            <w:bottom w:w="0" w:type="dxa"/>
            <w:right w:w="0" w:type="dxa"/>
          </w:tblCellMar>
        </w:tblPrEx>
        <w:trPr>
          <w:trHeight w:val="679" w:hRule="atLeast"/>
          <w:jc w:val="center"/>
        </w:trPr>
        <w:tc>
          <w:tcPr>
            <w:tcW w:w="374" w:type="pct"/>
            <w:gridSpan w:val="2"/>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bottom w:w="0" w:type="dxa"/>
              <w:right w:w="15" w:type="dxa"/>
            </w:tcMar>
            <w:vAlign w:val="center"/>
          </w:tcPr>
          <w:p>
            <w:pPr>
              <w:spacing w:line="360" w:lineRule="auto"/>
              <w:jc w:val="center"/>
              <w:rPr>
                <w:rFonts w:hint="eastAsia"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8</w:t>
            </w:r>
          </w:p>
        </w:tc>
        <w:tc>
          <w:tcPr>
            <w:tcW w:w="555"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bottom w:w="0" w:type="dxa"/>
              <w:right w:w="15" w:type="dxa"/>
            </w:tcMar>
            <w:vAlign w:val="center"/>
          </w:tcPr>
          <w:p>
            <w:pPr>
              <w:spacing w:line="360" w:lineRule="auto"/>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价格部分</w:t>
            </w:r>
          </w:p>
        </w:tc>
        <w:tc>
          <w:tcPr>
            <w:tcW w:w="501" w:type="pct"/>
            <w:gridSpan w:val="2"/>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bottom w:w="0" w:type="dxa"/>
              <w:right w:w="15" w:type="dxa"/>
            </w:tcMar>
            <w:vAlign w:val="center"/>
          </w:tcPr>
          <w:p>
            <w:pPr>
              <w:spacing w:line="360" w:lineRule="auto"/>
              <w:jc w:val="center"/>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15分</w:t>
            </w:r>
          </w:p>
        </w:tc>
        <w:tc>
          <w:tcPr>
            <w:tcW w:w="3568" w:type="pct"/>
            <w:gridSpan w:val="2"/>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bottom w:w="0" w:type="dxa"/>
              <w:right w:w="15" w:type="dxa"/>
            </w:tcMar>
            <w:vAlign w:val="center"/>
          </w:tcPr>
          <w:p>
            <w:pPr>
              <w:spacing w:line="360" w:lineRule="auto"/>
              <w:rPr>
                <w:rFonts w:hint="eastAsia" w:ascii="仿宋_GB2312" w:eastAsia="仿宋_GB2312" w:hAnsiTheme="minorEastAsia"/>
                <w:sz w:val="24"/>
                <w:szCs w:val="24"/>
              </w:rPr>
            </w:pPr>
            <w:r>
              <w:rPr>
                <w:rFonts w:hint="eastAsia" w:ascii="仿宋_GB2312" w:eastAsia="仿宋_GB2312" w:hAnsiTheme="minorEastAsia"/>
                <w:sz w:val="24"/>
                <w:szCs w:val="24"/>
              </w:rPr>
              <w:t>经济价格得分=（评标基准价/评标价）×</w:t>
            </w:r>
            <w:r>
              <w:rPr>
                <w:rFonts w:hint="eastAsia" w:ascii="仿宋_GB2312" w:eastAsia="仿宋_GB2312" w:hAnsiTheme="minorEastAsia"/>
                <w:sz w:val="24"/>
                <w:szCs w:val="24"/>
                <w:lang w:val="en-US" w:eastAsia="zh-CN"/>
              </w:rPr>
              <w:t>15</w:t>
            </w:r>
            <w:r>
              <w:rPr>
                <w:rFonts w:hint="eastAsia" w:ascii="仿宋_GB2312" w:eastAsia="仿宋_GB2312" w:hAnsiTheme="minorEastAsia"/>
                <w:sz w:val="24"/>
                <w:szCs w:val="24"/>
              </w:rPr>
              <w:t>%×100。</w:t>
            </w:r>
          </w:p>
          <w:p>
            <w:pPr>
              <w:spacing w:line="360" w:lineRule="auto"/>
              <w:rPr>
                <w:rFonts w:hint="eastAsia" w:ascii="仿宋_GB2312" w:eastAsia="仿宋_GB2312" w:hAnsiTheme="minorEastAsia"/>
                <w:sz w:val="24"/>
                <w:szCs w:val="24"/>
              </w:rPr>
            </w:pPr>
            <w:r>
              <w:rPr>
                <w:rFonts w:hint="eastAsia" w:ascii="仿宋_GB2312" w:eastAsia="仿宋_GB2312" w:hAnsiTheme="minorEastAsia"/>
                <w:sz w:val="24"/>
                <w:szCs w:val="24"/>
              </w:rPr>
              <w:t>（保留小数点后二位）</w:t>
            </w:r>
          </w:p>
          <w:p>
            <w:pPr>
              <w:spacing w:line="360" w:lineRule="auto"/>
              <w:rPr>
                <w:rFonts w:hint="eastAsia" w:ascii="仿宋_GB2312" w:eastAsia="仿宋_GB2312" w:hAnsiTheme="minorEastAsia"/>
                <w:sz w:val="24"/>
                <w:szCs w:val="24"/>
              </w:rPr>
            </w:pPr>
            <w:bookmarkStart w:id="0" w:name="_GoBack"/>
            <w:bookmarkEnd w:id="0"/>
          </w:p>
        </w:tc>
      </w:tr>
    </w:tbl>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特别说明：</w:t>
      </w:r>
    </w:p>
    <w:p>
      <w:pPr>
        <w:ind w:firstLine="640" w:firstLineChars="200"/>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kern w:val="0"/>
          <w:sz w:val="32"/>
          <w:szCs w:val="32"/>
          <w14:ligatures w14:val="none"/>
        </w:rPr>
        <w:t xml:space="preserve">( 一 )将所有商务技术评价指标所得实际评价分数相加，即为该投标人的商务技术评价得分，所有评委评出的商务技术评价得分取平均值为该投标人的商务技术标得分。 </w:t>
      </w:r>
    </w:p>
    <w:p>
      <w:pPr>
        <w:ind w:firstLine="640" w:firstLineChars="200"/>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kern w:val="0"/>
          <w:sz w:val="32"/>
          <w:szCs w:val="32"/>
          <w14:ligatures w14:val="none"/>
        </w:rPr>
        <w:t>( 二 )经济价格得分 = (评标基准价/评标价)×价格指标权重×100 。上述公式中的“ 评标基准价 ”是指满足项目需求书要求的最低评标价，其价格得分为满分。评标价为在报价基础上作算术修正后的价格，无算术修正情况下，报价即为评标价。</w:t>
      </w:r>
    </w:p>
    <w:p>
      <w:pPr>
        <w:ind w:firstLine="640" w:firstLineChars="200"/>
        <w:rPr>
          <w:rFonts w:hint="eastAsia" w:ascii="仿宋_GB2312" w:hAnsi="仿宋_GB2312" w:eastAsia="仿宋_GB2312" w:cs="仿宋_GB2312"/>
          <w:kern w:val="0"/>
          <w:sz w:val="32"/>
          <w:szCs w:val="32"/>
          <w14:ligatures w14:val="none"/>
        </w:rPr>
      </w:pPr>
      <w:r>
        <w:rPr>
          <w:rFonts w:hint="eastAsia" w:ascii="仿宋_GB2312" w:hAnsi="仿宋_GB2312" w:eastAsia="仿宋_GB2312" w:cs="仿宋_GB2312"/>
          <w:kern w:val="0"/>
          <w:sz w:val="32"/>
          <w:szCs w:val="32"/>
          <w14:ligatures w14:val="none"/>
        </w:rPr>
        <w:t xml:space="preserve">( 三 )最终得分=商务得分+技术得分+经济价格得分。 </w:t>
      </w:r>
    </w:p>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宋体_x0004_fal">
    <w:altName w:val="方正书宋_GBK"/>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F23"/>
    <w:rsid w:val="00091F23"/>
    <w:rsid w:val="00320DE7"/>
    <w:rsid w:val="004C37AD"/>
    <w:rsid w:val="00551474"/>
    <w:rsid w:val="00782D45"/>
    <w:rsid w:val="009C6592"/>
    <w:rsid w:val="00AC1C73"/>
    <w:rsid w:val="00AE3B29"/>
    <w:rsid w:val="00BB5679"/>
    <w:rsid w:val="00BC0C87"/>
    <w:rsid w:val="00C93814"/>
    <w:rsid w:val="00DB7930"/>
    <w:rsid w:val="00E96EFB"/>
    <w:rsid w:val="00EA4B4C"/>
    <w:rsid w:val="00F8709A"/>
    <w:rsid w:val="00FE6945"/>
    <w:rsid w:val="181F5710"/>
    <w:rsid w:val="239B4BE6"/>
    <w:rsid w:val="318210CD"/>
    <w:rsid w:val="4C136D80"/>
    <w:rsid w:val="6C5B5A41"/>
    <w:rsid w:val="76DA3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9"/>
    <w:qFormat/>
    <w:uiPriority w:val="0"/>
    <w:pPr>
      <w:keepNext/>
      <w:keepLines/>
      <w:adjustRightInd w:val="0"/>
      <w:snapToGrid w:val="0"/>
      <w:spacing w:line="360" w:lineRule="auto"/>
      <w:outlineLvl w:val="0"/>
    </w:pPr>
    <w:rPr>
      <w:b/>
      <w:kern w:val="44"/>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endnote text"/>
    <w:basedOn w:val="1"/>
    <w:link w:val="10"/>
    <w:unhideWhenUsed/>
    <w:qFormat/>
    <w:uiPriority w:val="99"/>
    <w:pPr>
      <w:snapToGrid w:val="0"/>
      <w:jc w:val="left"/>
    </w:pPr>
    <w:rPr>
      <w:kern w:val="0"/>
      <w:sz w:val="20"/>
      <w:szCs w:val="24"/>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2"/>
    <w:semiHidden/>
    <w:unhideWhenUsed/>
    <w:qFormat/>
    <w:uiPriority w:val="99"/>
    <w:pPr>
      <w:spacing w:after="120"/>
      <w:ind w:left="420" w:leftChars="200"/>
    </w:pPr>
    <w:rPr>
      <w:sz w:val="16"/>
      <w:szCs w:val="16"/>
    </w:rPr>
  </w:style>
  <w:style w:type="character" w:customStyle="1" w:styleId="9">
    <w:name w:val="标题 1 Char"/>
    <w:basedOn w:val="8"/>
    <w:link w:val="2"/>
    <w:qFormat/>
    <w:uiPriority w:val="0"/>
    <w:rPr>
      <w:rFonts w:ascii="Times New Roman" w:hAnsi="Times New Roman" w:eastAsia="宋体" w:cs="Times New Roman"/>
      <w:b/>
      <w:kern w:val="44"/>
      <w:sz w:val="32"/>
      <w:szCs w:val="20"/>
    </w:rPr>
  </w:style>
  <w:style w:type="character" w:customStyle="1" w:styleId="10">
    <w:name w:val="尾注文本 Char"/>
    <w:basedOn w:val="8"/>
    <w:link w:val="3"/>
    <w:qFormat/>
    <w:uiPriority w:val="99"/>
    <w:rPr>
      <w:rFonts w:ascii="Times New Roman" w:hAnsi="Times New Roman" w:eastAsia="宋体" w:cs="Times New Roman"/>
      <w:kern w:val="0"/>
      <w:sz w:val="20"/>
      <w:szCs w:val="24"/>
    </w:rPr>
  </w:style>
  <w:style w:type="paragraph" w:customStyle="1" w:styleId="11">
    <w:name w:val="_Style 3"/>
    <w:next w:val="6"/>
    <w:qFormat/>
    <w:uiPriority w:val="1"/>
    <w:pPr>
      <w:widowControl w:val="0"/>
      <w:jc w:val="both"/>
    </w:pPr>
    <w:rPr>
      <w:rFonts w:ascii="Calibri" w:hAnsi="Calibri" w:eastAsia="宋体" w:cs="Times New Roman"/>
      <w:kern w:val="2"/>
      <w:sz w:val="21"/>
      <w:szCs w:val="22"/>
      <w:lang w:val="en-US" w:eastAsia="zh-CN" w:bidi="ar-SA"/>
    </w:rPr>
  </w:style>
  <w:style w:type="character" w:customStyle="1" w:styleId="12">
    <w:name w:val="正文文本缩进 3 Char"/>
    <w:basedOn w:val="8"/>
    <w:link w:val="6"/>
    <w:semiHidden/>
    <w:qFormat/>
    <w:uiPriority w:val="99"/>
    <w:rPr>
      <w:rFonts w:ascii="Times New Roman" w:hAnsi="Times New Roman" w:eastAsia="宋体" w:cs="Times New Roman"/>
      <w:sz w:val="16"/>
      <w:szCs w:val="16"/>
    </w:rPr>
  </w:style>
  <w:style w:type="character" w:customStyle="1" w:styleId="13">
    <w:name w:val="页眉 Char"/>
    <w:basedOn w:val="8"/>
    <w:link w:val="5"/>
    <w:qFormat/>
    <w:uiPriority w:val="99"/>
    <w:rPr>
      <w:rFonts w:ascii="Times New Roman" w:hAnsi="Times New Roman" w:eastAsia="宋体" w:cs="Times New Roman"/>
      <w:sz w:val="18"/>
      <w:szCs w:val="18"/>
    </w:rPr>
  </w:style>
  <w:style w:type="character" w:customStyle="1" w:styleId="14">
    <w:name w:val="页脚 Char"/>
    <w:basedOn w:val="8"/>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170</Words>
  <Characters>971</Characters>
  <Lines>8</Lines>
  <Paragraphs>2</Paragraphs>
  <TotalTime>0</TotalTime>
  <ScaleCrop>false</ScaleCrop>
  <LinksUpToDate>false</LinksUpToDate>
  <CharactersWithSpaces>1139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2024-10-24T12:10:00Z</dcterms:created>
  <dc:creator>xb21cn</dc:creator>
  <cp:lastModifiedBy>覃梦怡</cp:lastModifiedBy>
  <dcterms:modified xsi:type="dcterms:W3CDTF">2024-10-31T06:52:53Z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00F83656E924404882653DB36A8CEBFB</vt:lpwstr>
  </property>
</Properties>
</file>