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cs="仿宋"/>
          <w:sz w:val="32"/>
          <w:szCs w:val="32"/>
          <w:lang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采购需求</w:t>
      </w:r>
    </w:p>
    <w:p>
      <w:pPr>
        <w:rPr>
          <w:rFonts w:hint="eastAsia" w:ascii="仿宋" w:hAnsi="仿宋" w:eastAsia="仿宋" w:cs="仿宋"/>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938"/>
        <w:gridCol w:w="6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14" w:type="dxa"/>
            <w:noWrap w:val="0"/>
            <w:vAlign w:val="top"/>
          </w:tcPr>
          <w:p>
            <w:pPr>
              <w:spacing w:line="579" w:lineRule="exact"/>
              <w:jc w:val="center"/>
              <w:rPr>
                <w:rFonts w:hint="eastAsia" w:ascii="仿宋" w:hAnsi="仿宋" w:eastAsia="仿宋" w:cs="仿宋"/>
                <w:sz w:val="28"/>
                <w:szCs w:val="28"/>
              </w:rPr>
            </w:pPr>
          </w:p>
        </w:tc>
        <w:tc>
          <w:tcPr>
            <w:tcW w:w="1938" w:type="dxa"/>
            <w:noWrap w:val="0"/>
            <w:vAlign w:val="top"/>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项 目</w:t>
            </w:r>
          </w:p>
        </w:tc>
        <w:tc>
          <w:tcPr>
            <w:tcW w:w="6068" w:type="dxa"/>
            <w:noWrap w:val="0"/>
            <w:vAlign w:val="top"/>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第三方服务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采购项目名称</w:t>
            </w:r>
          </w:p>
        </w:tc>
        <w:tc>
          <w:tcPr>
            <w:tcW w:w="6068" w:type="dxa"/>
            <w:noWrap w:val="0"/>
            <w:vAlign w:val="top"/>
          </w:tcPr>
          <w:p>
            <w:pPr>
              <w:pStyle w:val="9"/>
              <w:shd w:val="clear" w:color="auto" w:fill="FFFFFF"/>
              <w:spacing w:before="0" w:beforeAutospacing="0" w:after="0" w:afterAutospacing="0" w:line="480" w:lineRule="atLeast"/>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2025年度</w:t>
            </w:r>
            <w:r>
              <w:rPr>
                <w:rFonts w:hint="eastAsia" w:ascii="仿宋" w:hAnsi="仿宋" w:eastAsia="仿宋" w:cs="仿宋"/>
                <w:sz w:val="28"/>
                <w:szCs w:val="28"/>
              </w:rPr>
              <w:t>横琴粤澳深度合作区智慧物业管理服务平台</w:t>
            </w:r>
            <w:r>
              <w:rPr>
                <w:rFonts w:hint="eastAsia" w:ascii="仿宋" w:hAnsi="仿宋" w:eastAsia="仿宋" w:cs="仿宋"/>
                <w:sz w:val="28"/>
                <w:szCs w:val="28"/>
                <w:lang w:val="en-US" w:eastAsia="zh-CN"/>
              </w:rPr>
              <w:t>运维</w:t>
            </w:r>
            <w:r>
              <w:rPr>
                <w:rFonts w:hint="eastAsia" w:ascii="仿宋" w:hAnsi="仿宋" w:eastAsia="仿宋" w:cs="仿宋"/>
                <w:color w:val="000000"/>
                <w:sz w:val="28"/>
                <w:szCs w:val="28"/>
                <w:lang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资格（资质）要求</w:t>
            </w:r>
          </w:p>
        </w:tc>
        <w:tc>
          <w:tcPr>
            <w:tcW w:w="6068" w:type="dxa"/>
            <w:noWrap w:val="0"/>
            <w:vAlign w:val="top"/>
          </w:tcPr>
          <w:p>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投标单位应具备《政府采购法》第二十二条规定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的条件，提供下列要求材料及资格条件承诺函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（格式见公告附件 1）：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（1）具有独立承担民事责任的能力：响应文件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中提供在中华人民共和国境内注册的法人或其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他组织的营业执照或事业单位法人证书或社会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团体法人登记证书复印件，如供应商为自然人的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需提供自然人身份证明复印件；如国家另有规定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的，则从其规定，以上内容须加盖供应商公章；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分支机构响应的，须取得具有法人资格的总公司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（总所）出具给分支机构的授权书，并提供总公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司（总所）和分支机构的营业执照（执业许可证）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复印件加盖供应商公章。已由总公司（总所）授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权的，总公司（总所）取得的相关资质证书对分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支机构有效，法律法规或者行业另有规定的除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外。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（2）具有良好的商业信誉和健全的财务会计制 </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度（提供资格条件承诺函）；</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（3）具有履行合同所必需的设备和专业技术能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力（提供资格条件承诺函）；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（4）具有依法缴纳税收和社会保障资金的良好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记录（提供资格条件承诺函）；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（5）参加采购活动前三年内，在经营活动中没 </w:t>
            </w:r>
          </w:p>
          <w:p>
            <w:pPr>
              <w:keepNext w:val="0"/>
              <w:keepLines w:val="0"/>
              <w:widowControl/>
              <w:suppressLineNumbers w:val="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有重大违法记录（提供资格条件承诺函）。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服务内容和服务要求</w:t>
            </w:r>
          </w:p>
        </w:tc>
        <w:tc>
          <w:tcPr>
            <w:tcW w:w="6068" w:type="dxa"/>
            <w:noWrap w:val="0"/>
            <w:vAlign w:val="top"/>
          </w:tcPr>
          <w:p>
            <w:pPr>
              <w:pStyle w:val="9"/>
              <w:shd w:val="clear" w:color="auto" w:fill="FFFFFF"/>
              <w:spacing w:before="0" w:beforeAutospacing="0" w:after="0" w:afterAutospacing="0" w:line="500" w:lineRule="exact"/>
              <w:jc w:val="both"/>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1、服务内容：投标单位为采购单位提供</w:t>
            </w:r>
            <w:r>
              <w:rPr>
                <w:rFonts w:hint="eastAsia" w:ascii="仿宋" w:hAnsi="仿宋" w:eastAsia="仿宋" w:cs="仿宋"/>
                <w:sz w:val="28"/>
                <w:szCs w:val="28"/>
              </w:rPr>
              <w:t>横琴粤澳深度合作区城市规划和建设局智慧物业管理服务平台</w:t>
            </w:r>
            <w:r>
              <w:rPr>
                <w:rFonts w:hint="eastAsia" w:ascii="仿宋" w:hAnsi="仿宋" w:eastAsia="仿宋" w:cs="仿宋"/>
                <w:sz w:val="28"/>
                <w:szCs w:val="28"/>
                <w:lang w:val="en-US" w:eastAsia="zh-CN"/>
              </w:rPr>
              <w:t>运维</w:t>
            </w:r>
            <w:r>
              <w:rPr>
                <w:rFonts w:hint="eastAsia" w:ascii="仿宋" w:hAnsi="仿宋" w:eastAsia="仿宋" w:cs="仿宋"/>
                <w:color w:val="000000"/>
                <w:sz w:val="28"/>
                <w:szCs w:val="28"/>
              </w:rPr>
              <w:t>服务，服务具体内容详见下文</w:t>
            </w:r>
            <w:r>
              <w:rPr>
                <w:rFonts w:hint="eastAsia" w:ascii="仿宋" w:hAnsi="仿宋" w:eastAsia="仿宋" w:cs="仿宋"/>
                <w:color w:val="000000"/>
                <w:sz w:val="28"/>
                <w:szCs w:val="28"/>
                <w:shd w:val="clear" w:color="auto" w:fill="FFFFFF"/>
              </w:rPr>
              <w:t>。</w:t>
            </w:r>
          </w:p>
          <w:p>
            <w:pPr>
              <w:pStyle w:val="9"/>
              <w:shd w:val="clear" w:color="auto" w:fill="FFFFFF"/>
              <w:spacing w:before="0" w:beforeAutospacing="0" w:after="0" w:afterAutospacing="0" w:line="500" w:lineRule="exact"/>
              <w:jc w:val="both"/>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2.服务要求：</w:t>
            </w:r>
          </w:p>
          <w:p>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运维服务</w:t>
            </w:r>
            <w:r>
              <w:rPr>
                <w:rFonts w:hint="eastAsia" w:ascii="仿宋" w:hAnsi="仿宋" w:eastAsia="仿宋" w:cs="仿宋"/>
                <w:color w:val="000000"/>
                <w:sz w:val="28"/>
                <w:szCs w:val="28"/>
              </w:rPr>
              <w:t>期间，中标单位需设立专人负责热线电话，及时解决使用过程中</w:t>
            </w:r>
            <w:r>
              <w:rPr>
                <w:rFonts w:hint="eastAsia" w:ascii="仿宋" w:hAnsi="仿宋" w:eastAsia="仿宋" w:cs="仿宋"/>
                <w:color w:val="000000"/>
                <w:sz w:val="28"/>
                <w:szCs w:val="28"/>
                <w:lang w:val="en-US" w:eastAsia="zh-CN"/>
              </w:rPr>
              <w:t>采购人</w:t>
            </w:r>
            <w:r>
              <w:rPr>
                <w:rFonts w:hint="eastAsia" w:ascii="仿宋" w:hAnsi="仿宋" w:eastAsia="仿宋" w:cs="仿宋"/>
                <w:color w:val="000000"/>
                <w:sz w:val="28"/>
                <w:szCs w:val="28"/>
              </w:rPr>
              <w:t>的疑问，提供7*24小时的实时服务，保证</w:t>
            </w:r>
            <w:r>
              <w:rPr>
                <w:rFonts w:hint="eastAsia" w:ascii="仿宋" w:hAnsi="仿宋" w:eastAsia="仿宋" w:cs="仿宋"/>
                <w:color w:val="000000"/>
                <w:sz w:val="28"/>
                <w:szCs w:val="28"/>
                <w:lang w:val="en-US" w:eastAsia="zh-CN"/>
              </w:rPr>
              <w:t>系统</w:t>
            </w:r>
            <w:r>
              <w:rPr>
                <w:rFonts w:hint="eastAsia" w:ascii="仿宋" w:hAnsi="仿宋" w:eastAsia="仿宋" w:cs="仿宋"/>
                <w:color w:val="000000"/>
                <w:sz w:val="28"/>
                <w:szCs w:val="28"/>
              </w:rPr>
              <w:t>的可靠运行。电话或远程服务未能解决问题的，需根据采购单位要求，在</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小时内到达现场处理。</w:t>
            </w:r>
          </w:p>
          <w:p>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运维服务</w:t>
            </w:r>
            <w:r>
              <w:rPr>
                <w:rFonts w:hint="eastAsia" w:ascii="仿宋" w:hAnsi="仿宋" w:eastAsia="仿宋" w:cs="仿宋"/>
                <w:color w:val="000000"/>
                <w:sz w:val="28"/>
                <w:szCs w:val="28"/>
              </w:rPr>
              <w:t>期间，如中标单位派人到采购</w:t>
            </w:r>
            <w:r>
              <w:rPr>
                <w:rFonts w:hint="eastAsia" w:ascii="仿宋" w:hAnsi="仿宋" w:eastAsia="仿宋" w:cs="仿宋"/>
                <w:color w:val="000000"/>
                <w:sz w:val="28"/>
                <w:szCs w:val="28"/>
                <w:lang w:val="en-US" w:eastAsia="zh-CN"/>
              </w:rPr>
              <w:t>人</w:t>
            </w:r>
            <w:r>
              <w:rPr>
                <w:rFonts w:hint="eastAsia" w:ascii="仿宋" w:hAnsi="仿宋" w:eastAsia="仿宋" w:cs="仿宋"/>
                <w:color w:val="000000"/>
                <w:sz w:val="28"/>
                <w:szCs w:val="28"/>
              </w:rPr>
              <w:t>进行现场维护、升级、故障排查等服务，由此产生的一切费用均由中标单位承担。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合同履行地点</w:t>
            </w:r>
          </w:p>
        </w:tc>
        <w:tc>
          <w:tcPr>
            <w:tcW w:w="6068" w:type="dxa"/>
            <w:noWrap w:val="0"/>
            <w:vAlign w:val="center"/>
          </w:tcPr>
          <w:p>
            <w:pPr>
              <w:spacing w:line="579" w:lineRule="exact"/>
              <w:jc w:val="left"/>
              <w:rPr>
                <w:rFonts w:hint="eastAsia" w:ascii="仿宋" w:hAnsi="仿宋" w:eastAsia="仿宋" w:cs="仿宋"/>
                <w:sz w:val="28"/>
                <w:szCs w:val="28"/>
              </w:rPr>
            </w:pPr>
            <w:r>
              <w:rPr>
                <w:rFonts w:hint="eastAsia" w:ascii="仿宋" w:hAnsi="仿宋" w:eastAsia="仿宋" w:cs="仿宋"/>
                <w:color w:val="000000"/>
                <w:kern w:val="0"/>
                <w:sz w:val="28"/>
                <w:szCs w:val="28"/>
              </w:rPr>
              <w:t>横琴粤澳深度合作区行政区域内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1938" w:type="dxa"/>
            <w:noWrap w:val="0"/>
            <w:vAlign w:val="center"/>
          </w:tcPr>
          <w:p>
            <w:pPr>
              <w:spacing w:line="579"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公开选取方式和预算金额</w:t>
            </w:r>
          </w:p>
        </w:tc>
        <w:tc>
          <w:tcPr>
            <w:tcW w:w="6068" w:type="dxa"/>
            <w:noWrap w:val="0"/>
            <w:vAlign w:val="top"/>
          </w:tcPr>
          <w:p>
            <w:pPr>
              <w:spacing w:line="579" w:lineRule="exac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公开选取方式：按</w:t>
            </w:r>
            <w:r>
              <w:rPr>
                <w:rFonts w:hint="eastAsia" w:ascii="仿宋" w:hAnsi="仿宋" w:eastAsia="仿宋" w:cs="仿宋"/>
                <w:color w:val="000000"/>
                <w:kern w:val="0"/>
                <w:sz w:val="28"/>
                <w:szCs w:val="28"/>
                <w:highlight w:val="none"/>
                <w:lang w:eastAsia="zh-CN"/>
              </w:rPr>
              <w:t>综合评分法</w:t>
            </w:r>
            <w:r>
              <w:rPr>
                <w:rFonts w:hint="eastAsia" w:ascii="仿宋" w:hAnsi="仿宋" w:eastAsia="仿宋" w:cs="仿宋"/>
                <w:color w:val="000000"/>
                <w:kern w:val="0"/>
                <w:sz w:val="28"/>
                <w:szCs w:val="28"/>
                <w:highlight w:val="none"/>
              </w:rPr>
              <w:t>进行选取</w:t>
            </w:r>
          </w:p>
          <w:p>
            <w:pPr>
              <w:spacing w:line="579" w:lineRule="exact"/>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预算金额：</w:t>
            </w:r>
            <w:r>
              <w:rPr>
                <w:rFonts w:hint="eastAsia" w:ascii="仿宋" w:hAnsi="仿宋" w:eastAsia="仿宋" w:cs="仿宋"/>
                <w:color w:val="000000"/>
                <w:kern w:val="0"/>
                <w:sz w:val="28"/>
                <w:szCs w:val="28"/>
                <w:highlight w:val="none"/>
                <w:lang w:val="en-US" w:eastAsia="zh-CN"/>
              </w:rPr>
              <w:t>人民币9.264</w:t>
            </w:r>
            <w:r>
              <w:rPr>
                <w:rFonts w:hint="eastAsia" w:ascii="仿宋" w:hAnsi="仿宋" w:eastAsia="仿宋" w:cs="仿宋"/>
                <w:color w:val="000000"/>
                <w:kern w:val="0"/>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服务时间</w:t>
            </w:r>
          </w:p>
        </w:tc>
        <w:tc>
          <w:tcPr>
            <w:tcW w:w="6068" w:type="dxa"/>
            <w:noWrap w:val="0"/>
            <w:vAlign w:val="top"/>
          </w:tcPr>
          <w:p>
            <w:pPr>
              <w:spacing w:line="579" w:lineRule="exact"/>
              <w:jc w:val="left"/>
              <w:rPr>
                <w:rFonts w:hint="eastAsia" w:ascii="仿宋" w:hAnsi="仿宋" w:eastAsia="仿宋" w:cs="仿宋"/>
                <w:color w:val="000000"/>
                <w:kern w:val="0"/>
                <w:sz w:val="28"/>
                <w:szCs w:val="28"/>
              </w:rPr>
            </w:pPr>
            <w:r>
              <w:rPr>
                <w:rFonts w:hint="eastAsia" w:ascii="仿宋" w:hAnsi="仿宋" w:eastAsia="仿宋" w:cs="仿宋"/>
                <w:sz w:val="28"/>
                <w:szCs w:val="28"/>
              </w:rPr>
              <w:t>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验收</w:t>
            </w:r>
          </w:p>
        </w:tc>
        <w:tc>
          <w:tcPr>
            <w:tcW w:w="6068" w:type="dxa"/>
            <w:noWrap w:val="0"/>
            <w:vAlign w:val="top"/>
          </w:tcPr>
          <w:p>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验收标准：符合采购公告标准的要求，并通过横 </w:t>
            </w:r>
          </w:p>
          <w:p>
            <w:pPr>
              <w:keepNext w:val="0"/>
              <w:keepLines w:val="0"/>
              <w:widowControl/>
              <w:suppressLineNumbers w:val="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bidi="ar"/>
              </w:rPr>
              <w:t>琴粤澳深度合作区城市规划和建设局验收。</w:t>
            </w:r>
          </w:p>
        </w:tc>
      </w:tr>
    </w:tbl>
    <w:p>
      <w:pPr>
        <w:pStyle w:val="10"/>
        <w:ind w:firstLine="0" w:firstLineChars="0"/>
        <w:rPr>
          <w:rFonts w:hint="eastAsia" w:ascii="仿宋" w:hAnsi="仿宋" w:eastAsia="仿宋" w:cs="仿宋"/>
          <w:sz w:val="28"/>
          <w:szCs w:val="28"/>
        </w:rPr>
      </w:pP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suppressAutoHyphens/>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项目需求书</w:t>
      </w:r>
    </w:p>
    <w:p>
      <w:pPr>
        <w:numPr>
          <w:ilvl w:val="0"/>
          <w:numId w:val="1"/>
        </w:numPr>
        <w:suppressAutoHyphens/>
        <w:spacing w:line="360" w:lineRule="auto"/>
        <w:rPr>
          <w:rFonts w:hint="eastAsia" w:ascii="黑体" w:hAnsi="黑体" w:eastAsia="黑体" w:cs="黑体"/>
          <w:sz w:val="32"/>
          <w:szCs w:val="32"/>
        </w:rPr>
      </w:pPr>
      <w:r>
        <w:rPr>
          <w:rFonts w:hint="eastAsia" w:ascii="黑体" w:hAnsi="黑体" w:eastAsia="黑体" w:cs="黑体"/>
          <w:sz w:val="32"/>
          <w:szCs w:val="32"/>
        </w:rPr>
        <w:t>项目概述</w:t>
      </w:r>
    </w:p>
    <w:p>
      <w:pPr>
        <w:suppressAutoHyphen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为保障</w:t>
      </w:r>
      <w:r>
        <w:rPr>
          <w:rFonts w:hint="eastAsia" w:ascii="仿宋" w:hAnsi="仿宋" w:eastAsia="仿宋" w:cs="仿宋"/>
          <w:sz w:val="28"/>
          <w:szCs w:val="28"/>
        </w:rPr>
        <w:t>横琴粤澳深度合作区智慧物业管理服务平台</w:t>
      </w:r>
      <w:r>
        <w:rPr>
          <w:rFonts w:hint="eastAsia" w:ascii="仿宋" w:hAnsi="仿宋" w:eastAsia="仿宋" w:cs="仿宋"/>
          <w:sz w:val="28"/>
          <w:szCs w:val="28"/>
          <w:lang w:val="en-US" w:eastAsia="zh-CN"/>
        </w:rPr>
        <w:t>的正常稳定运行以及数据安全，及时解决平台日常使用过程 中所出现的问题，需开展系统运维服务。</w:t>
      </w:r>
    </w:p>
    <w:p>
      <w:pPr>
        <w:numPr>
          <w:ilvl w:val="0"/>
          <w:numId w:val="1"/>
        </w:numPr>
        <w:suppressAutoHyphens/>
        <w:spacing w:line="360" w:lineRule="auto"/>
        <w:rPr>
          <w:rFonts w:hint="eastAsia" w:ascii="黑体" w:hAnsi="黑体" w:eastAsia="黑体" w:cs="黑体"/>
          <w:sz w:val="32"/>
          <w:szCs w:val="32"/>
        </w:rPr>
      </w:pPr>
      <w:r>
        <w:rPr>
          <w:rFonts w:hint="eastAsia" w:ascii="黑体" w:hAnsi="黑体" w:eastAsia="黑体" w:cs="黑体"/>
          <w:sz w:val="32"/>
          <w:szCs w:val="32"/>
        </w:rPr>
        <w:t>项目维护范围</w:t>
      </w:r>
    </w:p>
    <w:tbl>
      <w:tblPr>
        <w:tblStyle w:val="11"/>
        <w:tblW w:w="8407" w:type="dxa"/>
        <w:tblInd w:w="93" w:type="dxa"/>
        <w:tblLayout w:type="fixed"/>
        <w:tblCellMar>
          <w:top w:w="0" w:type="dxa"/>
          <w:left w:w="108" w:type="dxa"/>
          <w:bottom w:w="0" w:type="dxa"/>
          <w:right w:w="108" w:type="dxa"/>
        </w:tblCellMar>
      </w:tblPr>
      <w:tblGrid>
        <w:gridCol w:w="1266"/>
        <w:gridCol w:w="1342"/>
        <w:gridCol w:w="980"/>
        <w:gridCol w:w="1134"/>
        <w:gridCol w:w="3685"/>
      </w:tblGrid>
      <w:tr>
        <w:tblPrEx>
          <w:tblCellMar>
            <w:top w:w="0" w:type="dxa"/>
            <w:left w:w="108" w:type="dxa"/>
            <w:bottom w:w="0" w:type="dxa"/>
            <w:right w:w="108" w:type="dxa"/>
          </w:tblCellMar>
        </w:tblPrEx>
        <w:trPr>
          <w:trHeight w:val="540" w:hRule="atLeast"/>
        </w:trPr>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lang w:bidi="ar"/>
              </w:rPr>
              <w:t>应用系统</w:t>
            </w:r>
          </w:p>
        </w:tc>
        <w:tc>
          <w:tcPr>
            <w:tcW w:w="13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b/>
                <w:bCs/>
                <w:color w:val="000000"/>
                <w:kern w:val="0"/>
                <w:sz w:val="24"/>
                <w:lang w:bidi="ar"/>
              </w:rPr>
            </w:pPr>
            <w:r>
              <w:rPr>
                <w:rFonts w:hint="eastAsia" w:ascii="仿宋" w:hAnsi="仿宋" w:eastAsia="仿宋" w:cs="宋体"/>
                <w:b/>
                <w:bCs/>
                <w:color w:val="000000"/>
                <w:kern w:val="0"/>
                <w:sz w:val="24"/>
                <w:lang w:bidi="ar"/>
              </w:rPr>
              <w:t>子系统</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lang w:bidi="ar"/>
              </w:rPr>
              <w:t>功能模块</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lang w:bidi="ar"/>
              </w:rPr>
              <w:t>具体功能要求</w:t>
            </w:r>
          </w:p>
        </w:tc>
      </w:tr>
      <w:tr>
        <w:tblPrEx>
          <w:tblCellMar>
            <w:top w:w="0" w:type="dxa"/>
            <w:left w:w="108" w:type="dxa"/>
            <w:bottom w:w="0" w:type="dxa"/>
            <w:right w:w="108" w:type="dxa"/>
          </w:tblCellMar>
        </w:tblPrEx>
        <w:trPr>
          <w:trHeight w:val="1147" w:hRule="atLeast"/>
        </w:trPr>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智慧物业管理平台</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物业监督管理子系统</w:t>
            </w: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与房地产信息系统对接，同步房地产开发项目信息，即物业小区信息，建立物业小区概况，地理位置，开发企业、物业企业、属地社区等基础信息维护与管理。</w:t>
            </w:r>
          </w:p>
        </w:tc>
      </w:tr>
      <w:tr>
        <w:tblPrEx>
          <w:tblCellMar>
            <w:top w:w="0" w:type="dxa"/>
            <w:left w:w="108" w:type="dxa"/>
            <w:bottom w:w="0" w:type="dxa"/>
            <w:right w:w="108" w:type="dxa"/>
          </w:tblCellMar>
        </w:tblPrEx>
        <w:trPr>
          <w:trHeight w:val="8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房源管理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与房地产信息系统对接，同步房地产开发项目楼盘表信息、房源信息、业主信息等，建立基础信息档案。</w:t>
            </w:r>
          </w:p>
        </w:tc>
      </w:tr>
      <w:tr>
        <w:tblPrEx>
          <w:tblCellMar>
            <w:top w:w="0" w:type="dxa"/>
            <w:left w:w="108" w:type="dxa"/>
            <w:bottom w:w="0" w:type="dxa"/>
            <w:right w:w="108" w:type="dxa"/>
          </w:tblCellMar>
        </w:tblPrEx>
        <w:trPr>
          <w:trHeight w:val="105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企业信息管理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根据招投标等获取物业企业信息，建立全区物业企业库，维护物业企业基本信息。并对机构登录账户信息进行统一管理。</w:t>
            </w:r>
          </w:p>
        </w:tc>
      </w:tr>
      <w:tr>
        <w:tblPrEx>
          <w:tblCellMar>
            <w:top w:w="0" w:type="dxa"/>
            <w:left w:w="108" w:type="dxa"/>
            <w:bottom w:w="0" w:type="dxa"/>
            <w:right w:w="108" w:type="dxa"/>
          </w:tblCellMar>
        </w:tblPrEx>
        <w:trPr>
          <w:trHeight w:val="105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企业备案审核</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针对物业企业申请的备案材料或招投标结果的，实现对物业企业备案审核，将其纳入物业企业库。</w:t>
            </w:r>
          </w:p>
        </w:tc>
      </w:tr>
      <w:tr>
        <w:tblPrEx>
          <w:tblCellMar>
            <w:top w:w="0" w:type="dxa"/>
            <w:left w:w="108" w:type="dxa"/>
            <w:bottom w:w="0" w:type="dxa"/>
            <w:right w:w="108" w:type="dxa"/>
          </w:tblCellMar>
        </w:tblPrEx>
        <w:trPr>
          <w:trHeight w:val="1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企业信用评级</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服务企业信用等级评定是由合作区物业主管部门在辖区物业服务企业自主申报的信息基础上进行核实评分，并结合日常管理对物业服务企业的失信和守信行为给予加减分，最终形成物业服务企业信用综合评价结果。</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委员会信息管理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建立全区业主委员会库，维护业主委员会基本信息及其成员管理。</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成员管理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针对各个物业小区选举产生的业主委员会，由业主委员会登记和维护其成员信息，实现对物业小区业委会全体成员的基本信息进行统一管理。</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根据《物业管理招标投标办法》，可由房地产开发企业或业主委员会发布招投标信息，由物业主管部门进行统一监管。</w:t>
            </w:r>
          </w:p>
        </w:tc>
      </w:tr>
      <w:tr>
        <w:tblPrEx>
          <w:tblCellMar>
            <w:top w:w="0" w:type="dxa"/>
            <w:left w:w="108" w:type="dxa"/>
            <w:bottom w:w="0" w:type="dxa"/>
            <w:right w:w="108" w:type="dxa"/>
          </w:tblCellMar>
        </w:tblPrEx>
        <w:trPr>
          <w:trHeight w:val="983"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招标项目审核</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物业主管部门对房地产开发企业或业主委员会发布招标项目进行审核，对符合招标条件的项目予以通过，不符合招标条件的项目予以退回重新修改或调整后再重新提交招标。</w:t>
            </w:r>
          </w:p>
        </w:tc>
      </w:tr>
      <w:tr>
        <w:tblPrEx>
          <w:tblCellMar>
            <w:top w:w="0" w:type="dxa"/>
            <w:left w:w="108" w:type="dxa"/>
            <w:bottom w:w="0" w:type="dxa"/>
            <w:right w:w="108" w:type="dxa"/>
          </w:tblCellMar>
        </w:tblPrEx>
        <w:trPr>
          <w:trHeight w:val="135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招标公告审核</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物业主管部门对房地产开发企业或业主委员会发布招标公告进行审核，对符合发布招标公告的项目予以通过，不符合发布招标公告的项目予以退回重新修改或调整后再重新提交招标公告。</w:t>
            </w:r>
          </w:p>
        </w:tc>
      </w:tr>
      <w:tr>
        <w:tblPrEx>
          <w:tblCellMar>
            <w:top w:w="0" w:type="dxa"/>
            <w:left w:w="108" w:type="dxa"/>
            <w:bottom w:w="0" w:type="dxa"/>
            <w:right w:w="108" w:type="dxa"/>
          </w:tblCellMar>
        </w:tblPrEx>
        <w:trPr>
          <w:trHeight w:val="135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双随机监管管理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部门抽取任务管理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从本部门的抽查工作计划任务库中，选取抽查工作计划及包含的任务。抽查工作计划和任务至少应包含抽取机关信息、抽查事项信息、抽取日期和抽查对象的数量或比例。</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抽取事项清单库管理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严格依据本级政府权力清单和责任清单编制随机抽查事项清单，建立抽查事项库，切实做到一张表格管检查。</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检查执法人员库管理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建立执法人员库，抽查人员是区城市规划和建设局主管部门及授权、委托开展行政执法的组织或者机构人员。根据工作需要随机抽取待查对象。局属有关经授权、委托具有执法职能的单位为执法责任主体，负责开展物业行业内巡查执法和随机抽查工作。</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检查执法结果管理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执法人员按照抽查日期对抽查对象进行执法检查，录入检查结果，并在智慧物业管理服务平台服务门户向社会公众公告。</w:t>
            </w:r>
          </w:p>
        </w:tc>
      </w:tr>
      <w:tr>
        <w:tblPrEx>
          <w:tblCellMar>
            <w:top w:w="0" w:type="dxa"/>
            <w:left w:w="108" w:type="dxa"/>
            <w:bottom w:w="0" w:type="dxa"/>
            <w:right w:w="108" w:type="dxa"/>
          </w:tblCellMar>
        </w:tblPrEx>
        <w:trPr>
          <w:trHeight w:val="7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物业考核管理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物业考核指标管理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建立指标库，采用“百分制”考核办法的设立考核指标</w:t>
            </w:r>
          </w:p>
        </w:tc>
      </w:tr>
      <w:tr>
        <w:tblPrEx>
          <w:tblCellMar>
            <w:top w:w="0" w:type="dxa"/>
            <w:left w:w="108" w:type="dxa"/>
            <w:bottom w:w="0" w:type="dxa"/>
            <w:right w:w="108" w:type="dxa"/>
          </w:tblCellMar>
        </w:tblPrEx>
        <w:trPr>
          <w:trHeight w:val="121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物业企业上报信息管理</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定期开展物业指标填报，物业企业自行填报并上报物业主管部门，再由物业主管部门根据上报资料的准确性，对照考核指标予以结果评定。</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考核结果管理</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实现对全区各个物业企业的考核结果进行统计，并根据排名情况向社会公众公示。</w:t>
            </w:r>
          </w:p>
        </w:tc>
      </w:tr>
      <w:tr>
        <w:tblPrEx>
          <w:tblCellMar>
            <w:top w:w="0" w:type="dxa"/>
            <w:left w:w="108" w:type="dxa"/>
            <w:bottom w:w="0" w:type="dxa"/>
            <w:right w:w="108" w:type="dxa"/>
          </w:tblCellMar>
        </w:tblPrEx>
        <w:trPr>
          <w:trHeight w:val="12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物业专家管理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专家库管理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构建物业管理专家库，负责组织开展物业管理专家的入库、增补、出库、监督、档案管理等，实现专家库的入库核准、动态管理和资源共享</w:t>
            </w:r>
          </w:p>
        </w:tc>
      </w:tr>
      <w:tr>
        <w:tblPrEx>
          <w:tblCellMar>
            <w:top w:w="0" w:type="dxa"/>
            <w:left w:w="108" w:type="dxa"/>
            <w:bottom w:w="0" w:type="dxa"/>
            <w:right w:w="108" w:type="dxa"/>
          </w:tblCellMar>
        </w:tblPrEx>
        <w:trPr>
          <w:trHeight w:val="7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项目管理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建立物业项目库，根据申请招投标项目情况，录入项目资料信息。</w:t>
            </w:r>
          </w:p>
        </w:tc>
      </w:tr>
      <w:tr>
        <w:tblPrEx>
          <w:tblCellMar>
            <w:top w:w="0" w:type="dxa"/>
            <w:left w:w="108" w:type="dxa"/>
            <w:bottom w:w="0" w:type="dxa"/>
            <w:right w:w="108" w:type="dxa"/>
          </w:tblCellMar>
        </w:tblPrEx>
        <w:trPr>
          <w:trHeight w:val="1127"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专家抽取管理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在生成新的抽取任务中，录入项目事项，评定日期等相关信息后，导入符合条件的专家名单，并进行随机抽取操作，随机抽取出符合相应人数的专家名单。</w:t>
            </w:r>
          </w:p>
        </w:tc>
      </w:tr>
      <w:tr>
        <w:tblPrEx>
          <w:tblCellMar>
            <w:top w:w="0" w:type="dxa"/>
            <w:left w:w="108" w:type="dxa"/>
            <w:bottom w:w="0" w:type="dxa"/>
            <w:right w:w="108" w:type="dxa"/>
          </w:tblCellMar>
        </w:tblPrEx>
        <w:trPr>
          <w:trHeight w:val="135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专家确认管理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对随机抽取的专家名单，对其是否能够参加评估工作进行确认，对不能参加的专家，在待抽名单中移除，重新随机抽取新的专家，再次确认，以此类推，直至符合相应的专家组名单为止。</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物业服务管理子系统</w:t>
            </w: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投诉登记</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 xml:space="preserve"> 根据业主直接想物业主管部门的投诉，实现投诉信息登记。同步获取服务门户或微信小程序的投诉信息。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事项分派</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根据投诉事项内容及行政服务制度要求，由物业主管部门将投诉事项分派到相关专员跟进处理。</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投诉处理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工作专员针对投诉事项，联系投诉人或相关投诉主体了解具体情况，并根据相应的法律法规进行投诉事项处理。</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结果反馈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工作专员登记投诉处理结果，并将处理结果以短信形式回复投诉人。</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投诉监控</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实现对投诉事项处理流程、处理时限进行监控，对不能如期处理的投诉事项，予以警告提醒工作专员，尽快及时处理投诉事项。</w:t>
            </w:r>
          </w:p>
        </w:tc>
      </w:tr>
      <w:tr>
        <w:tblPrEx>
          <w:tblCellMar>
            <w:top w:w="0" w:type="dxa"/>
            <w:left w:w="108" w:type="dxa"/>
            <w:bottom w:w="0" w:type="dxa"/>
            <w:right w:w="108" w:type="dxa"/>
          </w:tblCellMar>
        </w:tblPrEx>
        <w:trPr>
          <w:trHeight w:val="62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针对需要维修的项目或成立业主委员会等事项，可向业主全体发起投票表决事项。</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投票信息管理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统一管理需进行电子投标的事项，监督电子投票过程。</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物业人员根据随手拍实施巡查，解决业主提出的相关问题，并将巡查结果及处理归集到物业小区和物业企业，并通过服务门户向社会公示。</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巡查监控</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实现对巡查情况及巡查结果进行实时监控，对不能如期完成巡查的任务和巡查结果予以警告提醒。</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同步获取服务门户或微信小程序的报修信息。</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维修监控</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根据系统设定的维修期限，对不能如期维修或结果反馈的报修事项予以监控预警。</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发起满意度评价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物业主管部门根据考核指标，在线发起满意度评价，包括物业企业满意度评价和业委会满意度评价。</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物业主管部门统一收集满意度评价结果信息，并通过统计报表实现物业企业及业委会的满意度评价排名，纳入考核监管结果。</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信息发布管理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信息发布</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实现物业相关的政策法规，通知公告信息发布到服务门户或微信小程序。</w:t>
            </w:r>
          </w:p>
        </w:tc>
      </w:tr>
      <w:tr>
        <w:tblPrEx>
          <w:tblCellMar>
            <w:top w:w="0" w:type="dxa"/>
            <w:left w:w="108" w:type="dxa"/>
            <w:bottom w:w="0" w:type="dxa"/>
            <w:right w:w="108" w:type="dxa"/>
          </w:tblCellMar>
        </w:tblPrEx>
        <w:trPr>
          <w:trHeight w:val="189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物管一张图子系统</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图层展示</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系统提供在电子地图上进行物业小区信息展示的实现方式，具有物业小区信息展示直观、全面和生动等特点，能够有效的支撑领导对项目作科学的决策。系统结合空间地理信息，使用云计算和大数据平台技术，基于“一张图”基础图层，将物业小区的信息数据汇总和展示。</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信息展示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物业小区信息</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展示物业小区概况，地理位置，开发企业、物业企业、属地社区、物业收费等基础信息。</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物业公司信息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展示物业企业基本信息包括企业名称、法定代表人、资质等级、证书编号、联系人、联系电话、办公地址及其在横琴所管理的所有物业小区信息。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展示业主委员会基础信息，包括业委会名称、负责人、联系电话、业委会地址、物业管理单位、成员数量等。</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展示物业小区所涉及的招投标信息，包括物业企业招标、维修项目招标公告及结果等信息。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电子投票结果信息</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展示各事项的电子投票结果信息，包括电子投票事项名称、发起单位、投票时限、电子票数等。</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小区信息公告展示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展示物业小区的公告信息，如管理条例、物业细则、停水停电等社区公告信息。</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汇总展示该物业小区的所有投诉事项及处理结果信息。</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汇总展示该物业小区的所有随手拍巡查结果信息。</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汇总展示该物业小区的所有报修及维修结果信息。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汇总展示该物业小区的所有满意度评价信息，包括物业企业和业委会的满意度评价信息。</w:t>
            </w:r>
          </w:p>
        </w:tc>
      </w:tr>
      <w:tr>
        <w:tblPrEx>
          <w:tblCellMar>
            <w:top w:w="0" w:type="dxa"/>
            <w:left w:w="108" w:type="dxa"/>
            <w:bottom w:w="0" w:type="dxa"/>
            <w:right w:w="108" w:type="dxa"/>
          </w:tblCellMar>
        </w:tblPrEx>
        <w:trPr>
          <w:trHeight w:val="8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物管综合分析子系统</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小区统计分析</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根据物业小区的投诉数量、满意度、报修数量等情况进行汇总统计分析。</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物业公司统计分析</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根据物业企业的备案情况、投诉事项、满意度、信用等级、报修数量、考核结果等情况进行汇总统计分析。</w:t>
            </w:r>
          </w:p>
        </w:tc>
      </w:tr>
      <w:tr>
        <w:tblPrEx>
          <w:tblCellMar>
            <w:top w:w="0" w:type="dxa"/>
            <w:left w:w="108" w:type="dxa"/>
            <w:bottom w:w="0" w:type="dxa"/>
            <w:right w:w="108" w:type="dxa"/>
          </w:tblCellMar>
        </w:tblPrEx>
        <w:trPr>
          <w:trHeight w:val="8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招投标统计分析</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根据招投标结果进行统计分析。</w:t>
            </w:r>
          </w:p>
        </w:tc>
      </w:tr>
      <w:tr>
        <w:tblPrEx>
          <w:tblCellMar>
            <w:top w:w="0" w:type="dxa"/>
            <w:left w:w="108" w:type="dxa"/>
            <w:bottom w:w="0" w:type="dxa"/>
            <w:right w:w="108" w:type="dxa"/>
          </w:tblCellMar>
        </w:tblPrEx>
        <w:trPr>
          <w:trHeight w:val="8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物业服务统计分析</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根据物业小区的电子投票、投诉、报修、巡查等服务情况进行统计分析。</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满意度统计分析</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根据物业企业的满意度情况进行统计分析，实现各物业企业和业委会的满意度情况排名。</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物业考核统计分析</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根据物业企业的考核情况、信用等级进行统计分析，实现各物业企业的考核情况排名。</w:t>
            </w:r>
          </w:p>
        </w:tc>
      </w:tr>
      <w:tr>
        <w:tblPrEx>
          <w:tblCellMar>
            <w:top w:w="0" w:type="dxa"/>
            <w:left w:w="108" w:type="dxa"/>
            <w:bottom w:w="0" w:type="dxa"/>
            <w:right w:w="108" w:type="dxa"/>
          </w:tblCellMar>
        </w:tblPrEx>
        <w:trPr>
          <w:trHeight w:val="810" w:hRule="atLeast"/>
        </w:trPr>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智慧物业服务门户</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公众信息服务</w:t>
            </w: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政策公告</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政策法规</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展示物业管理相关的政策法规，包括国家、省、市相关的物业管理条件，实施细则等。</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通知公告</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展示物业主管部门发布的通知公告信息及各个物业小区发布的通知公告信息。</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信息公示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物业企业信用公示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在线向社会公众展示各个物业企业的信用等级、信用评价等信息。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业主委员会信息公示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在线向社会公众展示各个业主委员会的基本信息及成员情况。</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实现物业相关的招标信息公示和招标结果信息公示。</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电子投票结果公示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实现物业事项的电子投票结果信息向社会公众公示。</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双随机巡查结果公示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实现双随机抽查及巡查结果信息向社会公众公示。</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物业考核TOP10</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根据考核指标在线展示物业考核TOP10物业企业信息及考核得分情况。</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物管一张图服务</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图层展示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图层展示</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实现在电子地图上以一张图的形式对物业小区信息展示，具有物业小区信息展示直观、全面和生动等特点，能够有效的支撑领导对项目作科学的决策。</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信息展示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展示物业小区概况，地理位置，开发企业、物业企业、属地社区、物业收费等基础信息。</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物业公司信息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展示物业企业基本信息包括企业名称、法定代表人、资质等级、证书编号、联系人、联系电话、办公地址及其在横琴所管理的所有物业小区信息。</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业主委员会信息</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展示业主委员会基础信息，包括业委会名称、负责人、联系电话、业委会地址、物业管理单位、成员数量等。</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展示物业小区所涉及的招投标信息，包括物业企业招标、维修项目招标公告及结果等信息。</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电子投票结果信息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展示各事项的电子投票结果信息，包括电子投票事项名称、发起单位、投票时限、电子票数等。</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小区信息公告展示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展示物业小区的公告信息，如管理条例、物业细则、停水停电等社区公告信息。</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房地产开发企业服务</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认证管理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实现与广东省统一身份认证平台对接，房地产开发企业能够通过实名认证登录本平台系统。</w:t>
            </w:r>
          </w:p>
        </w:tc>
      </w:tr>
      <w:tr>
        <w:tblPrEx>
          <w:tblCellMar>
            <w:top w:w="0" w:type="dxa"/>
            <w:left w:w="108" w:type="dxa"/>
            <w:bottom w:w="0" w:type="dxa"/>
            <w:right w:w="108" w:type="dxa"/>
          </w:tblCellMar>
        </w:tblPrEx>
        <w:trPr>
          <w:trHeight w:val="1727"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项目注册</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为了规范前期物业管理招标投标活动，房地产开发企业通过招投标的方式选聘具有相应资质的物业管理企业和行政主管部门对物业管理招投标活动实施监督管理，由房地产开发企业对物业小区招标项目进行注册，并提交到主管部门审核。</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招标公告发布</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物业小区招标项目经审核通过后，房地产开发企业发布前期物业招标公告，并提交到主管部门审核。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报名管理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招标公告后，由系统统一推送到各个已备案的物业企业，物业企业可在线进行报名参与投标。</w:t>
            </w:r>
          </w:p>
        </w:tc>
      </w:tr>
      <w:tr>
        <w:tblPrEx>
          <w:tblCellMar>
            <w:top w:w="0" w:type="dxa"/>
            <w:left w:w="108" w:type="dxa"/>
            <w:bottom w:w="0" w:type="dxa"/>
            <w:right w:w="108" w:type="dxa"/>
          </w:tblCellMar>
        </w:tblPrEx>
        <w:trPr>
          <w:trHeight w:val="102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选取评标专家</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房地产开发企业在评标阶段，从物业专家库抽取随机抽取专家信息，并开展评标工作，选取符合条件的物业企业作为中标单位。</w:t>
            </w:r>
          </w:p>
        </w:tc>
      </w:tr>
      <w:tr>
        <w:tblPrEx>
          <w:tblCellMar>
            <w:top w:w="0" w:type="dxa"/>
            <w:left w:w="108" w:type="dxa"/>
            <w:bottom w:w="0" w:type="dxa"/>
            <w:right w:w="108" w:type="dxa"/>
          </w:tblCellMar>
        </w:tblPrEx>
        <w:trPr>
          <w:trHeight w:val="10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中标结果备案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房地产开发企业根据评选的中标结果提交备案信息，备案成功后可与物业企业签订前期物业服务合同。</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物业合同备案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实现物业合同摘要信息登记，上传物业合同等材料提交到主管部门备案审核。</w:t>
            </w:r>
          </w:p>
        </w:tc>
      </w:tr>
      <w:tr>
        <w:tblPrEx>
          <w:tblCellMar>
            <w:top w:w="0" w:type="dxa"/>
            <w:left w:w="108" w:type="dxa"/>
            <w:bottom w:w="0" w:type="dxa"/>
            <w:right w:w="108" w:type="dxa"/>
          </w:tblCellMar>
        </w:tblPrEx>
        <w:trPr>
          <w:trHeight w:val="1009"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实现与广东省统一身份认证平台对接，物业公司能够通过实名认证登录本平台系统。</w:t>
            </w:r>
          </w:p>
        </w:tc>
      </w:tr>
      <w:tr>
        <w:tblPrEx>
          <w:tblCellMar>
            <w:top w:w="0" w:type="dxa"/>
            <w:left w:w="108" w:type="dxa"/>
            <w:bottom w:w="0" w:type="dxa"/>
            <w:right w:w="108" w:type="dxa"/>
          </w:tblCellMar>
        </w:tblPrEx>
        <w:trPr>
          <w:trHeight w:val="1009"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备案管理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在线提交物业企业备案申请表、资质证明、信用等级等材料，向行政主管部门申请备案，并可在线查询备案进度信息。</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根据推送的招标公告，实现投标网上报名及招标结果信息查询。</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针对需要投票表决的事项向业主全体发起投票表决，可在线查询投票结果情况。</w:t>
            </w:r>
          </w:p>
        </w:tc>
      </w:tr>
      <w:tr>
        <w:tblPrEx>
          <w:tblCellMar>
            <w:top w:w="0" w:type="dxa"/>
            <w:left w:w="108" w:type="dxa"/>
            <w:bottom w:w="0" w:type="dxa"/>
            <w:right w:w="108" w:type="dxa"/>
          </w:tblCellMar>
        </w:tblPrEx>
        <w:trPr>
          <w:trHeight w:val="9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针对业主提交的随手拍，物业企业拍专员开展巡查管理，对发现的问题进行及时处理并将处理结果及时反馈业主。</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针对业主提交的报修服务，受理报修任务，并将维修结果登记反馈业主。</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针对业主的投诉，物业企业受理投诉任务，并将投诉处理结果反馈业主。</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考核管理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根据行政主管部门要求考核指标，物业企业根据相关要求进行定期上报考核数据。</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小区公告管理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在线发布小区各类信息公告，并展示在服务门户上。</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实现与广东省统一身份认证平台对接，业主委员会机构能够通过实名认证登录本平台系统。</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结合实际情况，维护业委会基础信息，包括业委会各类信息变更情况。</w:t>
            </w:r>
          </w:p>
        </w:tc>
      </w:tr>
      <w:tr>
        <w:tblPrEx>
          <w:tblCellMar>
            <w:top w:w="0" w:type="dxa"/>
            <w:left w:w="108" w:type="dxa"/>
            <w:bottom w:w="0" w:type="dxa"/>
            <w:right w:w="108" w:type="dxa"/>
          </w:tblCellMar>
        </w:tblPrEx>
        <w:trPr>
          <w:trHeight w:val="11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业委会成员管理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针对各个物业小区选举产生的业主委员会，由业主委员会登记和维护其成员信息，实现对物业小区业委会全体成员的基本信息进行统一管理。</w:t>
            </w:r>
          </w:p>
        </w:tc>
      </w:tr>
      <w:tr>
        <w:tblPrEx>
          <w:tblCellMar>
            <w:top w:w="0" w:type="dxa"/>
            <w:left w:w="108" w:type="dxa"/>
            <w:bottom w:w="0" w:type="dxa"/>
            <w:right w:w="108" w:type="dxa"/>
          </w:tblCellMar>
        </w:tblPrEx>
        <w:trPr>
          <w:trHeight w:val="82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备案管理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实现业主委员会的信息备案管理，由选举产生的业委会负责人在线填报备案表，提交相关材料登记备案。</w:t>
            </w:r>
          </w:p>
        </w:tc>
      </w:tr>
      <w:tr>
        <w:tblPrEx>
          <w:tblCellMar>
            <w:top w:w="0" w:type="dxa"/>
            <w:left w:w="108" w:type="dxa"/>
            <w:bottom w:w="0" w:type="dxa"/>
            <w:right w:w="108" w:type="dxa"/>
          </w:tblCellMar>
        </w:tblPrEx>
        <w:trPr>
          <w:trHeight w:val="1767"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项目注册</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为了规范物业管理招标投标活动，业委会通过招投标的方式选聘具有相应资质的物业管理企业和行政主管部门对物业管理招投标活动实施监督管理，由业委会对物业小区招标项目进行注册，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招标公告发布</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物业小区招标项目经审核通过后，业委会发布物业招标公告，并提交到主管部门审核。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受理报名</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招标公告后，由系统统一推送到各个已备案的物业企业，物业企业可在线进行报名参与投标。</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选取评标专家</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业委会在评标阶段，从物业专家库抽取随机抽取专家信息，并开展评标工作，选取符合条件的物业企业作为中标单位。</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中标结果备案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业委会根据评选的中标结果提交备案信息，备案成功后可与物业企业签订前期物业服务合同。</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物业合同备案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实现物业合同摘要信息登记，上传物业合同等材料提交到主管部门备案审核。</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针对需要投票表决的事项向业主全体发起投票表决，可在线查询投票结果情况。</w:t>
            </w:r>
          </w:p>
        </w:tc>
      </w:tr>
      <w:tr>
        <w:tblPrEx>
          <w:tblCellMar>
            <w:top w:w="0" w:type="dxa"/>
            <w:left w:w="108" w:type="dxa"/>
            <w:bottom w:w="0" w:type="dxa"/>
            <w:right w:w="108" w:type="dxa"/>
          </w:tblCellMar>
        </w:tblPrEx>
        <w:trPr>
          <w:trHeight w:val="1069"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业主提交的报修事项，业委会有权监督物业企业的维修进展情况，也可在线提交报修事项，实现维修进度的统一监督。</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业主提交的投诉事项，业委会有权监督物业企业的投诉处理进展情况，业委会也可向政府部门或物业企业在线提交投诉事项，实现投诉实现的统一监督。</w:t>
            </w:r>
          </w:p>
        </w:tc>
      </w:tr>
      <w:tr>
        <w:tblPrEx>
          <w:tblCellMar>
            <w:top w:w="0" w:type="dxa"/>
            <w:left w:w="108" w:type="dxa"/>
            <w:bottom w:w="0" w:type="dxa"/>
            <w:right w:w="108" w:type="dxa"/>
          </w:tblCellMar>
        </w:tblPrEx>
        <w:trPr>
          <w:trHeight w:val="135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满意度评价包括物业企业和业委会的评价。一是业委会根据行政主管部门开展的满意度情况对物业企业进行评价，并可查看满意度评价结果。二是在线查询业主对业委会的满意度评价。</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实现与广东省统一身份认证平台对接，业主委员会机构能够通过实名认证登录本平台系统。</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房源管理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与珠海市不动产业务系统对接，实现业主的房源核验真实性功能。</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根据物业企业或业委会发起的投票事项，参与投票，并可查看投标结果。</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业主可发起公共场所或自家所需维修的事项，向物业企业发起报修行为，查看物业企业受理及处理进度情况。</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业主在线向政府部门或物业企业发起物业投诉事项，并可看投诉事项处理进度及处理结果信息。</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业主可对物业公司进行定期满意度评价和对业主委员会进行定期满意度评价。评价结果汇总至管理平台，由行政主管部门统计分析。</w:t>
            </w:r>
          </w:p>
        </w:tc>
      </w:tr>
      <w:tr>
        <w:tblPrEx>
          <w:tblCellMar>
            <w:top w:w="0" w:type="dxa"/>
            <w:left w:w="108" w:type="dxa"/>
            <w:bottom w:w="0" w:type="dxa"/>
            <w:right w:w="108" w:type="dxa"/>
          </w:tblCellMar>
        </w:tblPrEx>
        <w:trPr>
          <w:trHeight w:val="810" w:hRule="atLeast"/>
        </w:trPr>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智慧物业微信小程序</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公众信息服务</w:t>
            </w: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政策公告</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政策法规</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展示物业管理相关的政策法规，包括国家、省、市相关的物业管理条件，实施细则等。</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通知公告</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展示物业主管部门发布的通知公告信息及各个物业小区发布的通知公告信息。</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信息公示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物业企业信用公示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在线向社会公众展示各个物业企业的信用等级、信用评价等信息。</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业主委员会信息公示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在线向社会公众展示各个业主委员会的基本信息及成员情况。</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实现物业相关的招标信息公示和招标结果信息公示。</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电子投票结果公示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实现物业事项的电子投票结果信息向社会公众公示。</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双随机巡查结果公示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实现双随机抽查及巡查结果信息向社会公众公示。</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物业考核TOP10</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根据考核指标在线展示物业考核TOP10物业企业信息及考核得分情况。</w:t>
            </w:r>
          </w:p>
        </w:tc>
      </w:tr>
      <w:tr>
        <w:tblPrEx>
          <w:tblCellMar>
            <w:top w:w="0" w:type="dxa"/>
            <w:left w:w="108" w:type="dxa"/>
            <w:bottom w:w="0" w:type="dxa"/>
            <w:right w:w="108" w:type="dxa"/>
          </w:tblCellMar>
        </w:tblPrEx>
        <w:trPr>
          <w:trHeight w:val="12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物管一张图服务</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图层展示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图层展示</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实现在电子地图上以一张图的形式对物业小区信息展示，具有物业小区信息展示直观、全面和生动等特点，能够有效的支撑领导对项目作科学的决策。</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信息展示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展示物业小区概况，地理位置，开发企业、物业企业、属地社区、物业收费等基础信息。</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物业公司信息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展示物业企业基本信息包括企业名称、法定代表人、资质等级、证书编号、联系人、联系电话、办公地址及其在横琴所管理的所有物业小区信息。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业主委员会信息</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展示业主委员会基础信息，包括业委会名称、负责人、联系电话、业委会地址、物业管理单位、成员数量等。</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展示物业小区所涉及的招投标信息，包括物业企业招标、维修项目招标公告及结果等信息。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电子投票结果信息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展示各事项的电子投票结果信息，包括电子投票事项名称、发起单位、投票时限、电子票数等。</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小区信息公告展示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展示物业小区的公告信息，如管理条例、物业细则、停水停电等社区公告信息。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房地产开发企业服务</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认证管理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实现与广东省统一身份认证平台对接，房地产开发企业能够通过实名认证登录本平台系统。</w:t>
            </w:r>
          </w:p>
        </w:tc>
      </w:tr>
      <w:tr>
        <w:tblPrEx>
          <w:tblCellMar>
            <w:top w:w="0" w:type="dxa"/>
            <w:left w:w="108" w:type="dxa"/>
            <w:bottom w:w="0" w:type="dxa"/>
            <w:right w:w="108" w:type="dxa"/>
          </w:tblCellMar>
        </w:tblPrEx>
        <w:trPr>
          <w:trHeight w:val="9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项目注册</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为了规范前期物业管理招标投标活动，房地产开发企业通过招投标的方式选聘具有相应资质的物业管理企业和行政主管部门对物业管理招投标活动实施监督管理，由房地产开发企业对物业小区招标项目进行注册，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招标公告发布</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物业小区招标项目经审核通过后，房地产开发企业发布前期物业招标公告，并提交到主管部门审核。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报名管理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招标公告后，由系统统一推送到各个已备案的物业企业，物业企业可在线进行报名参与投标。</w:t>
            </w:r>
          </w:p>
        </w:tc>
      </w:tr>
      <w:tr>
        <w:tblPrEx>
          <w:tblCellMar>
            <w:top w:w="0" w:type="dxa"/>
            <w:left w:w="108" w:type="dxa"/>
            <w:bottom w:w="0" w:type="dxa"/>
            <w:right w:w="108" w:type="dxa"/>
          </w:tblCellMar>
        </w:tblPrEx>
        <w:trPr>
          <w:trHeight w:val="9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选取评标专家</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房地产开发企业在评标阶段，从物业专家库抽取随机抽取专家信息，并开展评标工作，选取符合条件的物业企业作为中标单位。</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中标结果备案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房地产开发企业根据评选的中标结果提交备案信息，备案成功后可与物业企业签订前期物业服务合同。</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物业合同备案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实现物业合同摘要信息登记，上传物业合同等材料提交到主管部门备案审核。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实现与广东省统一身份认证平台对接，物业公司能够通过实名认证登录本平台系统。</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备案管理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在线提交物业企业备案申请表、资质证明、信用等级等材料，向行政主管部门申请备案，并可在线查询备案进度信息。</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根据推送的招标公告，实现投标网上报名及招标结果信息查询。</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针对需要投票表决的事项向业主全体发起投票表决，可在线查询投票结果情况。</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针对业主提交的随手拍，物业企业拍专员开展巡查管理，对发现的问题进行及时处理并将处理结果及时反馈业主。</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针对业主提交的报修服务，受理报修任务，并将维修结果登记反馈业主。</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针对业主的投诉，物业企业受理投诉任务，并将投诉处理结果反馈业主。</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考核管理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根据行政主管部门要求考核指标，物业企业根据相关要求进行定期上报考核数据。</w:t>
            </w:r>
          </w:p>
        </w:tc>
      </w:tr>
      <w:tr>
        <w:tblPrEx>
          <w:tblCellMar>
            <w:top w:w="0" w:type="dxa"/>
            <w:left w:w="108" w:type="dxa"/>
            <w:bottom w:w="0" w:type="dxa"/>
            <w:right w:w="108" w:type="dxa"/>
          </w:tblCellMar>
        </w:tblPrEx>
        <w:trPr>
          <w:trHeight w:val="5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小区公告管理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在线发布小区各类信息公告，并展示在服务门户上。</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实现与广东省统一身份认证平台对接，业主委员会机构能够通过实名认证登录本平台系统。</w:t>
            </w:r>
          </w:p>
        </w:tc>
      </w:tr>
      <w:tr>
        <w:tblPrEx>
          <w:tblCellMar>
            <w:top w:w="0" w:type="dxa"/>
            <w:left w:w="108" w:type="dxa"/>
            <w:bottom w:w="0" w:type="dxa"/>
            <w:right w:w="108" w:type="dxa"/>
          </w:tblCellMar>
        </w:tblPrEx>
        <w:trPr>
          <w:trHeight w:val="5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结合实际情况，维护业委会基础信息，包括业委会各类信息变更情况。</w:t>
            </w:r>
          </w:p>
        </w:tc>
      </w:tr>
      <w:tr>
        <w:tblPrEx>
          <w:tblCellMar>
            <w:top w:w="0" w:type="dxa"/>
            <w:left w:w="108" w:type="dxa"/>
            <w:bottom w:w="0" w:type="dxa"/>
            <w:right w:w="108" w:type="dxa"/>
          </w:tblCellMar>
        </w:tblPrEx>
        <w:trPr>
          <w:trHeight w:val="876"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业委会成员管理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针对各个物业小区选举产生的业主委员会，由业主委员会登记和维护其成员信息，实现对物业小区业委会全体成员的基本信息进行统一管理。</w:t>
            </w:r>
          </w:p>
        </w:tc>
      </w:tr>
      <w:tr>
        <w:tblPrEx>
          <w:tblCellMar>
            <w:top w:w="0" w:type="dxa"/>
            <w:left w:w="108" w:type="dxa"/>
            <w:bottom w:w="0" w:type="dxa"/>
            <w:right w:w="108" w:type="dxa"/>
          </w:tblCellMar>
        </w:tblPrEx>
        <w:trPr>
          <w:trHeight w:val="755"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备案管理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实现业主委员会的信息备案管理，由选举产生的业委会负责人在线填报备案表，提交相关材料登记备案。</w:t>
            </w:r>
          </w:p>
        </w:tc>
      </w:tr>
      <w:tr>
        <w:tblPrEx>
          <w:tblCellMar>
            <w:top w:w="0" w:type="dxa"/>
            <w:left w:w="108" w:type="dxa"/>
            <w:bottom w:w="0" w:type="dxa"/>
            <w:right w:w="108" w:type="dxa"/>
          </w:tblCellMar>
        </w:tblPrEx>
        <w:trPr>
          <w:trHeight w:val="9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项目注册</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为了规范物业管理招标投标活动，业委会通过招投标的方式选聘具有相应资质的物业管理企业和行政主管部门对物业管理招投标活动实施监督管理，由业委会对物业小区招标项目进行注册，并提交到主管部门审核。</w:t>
            </w:r>
          </w:p>
        </w:tc>
      </w:tr>
      <w:tr>
        <w:tblPrEx>
          <w:tblCellMar>
            <w:top w:w="0" w:type="dxa"/>
            <w:left w:w="108" w:type="dxa"/>
            <w:bottom w:w="0" w:type="dxa"/>
            <w:right w:w="108" w:type="dxa"/>
          </w:tblCellMar>
        </w:tblPrEx>
        <w:trPr>
          <w:trHeight w:val="8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招标公告发布</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物业小区招标项目经审核通过后，业委会发布物业招标公告，并提交到主管部门审核。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受理报名</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招标公告后，由系统统一推送到各个已备案的物业企业，物业企业可在线进行报名参与投标。</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选取评标专家</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业委会在评标阶段，从物业专家库抽取随机抽取专家信息，并开展评标工作，选取符合条件的物业企业作为中标单位。</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中标结果备案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业委会根据评选的中标结果提交备案信息，备案成功后可与物业企业签订前期物业服务合同。</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物业合同备案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实现物业合同摘要信息登记，上传物业合同等材料提交到主管部门备案审核。</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针对需要投票表决的事项向业主全体发起投票表决，可在线查询投票结果情况。</w:t>
            </w:r>
          </w:p>
        </w:tc>
      </w:tr>
      <w:tr>
        <w:tblPrEx>
          <w:tblCellMar>
            <w:top w:w="0" w:type="dxa"/>
            <w:left w:w="108" w:type="dxa"/>
            <w:bottom w:w="0" w:type="dxa"/>
            <w:right w:w="108" w:type="dxa"/>
          </w:tblCellMar>
        </w:tblPrEx>
        <w:trPr>
          <w:trHeight w:val="772"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业主提交的报修事项，业委会有权监督物业企业的维修进展情况，也可在线提交报修事项，实现维修进度的统一监督。</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业主提交的投诉事项，业委会有权监督物业企业的投诉处理进展情况，业委会也可向政府部门或物业企业在线提交投诉事项，实现投诉实现的统一监督。</w:t>
            </w:r>
          </w:p>
        </w:tc>
      </w:tr>
      <w:tr>
        <w:tblPrEx>
          <w:tblCellMar>
            <w:top w:w="0" w:type="dxa"/>
            <w:left w:w="108" w:type="dxa"/>
            <w:bottom w:w="0" w:type="dxa"/>
            <w:right w:w="108" w:type="dxa"/>
          </w:tblCellMar>
        </w:tblPrEx>
        <w:trPr>
          <w:trHeight w:val="9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满意度评价包括物业企业和业委会的评价。一是业委会根据行政主管部门开展的满意度情况对物业企业进行评价，并可查看满意度评价结果。二是在线查询业主对业委会的满意度评价。</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实现与广东省统一身份认证平台对接，业主委员会机构能够通过实名认证登录本平台系统。</w:t>
            </w:r>
          </w:p>
        </w:tc>
      </w:tr>
      <w:tr>
        <w:tblPrEx>
          <w:tblCellMar>
            <w:top w:w="0" w:type="dxa"/>
            <w:left w:w="108" w:type="dxa"/>
            <w:bottom w:w="0" w:type="dxa"/>
            <w:right w:w="108" w:type="dxa"/>
          </w:tblCellMar>
        </w:tblPrEx>
        <w:trPr>
          <w:trHeight w:val="456"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房源管理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与珠海市不动产业务系统对接，实现业主的房源核验真实性功能。</w:t>
            </w:r>
          </w:p>
        </w:tc>
      </w:tr>
      <w:tr>
        <w:tblPrEx>
          <w:tblCellMar>
            <w:top w:w="0" w:type="dxa"/>
            <w:left w:w="108" w:type="dxa"/>
            <w:bottom w:w="0" w:type="dxa"/>
            <w:right w:w="108" w:type="dxa"/>
          </w:tblCellMar>
        </w:tblPrEx>
        <w:trPr>
          <w:trHeight w:val="5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根据物业企业或业委会发起的投票事项，参与投票，并可查看投标结果。</w:t>
            </w:r>
          </w:p>
        </w:tc>
      </w:tr>
      <w:tr>
        <w:tblPrEx>
          <w:tblCellMar>
            <w:top w:w="0" w:type="dxa"/>
            <w:left w:w="108" w:type="dxa"/>
            <w:bottom w:w="0" w:type="dxa"/>
            <w:right w:w="108" w:type="dxa"/>
          </w:tblCellMar>
        </w:tblPrEx>
        <w:trPr>
          <w:trHeight w:val="619"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业主可发起公共场所或自家所需维修的事项，向物业企业发起报修行为，查看物业企业受理及处理进度情况。</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业主在线向政府部门或物业企业发起物业投诉事项，并可看投诉事项处理进度及处理结果信息。</w:t>
            </w:r>
          </w:p>
        </w:tc>
      </w:tr>
      <w:tr>
        <w:tblPrEx>
          <w:tblCellMar>
            <w:top w:w="0" w:type="dxa"/>
            <w:left w:w="108" w:type="dxa"/>
            <w:bottom w:w="0" w:type="dxa"/>
            <w:right w:w="108" w:type="dxa"/>
          </w:tblCellMar>
        </w:tblPrEx>
        <w:trPr>
          <w:trHeight w:val="845"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业主可对物业公司进行定期满意度评价和对业主委员会进行定期满意度评价。评价结果汇总至管理平台，由行政主管部门统计分析。</w:t>
            </w:r>
          </w:p>
        </w:tc>
      </w:tr>
      <w:tr>
        <w:tblPrEx>
          <w:tblCellMar>
            <w:top w:w="0" w:type="dxa"/>
            <w:left w:w="108" w:type="dxa"/>
            <w:bottom w:w="0" w:type="dxa"/>
            <w:right w:w="108" w:type="dxa"/>
          </w:tblCellMar>
        </w:tblPrEx>
        <w:trPr>
          <w:trHeight w:val="804" w:hRule="atLeast"/>
        </w:trPr>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平台相关接口</w:t>
            </w:r>
          </w:p>
        </w:tc>
        <w:tc>
          <w:tcPr>
            <w:tcW w:w="345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与房地产信息系统对接</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与横琴粤澳深度合作区房地产信息系统对接，同步获取项目楼盘表信息，房源、业主、物业等信息。</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345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与不动产业务系统对接</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与珠海市不动产业务系统对接，同步获取核准房源等信息。</w:t>
            </w:r>
          </w:p>
        </w:tc>
      </w:tr>
      <w:tr>
        <w:tblPrEx>
          <w:tblCellMar>
            <w:top w:w="0" w:type="dxa"/>
            <w:left w:w="108" w:type="dxa"/>
            <w:bottom w:w="0" w:type="dxa"/>
            <w:right w:w="108" w:type="dxa"/>
          </w:tblCellMar>
        </w:tblPrEx>
        <w:trPr>
          <w:trHeight w:val="85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345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与珠海智慧综合服务平台（一张图）对接</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本期项目将基于珠海智慧综合服务平台（一张图）提供统一的 WebGIS 服务（在线地图服务），实现GIS地图的对接。</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345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与短信平台对接</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与短信平台对接，实现通过短信通知相关的待办事宜和相关通知。</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345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与广东省统一身份认证平台对接</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与广东省统一身份认证平台对接（含公众侧和政务侧），实现实名认证登录。</w:t>
            </w:r>
          </w:p>
        </w:tc>
      </w:tr>
    </w:tbl>
    <w:p>
      <w:pPr>
        <w:numPr>
          <w:ilvl w:val="0"/>
          <w:numId w:val="1"/>
        </w:numPr>
        <w:suppressAutoHyphens/>
        <w:spacing w:line="360" w:lineRule="auto"/>
        <w:rPr>
          <w:rFonts w:hint="eastAsia" w:ascii="黑体" w:hAnsi="黑体" w:eastAsia="黑体" w:cs="黑体"/>
          <w:sz w:val="32"/>
          <w:szCs w:val="32"/>
          <w:lang w:val="zh-CN"/>
        </w:rPr>
      </w:pPr>
      <w:r>
        <w:rPr>
          <w:rFonts w:hint="eastAsia" w:ascii="黑体" w:hAnsi="黑体" w:eastAsia="黑体" w:cs="黑体"/>
          <w:sz w:val="32"/>
          <w:szCs w:val="32"/>
          <w:lang w:val="zh-CN"/>
        </w:rPr>
        <w:t>项目维护服务要求</w:t>
      </w:r>
    </w:p>
    <w:tbl>
      <w:tblPr>
        <w:tblStyle w:val="11"/>
        <w:tblW w:w="856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1341"/>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674" w:type="dxa"/>
            <w:shd w:val="clear" w:color="auto" w:fill="FFFFFF" w:themeFill="background1"/>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b/>
                <w:sz w:val="28"/>
                <w:szCs w:val="28"/>
              </w:rPr>
            </w:pPr>
            <w:r>
              <w:rPr>
                <w:rFonts w:hint="eastAsia" w:ascii="仿宋" w:hAnsi="仿宋" w:eastAsia="仿宋" w:cs="仿宋_GB2312"/>
                <w:b/>
                <w:kern w:val="0"/>
                <w:sz w:val="28"/>
                <w:szCs w:val="28"/>
                <w:lang w:bidi="ar"/>
              </w:rPr>
              <w:t>序号</w:t>
            </w:r>
          </w:p>
        </w:tc>
        <w:tc>
          <w:tcPr>
            <w:tcW w:w="1341" w:type="dxa"/>
            <w:shd w:val="clear" w:color="auto" w:fill="FFFFFF" w:themeFill="background1"/>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b/>
                <w:sz w:val="28"/>
                <w:szCs w:val="28"/>
              </w:rPr>
            </w:pPr>
            <w:r>
              <w:rPr>
                <w:rFonts w:hint="eastAsia" w:ascii="仿宋" w:hAnsi="仿宋" w:eastAsia="仿宋" w:cs="仿宋_GB2312"/>
                <w:b/>
                <w:kern w:val="0"/>
                <w:sz w:val="28"/>
                <w:szCs w:val="28"/>
                <w:lang w:bidi="ar"/>
              </w:rPr>
              <w:t>维护项目</w:t>
            </w:r>
          </w:p>
        </w:tc>
        <w:tc>
          <w:tcPr>
            <w:tcW w:w="6554" w:type="dxa"/>
            <w:shd w:val="clear" w:color="auto" w:fill="FFFFFF" w:themeFill="background1"/>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b/>
                <w:sz w:val="28"/>
                <w:szCs w:val="28"/>
              </w:rPr>
            </w:pPr>
            <w:r>
              <w:rPr>
                <w:rFonts w:hint="eastAsia" w:ascii="仿宋" w:hAnsi="仿宋" w:eastAsia="仿宋" w:cs="仿宋_GB2312"/>
                <w:b/>
                <w:kern w:val="0"/>
                <w:sz w:val="28"/>
                <w:szCs w:val="28"/>
                <w:lang w:bidi="ar"/>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1</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系统安全性检查</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系统软件的安全级别符合《计算机信息系统安全保护等级划分准则》（GB17859）的有关规定。定期更换系统密码，定期核准用户权限，防止系统出现越权访问。定期进行IP地址测试，检测非法用户，防止非法用户入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2</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软件运行状态检查</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要求所有服务器端和客户端的软件运行稳定，软件无卡机和假运行现象。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3</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数据备份管理</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每日对业务数据和配置信息进行备份。定期检查备份数据是否安全可用。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4</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软件故障恢复管理</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对软件(如操作系统、数据库系统、应用软件、重要设备配置信息等)能够自动或在人工干预下从故障状态下恢复到正常状态而不致造成系统混乱和数据丢失。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5</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系统日常维护</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kern w:val="0"/>
                <w:sz w:val="28"/>
                <w:szCs w:val="28"/>
                <w:lang w:bidi="ar"/>
              </w:rPr>
            </w:pPr>
            <w:r>
              <w:rPr>
                <w:rFonts w:hint="eastAsia" w:ascii="仿宋" w:hAnsi="仿宋" w:eastAsia="仿宋" w:cs="仿宋_GB2312"/>
                <w:kern w:val="0"/>
                <w:sz w:val="28"/>
                <w:szCs w:val="28"/>
                <w:lang w:bidi="ar"/>
              </w:rPr>
              <w:t>为确保系统的正常运行，对系统进行例行的运行检查；针对系统用户提出的疑难问题进行解答和修复,当用户不明确操作时，进行电话或远程指导。配合甲方对用户进行相关操作培训和使用指导。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lang w:eastAsia="zh-CN"/>
              </w:rPr>
            </w:pPr>
            <w:r>
              <w:rPr>
                <w:rFonts w:hint="eastAsia" w:ascii="仿宋" w:hAnsi="仿宋" w:eastAsia="仿宋" w:cs="仿宋_GB2312"/>
                <w:kern w:val="0"/>
                <w:sz w:val="28"/>
                <w:szCs w:val="28"/>
                <w:lang w:val="en-US" w:eastAsia="zh-CN" w:bidi="ar"/>
              </w:rPr>
              <w:t>6</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系统运行情况通报</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定期通报系统运维情况、数据使用情况等。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lang w:eastAsia="zh-CN"/>
              </w:rPr>
            </w:pPr>
            <w:r>
              <w:rPr>
                <w:rFonts w:hint="eastAsia" w:ascii="仿宋" w:hAnsi="仿宋" w:eastAsia="仿宋" w:cs="仿宋_GB2312"/>
                <w:kern w:val="0"/>
                <w:sz w:val="28"/>
                <w:szCs w:val="28"/>
                <w:lang w:val="en-US" w:eastAsia="zh-CN" w:bidi="ar"/>
              </w:rPr>
              <w:t>7</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系统安全检测及修复</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定期检查服务器、数据库、网络情况，协助补丁升级、故障排除，及时修复可能存在的安全风险，确保系统安全。</w:t>
            </w:r>
          </w:p>
        </w:tc>
      </w:tr>
    </w:tbl>
    <w:p>
      <w:pPr>
        <w:numPr>
          <w:ilvl w:val="0"/>
          <w:numId w:val="1"/>
        </w:numPr>
        <w:suppressAutoHyphens/>
        <w:spacing w:line="360" w:lineRule="auto"/>
        <w:rPr>
          <w:rFonts w:hint="eastAsia" w:ascii="黑体" w:hAnsi="黑体" w:eastAsia="黑体" w:cs="黑体"/>
          <w:sz w:val="32"/>
          <w:szCs w:val="32"/>
          <w:lang w:val="zh-CN"/>
        </w:rPr>
      </w:pPr>
      <w:r>
        <w:rPr>
          <w:rFonts w:hint="eastAsia" w:ascii="黑体" w:hAnsi="黑体" w:eastAsia="黑体" w:cs="黑体"/>
          <w:sz w:val="32"/>
          <w:szCs w:val="32"/>
          <w:lang w:val="zh-CN"/>
        </w:rPr>
        <w:t>项目维护服务周期</w:t>
      </w:r>
    </w:p>
    <w:p>
      <w:pPr>
        <w:suppressAutoHyphen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合同签订之日起一年。</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EBE10"/>
    <w:multiLevelType w:val="singleLevel"/>
    <w:tmpl w:val="FC7EBE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5N2Y5MTMyMTcxZTVhNDUxMTQ4MWI5NzRhMjQzOWYifQ=="/>
  </w:docVars>
  <w:rsids>
    <w:rsidRoot w:val="74531B0F"/>
    <w:rsid w:val="00024816"/>
    <w:rsid w:val="00033240"/>
    <w:rsid w:val="00063D71"/>
    <w:rsid w:val="00225627"/>
    <w:rsid w:val="00232D67"/>
    <w:rsid w:val="002D569F"/>
    <w:rsid w:val="002E21CE"/>
    <w:rsid w:val="00323492"/>
    <w:rsid w:val="00333389"/>
    <w:rsid w:val="00372A57"/>
    <w:rsid w:val="004D39CA"/>
    <w:rsid w:val="004D52E9"/>
    <w:rsid w:val="0055551A"/>
    <w:rsid w:val="006B5A16"/>
    <w:rsid w:val="0081065E"/>
    <w:rsid w:val="008D03EB"/>
    <w:rsid w:val="008F1D19"/>
    <w:rsid w:val="00983EF5"/>
    <w:rsid w:val="00A408F0"/>
    <w:rsid w:val="00A85007"/>
    <w:rsid w:val="00B26B45"/>
    <w:rsid w:val="00B43273"/>
    <w:rsid w:val="00BF0622"/>
    <w:rsid w:val="00C0708C"/>
    <w:rsid w:val="00C20152"/>
    <w:rsid w:val="00C567C8"/>
    <w:rsid w:val="00C84B66"/>
    <w:rsid w:val="00CF2551"/>
    <w:rsid w:val="00D3721A"/>
    <w:rsid w:val="01DF2B4F"/>
    <w:rsid w:val="036C0BEA"/>
    <w:rsid w:val="055D222F"/>
    <w:rsid w:val="088210AA"/>
    <w:rsid w:val="08B52BC0"/>
    <w:rsid w:val="0C766168"/>
    <w:rsid w:val="0C8E0534"/>
    <w:rsid w:val="0F8F6A2A"/>
    <w:rsid w:val="102A19BC"/>
    <w:rsid w:val="10B71639"/>
    <w:rsid w:val="11561326"/>
    <w:rsid w:val="12647BF4"/>
    <w:rsid w:val="15000C07"/>
    <w:rsid w:val="1D646B79"/>
    <w:rsid w:val="1E85324A"/>
    <w:rsid w:val="201237A1"/>
    <w:rsid w:val="23C91DC7"/>
    <w:rsid w:val="251B46E0"/>
    <w:rsid w:val="2522012E"/>
    <w:rsid w:val="264C77E2"/>
    <w:rsid w:val="27BD0BA3"/>
    <w:rsid w:val="2AF23A16"/>
    <w:rsid w:val="2B5B0B52"/>
    <w:rsid w:val="2CBF50BF"/>
    <w:rsid w:val="2F7075FF"/>
    <w:rsid w:val="2F883D9F"/>
    <w:rsid w:val="2FD30669"/>
    <w:rsid w:val="30822F82"/>
    <w:rsid w:val="3208131B"/>
    <w:rsid w:val="334131D3"/>
    <w:rsid w:val="335E6CEC"/>
    <w:rsid w:val="349F69BC"/>
    <w:rsid w:val="35FF4995"/>
    <w:rsid w:val="376B527C"/>
    <w:rsid w:val="38C36887"/>
    <w:rsid w:val="394564EF"/>
    <w:rsid w:val="3B005CDB"/>
    <w:rsid w:val="3D5B0736"/>
    <w:rsid w:val="3F115748"/>
    <w:rsid w:val="42AA4A0A"/>
    <w:rsid w:val="42F8478B"/>
    <w:rsid w:val="430400AA"/>
    <w:rsid w:val="44827761"/>
    <w:rsid w:val="46F543B8"/>
    <w:rsid w:val="493C25D4"/>
    <w:rsid w:val="49E2286F"/>
    <w:rsid w:val="4BC16A36"/>
    <w:rsid w:val="4C380FDF"/>
    <w:rsid w:val="4E006AFF"/>
    <w:rsid w:val="4E7362A5"/>
    <w:rsid w:val="509946DA"/>
    <w:rsid w:val="50BB6EA5"/>
    <w:rsid w:val="524A3079"/>
    <w:rsid w:val="52C43394"/>
    <w:rsid w:val="56230B3D"/>
    <w:rsid w:val="56C66CC8"/>
    <w:rsid w:val="578F4217"/>
    <w:rsid w:val="5E9020F1"/>
    <w:rsid w:val="63424D3C"/>
    <w:rsid w:val="63572933"/>
    <w:rsid w:val="6554084E"/>
    <w:rsid w:val="65BE1B6A"/>
    <w:rsid w:val="66154C5C"/>
    <w:rsid w:val="67233D06"/>
    <w:rsid w:val="685D6CD6"/>
    <w:rsid w:val="6939728B"/>
    <w:rsid w:val="6B153AF6"/>
    <w:rsid w:val="6BDA1FFF"/>
    <w:rsid w:val="6DBC0D13"/>
    <w:rsid w:val="6DF365FF"/>
    <w:rsid w:val="71D61ED6"/>
    <w:rsid w:val="74531B0F"/>
    <w:rsid w:val="75425DC3"/>
    <w:rsid w:val="76A43029"/>
    <w:rsid w:val="7A602571"/>
    <w:rsid w:val="7B0C0269"/>
    <w:rsid w:val="7E36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unhideWhenUsed/>
    <w:qFormat/>
    <w:uiPriority w:val="99"/>
    <w:pPr>
      <w:spacing w:after="120"/>
    </w:pPr>
  </w:style>
  <w:style w:type="paragraph" w:styleId="6">
    <w:name w:val="footer"/>
    <w:basedOn w:val="1"/>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8">
    <w:name w:val="toc 2"/>
    <w:basedOn w:val="1"/>
    <w:next w:val="1"/>
    <w:unhideWhenUsed/>
    <w:qFormat/>
    <w:uiPriority w:val="39"/>
    <w:pPr>
      <w:spacing w:after="156"/>
      <w:ind w:left="480" w:leftChars="200"/>
    </w:p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5"/>
    <w:unhideWhenUsed/>
    <w:qFormat/>
    <w:uiPriority w:val="99"/>
    <w:pPr>
      <w:ind w:firstLine="420" w:firstLineChars="100"/>
    </w:pPr>
    <w:rPr>
      <w:rFonts w:ascii="等线" w:hAnsi="等线" w:eastAsia="等线" w:cs="Times New Roman"/>
      <w:szCs w:val="24"/>
    </w:rPr>
  </w:style>
  <w:style w:type="paragraph" w:customStyle="1" w:styleId="13">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customStyle="1" w:styleId="14">
    <w:name w:val="列表段落1"/>
    <w:basedOn w:val="1"/>
    <w:unhideWhenUsed/>
    <w:qFormat/>
    <w:uiPriority w:val="34"/>
    <w:pPr>
      <w:ind w:firstLine="420" w:firstLineChars="200"/>
    </w:pPr>
    <w:rPr>
      <w:rFonts w:eastAsia="宋体"/>
      <w:szCs w:val="24"/>
    </w:rPr>
  </w:style>
  <w:style w:type="paragraph" w:customStyle="1" w:styleId="15">
    <w:name w:val="_Style 97"/>
    <w:basedOn w:val="1"/>
    <w:next w:val="14"/>
    <w:qFormat/>
    <w:uiPriority w:val="0"/>
    <w:pPr>
      <w:ind w:firstLine="420" w:firstLineChars="200"/>
    </w:pPr>
  </w:style>
  <w:style w:type="paragraph" w:customStyle="1" w:styleId="16">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列表段落11"/>
    <w:basedOn w:val="1"/>
    <w:unhideWhenUsed/>
    <w:qFormat/>
    <w:uiPriority w:val="34"/>
    <w:pPr>
      <w:ind w:firstLine="420" w:firstLineChars="200"/>
    </w:pPr>
    <w:rPr>
      <w:rFonts w:eastAsia="宋体"/>
    </w:rPr>
  </w:style>
  <w:style w:type="paragraph" w:customStyle="1" w:styleId="18">
    <w:name w:val="Body text|21"/>
    <w:basedOn w:val="1"/>
    <w:qFormat/>
    <w:uiPriority w:val="0"/>
    <w:pPr>
      <w:shd w:val="clear" w:color="auto" w:fill="FFFFFF"/>
      <w:spacing w:before="300" w:line="605" w:lineRule="exact"/>
      <w:jc w:val="distribute"/>
    </w:pPr>
    <w:rPr>
      <w:rFonts w:ascii="PMingLiU" w:hAnsi="PMingLiU" w:eastAsia="PMingLiU" w:cs="PMingLiU"/>
      <w:spacing w:val="30"/>
      <w:sz w:val="30"/>
      <w:szCs w:val="30"/>
    </w:rPr>
  </w:style>
  <w:style w:type="paragraph" w:customStyle="1" w:styleId="1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20">
    <w:name w:val="unnamed11"/>
    <w:qFormat/>
    <w:uiPriority w:val="0"/>
    <w:rPr>
      <w:sz w:val="18"/>
      <w:szCs w:val="18"/>
    </w:rPr>
  </w:style>
  <w:style w:type="paragraph" w:styleId="21">
    <w:name w:val="List Paragraph"/>
    <w:basedOn w:val="1"/>
    <w:qFormat/>
    <w:uiPriority w:val="99"/>
    <w:pPr>
      <w:ind w:firstLine="420" w:firstLineChars="200"/>
    </w:pPr>
  </w:style>
  <w:style w:type="paragraph" w:customStyle="1" w:styleId="22">
    <w:name w:val="Table Paragraph"/>
    <w:basedOn w:val="1"/>
    <w:qFormat/>
    <w:uiPriority w:val="1"/>
    <w:pPr>
      <w:widowControl/>
      <w:jc w:val="left"/>
    </w:pPr>
    <w:rPr>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9414</Words>
  <Characters>9455</Characters>
  <Lines>15</Lines>
  <Paragraphs>4</Paragraphs>
  <TotalTime>9</TotalTime>
  <ScaleCrop>false</ScaleCrop>
  <LinksUpToDate>false</LinksUpToDate>
  <CharactersWithSpaces>9485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2024-03-06T06:22:00Z</dcterms:created>
  <dc:creator>17266</dc:creator>
  <cp:lastModifiedBy>Ming. Leung</cp:lastModifiedBy>
  <cp:lastPrinted>2022-09-27T03:06:00Z</cp:lastPrinted>
  <dcterms:modified xsi:type="dcterms:W3CDTF">2024-11-12T03:10:11Z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67AE724C602E4DD9A4434AD3B9BBF2B4</vt:lpwstr>
  </property>
  <property fmtid="{D5CDD505-2E9C-101B-9397-08002B2CF9AE}" pid="4" name="ribbonExt">
    <vt:lpwstr>{"WPSExtOfficeTab":{"OnGetEnabled":false,"OnGetVisible":false}}</vt:lpwstr>
  </property>
</Properties>
</file>