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315E79">
      <w:pPr>
        <w:adjustRightInd w:val="0"/>
        <w:snapToGrid w:val="0"/>
        <w:jc w:val="center"/>
        <w:rPr>
          <w:rFonts w:ascii="方正小标宋简体" w:hAnsi="宋体" w:eastAsia="方正小标宋简体"/>
          <w:bCs/>
          <w:kern w:val="28"/>
          <w:sz w:val="44"/>
          <w:szCs w:val="44"/>
        </w:rPr>
      </w:pPr>
      <w:r>
        <w:rPr>
          <w:rFonts w:hint="eastAsia" w:ascii="方正小标宋简体" w:hAnsi="宋体" w:eastAsia="方正小标宋简体"/>
          <w:bCs/>
          <w:kern w:val="28"/>
          <w:sz w:val="44"/>
          <w:szCs w:val="44"/>
        </w:rPr>
        <w:t>《横琴粤澳深度合作区城镇国有建设用地</w:t>
      </w:r>
    </w:p>
    <w:p w14:paraId="6DE64033">
      <w:pPr>
        <w:adjustRightInd w:val="0"/>
        <w:snapToGrid w:val="0"/>
        <w:jc w:val="center"/>
        <w:rPr>
          <w:rFonts w:ascii="方正小标宋简体" w:hAnsi="宋体" w:eastAsia="方正小标宋简体"/>
          <w:bCs/>
          <w:kern w:val="28"/>
          <w:sz w:val="44"/>
          <w:szCs w:val="44"/>
        </w:rPr>
      </w:pPr>
      <w:r>
        <w:rPr>
          <w:rFonts w:hint="eastAsia" w:ascii="方正小标宋简体" w:hAnsi="宋体" w:eastAsia="方正小标宋简体"/>
          <w:bCs/>
          <w:kern w:val="28"/>
          <w:sz w:val="44"/>
          <w:szCs w:val="44"/>
        </w:rPr>
        <w:t>标定地价》的政策解读</w:t>
      </w:r>
    </w:p>
    <w:p w14:paraId="3539E03C">
      <w:pPr>
        <w:pStyle w:val="7"/>
      </w:pPr>
    </w:p>
    <w:p w14:paraId="0FC41AEC">
      <w:pPr>
        <w:pStyle w:val="7"/>
        <w:adjustRightInd w:val="0"/>
        <w:snapToGrid w:val="0"/>
        <w:spacing w:before="78" w:beforeLines="25" w:after="78" w:afterLines="25" w:line="560" w:lineRule="exact"/>
        <w:ind w:firstLine="723"/>
        <w:outlineLvl w:val="0"/>
        <w:rPr>
          <w:rFonts w:ascii="仿宋_GB2312" w:hAnsi="仿宋_GB2312" w:eastAsia="仿宋_GB2312" w:cs="仿宋_GB2312"/>
          <w:sz w:val="32"/>
          <w:szCs w:val="32"/>
        </w:rPr>
      </w:pPr>
      <w:r>
        <w:rPr>
          <w:rFonts w:hint="eastAsia" w:ascii="黑体" w:hAnsi="黑体" w:eastAsia="黑体"/>
          <w:b/>
          <w:bCs/>
          <w:sz w:val="36"/>
          <w:szCs w:val="36"/>
        </w:rPr>
        <w:t>一、文件制订背景</w:t>
      </w:r>
    </w:p>
    <w:p w14:paraId="20E6F217">
      <w:pPr>
        <w:spacing w:before="78" w:beforeLines="25" w:after="78" w:afterLines="25" w:line="560" w:lineRule="exact"/>
        <w:ind w:firstLine="640" w:firstLineChars="200"/>
        <w:rPr>
          <w:rFonts w:ascii="仿宋_GB2312" w:hAnsi="仿宋" w:eastAsia="仿宋_GB2312"/>
          <w:sz w:val="32"/>
          <w:szCs w:val="32"/>
        </w:rPr>
      </w:pPr>
      <w:r>
        <w:rPr>
          <w:rFonts w:hint="eastAsia" w:ascii="仿宋_GB2312" w:hAnsi="仿宋_GB2312" w:eastAsia="仿宋_GB2312" w:cs="仿宋_GB2312"/>
          <w:sz w:val="32"/>
          <w:szCs w:val="32"/>
        </w:rPr>
        <w:t>根据《中华人民共和国土地管理法》、《中华人民共和国</w:t>
      </w:r>
      <w:bookmarkStart w:id="0" w:name="_Hlk180570612"/>
      <w:r>
        <w:rPr>
          <w:rFonts w:hint="eastAsia" w:ascii="仿宋_GB2312" w:hAnsi="仿宋" w:eastAsia="仿宋_GB2312" w:cs="仿宋"/>
          <w:sz w:val="32"/>
          <w:szCs w:val="36"/>
        </w:rPr>
        <w:t>城市</w:t>
      </w:r>
      <w:bookmarkEnd w:id="0"/>
      <w:r>
        <w:rPr>
          <w:rFonts w:hint="eastAsia" w:ascii="仿宋_GB2312" w:hAnsi="仿宋_GB2312" w:eastAsia="仿宋_GB2312" w:cs="仿宋_GB2312"/>
          <w:sz w:val="32"/>
          <w:szCs w:val="32"/>
        </w:rPr>
        <w:t>房地产管理法》、《标定地价规程》等有关文件要求</w:t>
      </w:r>
      <w:r>
        <w:rPr>
          <w:rFonts w:ascii="仿宋_GB2312" w:hAnsi="仿宋" w:eastAsia="仿宋_GB2312"/>
          <w:sz w:val="32"/>
          <w:szCs w:val="32"/>
        </w:rPr>
        <w:t>，为进一步</w:t>
      </w:r>
      <w:r>
        <w:rPr>
          <w:rFonts w:hint="eastAsia" w:ascii="仿宋_GB2312" w:hAnsi="仿宋" w:eastAsia="仿宋_GB2312"/>
          <w:sz w:val="32"/>
          <w:szCs w:val="32"/>
        </w:rPr>
        <w:t>完善合作区公示地价体系，为合作区国有土地使用权出让评估、补缴地价评估及临时用地补偿费核算标准提供参考依据</w:t>
      </w:r>
      <w:r>
        <w:rPr>
          <w:rFonts w:ascii="仿宋_GB2312" w:hAnsi="仿宋" w:eastAsia="仿宋_GB2312"/>
          <w:sz w:val="32"/>
          <w:szCs w:val="32"/>
        </w:rPr>
        <w:t>，</w:t>
      </w:r>
      <w:r>
        <w:rPr>
          <w:rFonts w:hint="eastAsia" w:ascii="仿宋_GB2312" w:hAnsi="仿宋" w:eastAsia="仿宋_GB2312"/>
          <w:sz w:val="32"/>
          <w:szCs w:val="32"/>
        </w:rPr>
        <w:t>现</w:t>
      </w:r>
      <w:r>
        <w:rPr>
          <w:rFonts w:hint="eastAsia" w:ascii="仿宋_GB2312" w:hAnsi="仿宋" w:eastAsia="仿宋_GB2312" w:cs="仿宋"/>
          <w:sz w:val="32"/>
          <w:szCs w:val="36"/>
        </w:rPr>
        <w:t>制订</w:t>
      </w:r>
      <w:r>
        <w:rPr>
          <w:rFonts w:hint="eastAsia" w:ascii="仿宋_GB2312" w:hAnsi="仿宋" w:eastAsia="仿宋_GB2312"/>
          <w:sz w:val="32"/>
          <w:szCs w:val="32"/>
        </w:rPr>
        <w:t>了横琴粤澳深度合作区城镇国有建设用地标定地价</w:t>
      </w:r>
      <w:r>
        <w:rPr>
          <w:rFonts w:ascii="仿宋_GB2312" w:hAnsi="仿宋" w:eastAsia="仿宋_GB2312"/>
          <w:sz w:val="32"/>
          <w:szCs w:val="32"/>
        </w:rPr>
        <w:t>。</w:t>
      </w:r>
    </w:p>
    <w:p w14:paraId="3D800EDC">
      <w:pPr>
        <w:pStyle w:val="7"/>
        <w:adjustRightInd w:val="0"/>
        <w:snapToGrid w:val="0"/>
        <w:spacing w:before="78" w:beforeLines="25" w:after="78" w:afterLines="25" w:line="560" w:lineRule="exact"/>
        <w:ind w:firstLine="723"/>
        <w:outlineLvl w:val="0"/>
        <w:rPr>
          <w:rFonts w:ascii="黑体" w:hAnsi="黑体" w:eastAsia="黑体"/>
          <w:b/>
          <w:bCs/>
          <w:sz w:val="36"/>
          <w:szCs w:val="36"/>
        </w:rPr>
      </w:pPr>
      <w:r>
        <w:rPr>
          <w:rFonts w:hint="eastAsia" w:ascii="黑体" w:hAnsi="黑体" w:eastAsia="黑体"/>
          <w:b/>
          <w:bCs/>
          <w:sz w:val="36"/>
          <w:szCs w:val="36"/>
        </w:rPr>
        <w:t>二、文件制订依据</w:t>
      </w:r>
    </w:p>
    <w:p w14:paraId="28E88FEB">
      <w:pPr>
        <w:pStyle w:val="7"/>
        <w:adjustRightInd w:val="0"/>
        <w:snapToGrid w:val="0"/>
        <w:spacing w:before="78" w:beforeLines="25" w:after="78" w:afterLines="25" w:line="560" w:lineRule="exact"/>
        <w:ind w:firstLine="640"/>
        <w:outlineLvl w:val="1"/>
        <w:rPr>
          <w:rFonts w:ascii="仿宋_GB2312" w:hAnsi="仿宋" w:eastAsia="仿宋_GB2312" w:cs="仿宋"/>
          <w:sz w:val="32"/>
          <w:szCs w:val="36"/>
        </w:rPr>
      </w:pPr>
      <w:r>
        <w:rPr>
          <w:rFonts w:hint="eastAsia" w:ascii="仿宋_GB2312" w:hAnsi="仿宋" w:eastAsia="仿宋_GB2312" w:cs="仿宋"/>
          <w:sz w:val="32"/>
          <w:szCs w:val="36"/>
        </w:rPr>
        <w:t>（一）《中华人民共和国土地管理法》</w:t>
      </w:r>
    </w:p>
    <w:p w14:paraId="7131831D">
      <w:pPr>
        <w:ind w:firstLine="640" w:firstLineChars="200"/>
        <w:rPr>
          <w:rFonts w:ascii="仿宋_GB2312" w:hAnsi="仿宋" w:eastAsia="仿宋_GB2312" w:cs="仿宋"/>
          <w:sz w:val="32"/>
          <w:szCs w:val="36"/>
        </w:rPr>
      </w:pPr>
      <w:r>
        <w:rPr>
          <w:rFonts w:hint="eastAsia" w:ascii="仿宋_GB2312" w:hAnsi="仿宋" w:eastAsia="仿宋_GB2312" w:cs="仿宋"/>
          <w:sz w:val="32"/>
          <w:szCs w:val="36"/>
        </w:rPr>
        <w:t>（二）《中华人民共和国城市房地产管理法》</w:t>
      </w:r>
    </w:p>
    <w:p w14:paraId="53B5E51A">
      <w:pPr>
        <w:ind w:firstLine="640" w:firstLineChars="200"/>
        <w:rPr>
          <w:rFonts w:ascii="仿宋_GB2312" w:hAnsi="仿宋" w:eastAsia="仿宋_GB2312" w:cs="仿宋"/>
          <w:sz w:val="32"/>
          <w:szCs w:val="36"/>
        </w:rPr>
      </w:pPr>
      <w:r>
        <w:rPr>
          <w:rFonts w:hint="eastAsia" w:ascii="仿宋_GB2312" w:hAnsi="仿宋" w:eastAsia="仿宋_GB2312" w:cs="仿宋"/>
          <w:sz w:val="32"/>
          <w:szCs w:val="36"/>
        </w:rPr>
        <w:t>（三）《自然资源部办公厅关于做好2022年度自然资源评价评估工作的通知》（自然资办发〔2022〕13号）</w:t>
      </w:r>
    </w:p>
    <w:p w14:paraId="37CF2F28">
      <w:pPr>
        <w:pStyle w:val="7"/>
        <w:adjustRightInd w:val="0"/>
        <w:snapToGrid w:val="0"/>
        <w:spacing w:before="78" w:beforeLines="25" w:after="78" w:afterLines="25" w:line="560" w:lineRule="exact"/>
        <w:ind w:firstLine="640"/>
        <w:outlineLvl w:val="1"/>
        <w:rPr>
          <w:rFonts w:ascii="仿宋_GB2312" w:hAnsi="仿宋" w:eastAsia="仿宋_GB2312" w:cs="仿宋"/>
          <w:sz w:val="32"/>
          <w:szCs w:val="36"/>
        </w:rPr>
      </w:pPr>
      <w:r>
        <w:rPr>
          <w:rFonts w:hint="eastAsia" w:ascii="仿宋_GB2312" w:hAnsi="仿宋" w:eastAsia="仿宋_GB2312" w:cs="仿宋"/>
          <w:sz w:val="32"/>
          <w:szCs w:val="36"/>
        </w:rPr>
        <w:t>（四）《广东省自然资源厅转发自然资源部办公厅关于做好2022年度自然资源评价评估有关工作的通知》（粤自然资利用〔2022〕1274号）</w:t>
      </w:r>
    </w:p>
    <w:p w14:paraId="22C833CE">
      <w:pPr>
        <w:pStyle w:val="7"/>
        <w:adjustRightInd w:val="0"/>
        <w:snapToGrid w:val="0"/>
        <w:spacing w:before="78" w:beforeLines="25" w:after="78" w:afterLines="25" w:line="560" w:lineRule="exact"/>
        <w:ind w:firstLine="640"/>
        <w:outlineLvl w:val="1"/>
        <w:rPr>
          <w:rFonts w:ascii="仿宋_GB2312" w:hAnsi="仿宋" w:eastAsia="仿宋_GB2312" w:cs="仿宋"/>
          <w:sz w:val="32"/>
          <w:szCs w:val="36"/>
        </w:rPr>
      </w:pPr>
      <w:r>
        <w:rPr>
          <w:rFonts w:hint="eastAsia" w:ascii="仿宋_GB2312" w:hAnsi="仿宋" w:eastAsia="仿宋_GB2312" w:cs="仿宋"/>
          <w:sz w:val="32"/>
          <w:szCs w:val="36"/>
        </w:rPr>
        <w:t>（五）《城镇土地估价规程》（GB/T 18508-2014）</w:t>
      </w:r>
    </w:p>
    <w:p w14:paraId="62088244">
      <w:pPr>
        <w:pStyle w:val="7"/>
        <w:adjustRightInd w:val="0"/>
        <w:snapToGrid w:val="0"/>
        <w:spacing w:before="78" w:beforeLines="25" w:after="78" w:afterLines="25" w:line="560" w:lineRule="exact"/>
        <w:ind w:firstLine="640"/>
        <w:outlineLvl w:val="1"/>
        <w:rPr>
          <w:rFonts w:ascii="仿宋_GB2312" w:hAnsi="仿宋" w:eastAsia="仿宋_GB2312" w:cs="仿宋"/>
          <w:sz w:val="32"/>
          <w:szCs w:val="36"/>
        </w:rPr>
      </w:pPr>
      <w:r>
        <w:rPr>
          <w:rFonts w:hint="eastAsia" w:ascii="仿宋_GB2312" w:hAnsi="仿宋" w:eastAsia="仿宋_GB2312" w:cs="仿宋"/>
          <w:sz w:val="32"/>
          <w:szCs w:val="36"/>
        </w:rPr>
        <w:t>（六）《</w:t>
      </w:r>
      <w:r>
        <w:rPr>
          <w:rFonts w:hint="eastAsia" w:ascii="仿宋_GB2312" w:hAnsi="仿宋_GB2312" w:eastAsia="仿宋_GB2312" w:cs="仿宋_GB2312"/>
          <w:sz w:val="32"/>
          <w:szCs w:val="32"/>
        </w:rPr>
        <w:t>标定地价规程</w:t>
      </w:r>
      <w:r>
        <w:rPr>
          <w:rFonts w:hint="eastAsia" w:ascii="仿宋_GB2312" w:hAnsi="仿宋" w:eastAsia="仿宋_GB2312" w:cs="仿宋"/>
          <w:sz w:val="32"/>
          <w:szCs w:val="36"/>
        </w:rPr>
        <w:t>》（TD/T 1052-2017)</w:t>
      </w:r>
    </w:p>
    <w:p w14:paraId="51A74736">
      <w:pPr>
        <w:pStyle w:val="7"/>
        <w:adjustRightInd w:val="0"/>
        <w:snapToGrid w:val="0"/>
        <w:spacing w:before="78" w:beforeLines="25" w:after="78" w:afterLines="25" w:line="560" w:lineRule="exact"/>
        <w:ind w:firstLine="723"/>
        <w:outlineLvl w:val="0"/>
        <w:rPr>
          <w:rFonts w:ascii="黑体" w:hAnsi="黑体" w:eastAsia="黑体"/>
          <w:b/>
          <w:bCs/>
          <w:sz w:val="36"/>
          <w:szCs w:val="36"/>
        </w:rPr>
      </w:pPr>
      <w:r>
        <w:rPr>
          <w:rFonts w:hint="eastAsia" w:ascii="黑体" w:hAnsi="黑体" w:eastAsia="黑体"/>
          <w:b/>
          <w:bCs/>
          <w:sz w:val="36"/>
          <w:szCs w:val="36"/>
        </w:rPr>
        <w:t>三、主要内容</w:t>
      </w:r>
    </w:p>
    <w:p w14:paraId="48653862">
      <w:pPr>
        <w:pStyle w:val="7"/>
        <w:adjustRightInd w:val="0"/>
        <w:snapToGrid w:val="0"/>
        <w:spacing w:before="78" w:beforeLines="25" w:after="78" w:afterLines="25" w:line="560" w:lineRule="exact"/>
        <w:ind w:firstLine="640"/>
        <w:rPr>
          <w:rFonts w:ascii="仿宋_GB2312" w:hAnsi="仿宋" w:eastAsia="仿宋_GB2312"/>
          <w:sz w:val="32"/>
          <w:szCs w:val="32"/>
        </w:rPr>
      </w:pPr>
      <w:r>
        <w:rPr>
          <w:rFonts w:hint="eastAsia" w:ascii="仿宋_GB2312" w:hAnsi="仿宋" w:eastAsia="仿宋_GB2312"/>
          <w:sz w:val="32"/>
          <w:szCs w:val="32"/>
        </w:rPr>
        <w:t>（一）本次标定地价适用范围为横琴粤澳深度合作区（不含水系、湿地）的建成区、规划建设区内的城镇国有建设用地。</w:t>
      </w:r>
    </w:p>
    <w:p w14:paraId="62909161">
      <w:pPr>
        <w:pStyle w:val="7"/>
        <w:adjustRightInd w:val="0"/>
        <w:snapToGrid w:val="0"/>
        <w:spacing w:before="78" w:beforeLines="25" w:after="78" w:afterLines="25" w:line="560" w:lineRule="exact"/>
        <w:ind w:firstLine="640"/>
        <w:rPr>
          <w:rFonts w:ascii="仿宋_GB2312" w:hAnsi="仿宋" w:eastAsia="仿宋_GB2312"/>
          <w:sz w:val="32"/>
          <w:szCs w:val="32"/>
        </w:rPr>
      </w:pPr>
      <w:r>
        <w:rPr>
          <w:rFonts w:hint="eastAsia" w:ascii="仿宋_GB2312" w:hAnsi="仿宋" w:eastAsia="仿宋_GB2312"/>
          <w:sz w:val="32"/>
          <w:szCs w:val="32"/>
        </w:rPr>
        <w:t>（二）地价内涵是标准宗地在估价期日2023年1月1日平稳正常情况、公开竞争市场条件下，土地用途按标准宗地批准的开发利用用途设定，土地开发程度按标准宗地红线外现状基础设施开发条件、红线内现状平整条件设定，容积率按现状或规划设定，土地使用年期按标准宗地相应用途法定最高使用年期设定，无抵押权、地役权等他项权利限制的出让土地使用权价格。</w:t>
      </w:r>
    </w:p>
    <w:p w14:paraId="131271C9">
      <w:pPr>
        <w:pStyle w:val="7"/>
        <w:widowControl/>
        <w:adjustRightInd w:val="0"/>
        <w:snapToGrid w:val="0"/>
        <w:spacing w:before="78" w:beforeLines="25" w:after="78" w:afterLines="25" w:line="560" w:lineRule="exact"/>
        <w:ind w:firstLine="640"/>
        <w:rPr>
          <w:rFonts w:ascii="仿宋_GB2312" w:hAnsi="仿宋" w:eastAsia="仿宋_GB2312"/>
          <w:sz w:val="32"/>
          <w:szCs w:val="32"/>
        </w:rPr>
      </w:pPr>
      <w:r>
        <w:rPr>
          <w:rFonts w:hint="eastAsia" w:ascii="仿宋_GB2312" w:hAnsi="仿宋" w:eastAsia="仿宋_GB2312"/>
          <w:sz w:val="32"/>
          <w:szCs w:val="32"/>
        </w:rPr>
        <w:t>（三）标准宗地价格类型包括平均楼面地价和地面地价，价格单位为元/平方米，币种为人民币。其中商业用地、住宅用地、办公用地、酒店用地、公共管理与公共服务用地标准宗地评估价格表现形式为平均楼面地价，工业用地、公用设施用地标准宗地评估价格表现形式为地面地价。</w:t>
      </w:r>
    </w:p>
    <w:p w14:paraId="04787DDB">
      <w:pPr>
        <w:pStyle w:val="7"/>
        <w:adjustRightInd w:val="0"/>
        <w:snapToGrid w:val="0"/>
        <w:spacing w:before="78" w:beforeLines="25" w:after="78" w:afterLines="25" w:line="560" w:lineRule="exact"/>
        <w:ind w:firstLine="640"/>
        <w:rPr>
          <w:rFonts w:ascii="仿宋_GB2312" w:hAnsi="仿宋" w:eastAsia="仿宋_GB2312"/>
          <w:sz w:val="32"/>
          <w:szCs w:val="32"/>
        </w:rPr>
      </w:pPr>
      <w:bookmarkStart w:id="1" w:name="_Hlk176443681"/>
      <w:r>
        <w:rPr>
          <w:rFonts w:hint="eastAsia" w:ascii="仿宋_GB2312" w:hAnsi="仿宋" w:eastAsia="仿宋_GB2312"/>
          <w:sz w:val="32"/>
          <w:szCs w:val="32"/>
        </w:rPr>
        <w:t>（四）本次标定地价共划分标定区域33个，其中商业用地标定区域7个，住宅用地标定区域8个，办公用地标定区域6个，酒店用地标定区域6个，工业用地标定区域1个，公共管理与公共服务用地标定区域4个，公用设施用地标定区域1个。根据</w:t>
      </w:r>
      <w:bookmarkStart w:id="2" w:name="_Hlk180574801"/>
      <w:r>
        <w:rPr>
          <w:rFonts w:hint="eastAsia" w:ascii="仿宋_GB2312" w:hAnsi="仿宋" w:eastAsia="仿宋_GB2312"/>
          <w:sz w:val="32"/>
          <w:szCs w:val="32"/>
        </w:rPr>
        <w:t>《标定地价规程》（TD/T 1052-2017）</w:t>
      </w:r>
      <w:bookmarkEnd w:id="2"/>
      <w:r>
        <w:rPr>
          <w:rFonts w:hint="eastAsia" w:ascii="仿宋_GB2312" w:hAnsi="仿宋" w:eastAsia="仿宋_GB2312"/>
          <w:sz w:val="32"/>
          <w:szCs w:val="32"/>
        </w:rPr>
        <w:t>的要求，每个标定区域内，有且只有一宗标准宗地，因此各用途标准宗地数量与标定区域数量一致。</w:t>
      </w:r>
    </w:p>
    <w:p w14:paraId="18764839">
      <w:pPr>
        <w:pStyle w:val="7"/>
        <w:adjustRightInd w:val="0"/>
        <w:snapToGrid w:val="0"/>
        <w:spacing w:before="78" w:beforeLines="25" w:after="78" w:afterLines="25" w:line="560" w:lineRule="exact"/>
        <w:ind w:firstLine="640"/>
        <w:rPr>
          <w:rFonts w:ascii="仿宋_GB2312" w:hAnsi="仿宋" w:eastAsia="仿宋_GB2312"/>
          <w:sz w:val="32"/>
          <w:szCs w:val="32"/>
        </w:rPr>
      </w:pPr>
      <w:r>
        <w:rPr>
          <w:rFonts w:hint="eastAsia" w:ascii="仿宋_GB2312" w:hAnsi="仿宋" w:eastAsia="仿宋_GB2312"/>
          <w:sz w:val="32"/>
          <w:szCs w:val="32"/>
        </w:rPr>
        <w:t>（五）</w:t>
      </w:r>
      <w:bookmarkStart w:id="3" w:name="_Hlk176511367"/>
      <w:r>
        <w:rPr>
          <w:rFonts w:hint="eastAsia" w:ascii="仿宋_GB2312" w:hAnsi="仿宋" w:eastAsia="仿宋_GB2312"/>
          <w:sz w:val="32"/>
          <w:szCs w:val="32"/>
        </w:rPr>
        <w:t>本次标定地价各用途标定区域相互叠置，根据合作区用地规划情况，大横琴山区域范围内规划建设酒店、公共管理与公共服务设施，小横琴山范围内规划建设公共管理与公共服务设施，因此确定商业用地、住宅用地、办公用地、工业用地、公用设施用地的标定区域均不包含大横琴山和小横琴山区域范围；酒店用地标定区域不包含小横琴山区域范围，包含大横琴山区域范围；公共管理与公共服务用地的标定区域均包含大横琴山和小横琴山区域范围。</w:t>
      </w:r>
      <w:bookmarkEnd w:id="3"/>
    </w:p>
    <w:bookmarkEnd w:id="1"/>
    <w:p w14:paraId="7F7A7498">
      <w:pPr>
        <w:pStyle w:val="7"/>
        <w:adjustRightInd w:val="0"/>
        <w:snapToGrid w:val="0"/>
        <w:spacing w:before="78" w:beforeLines="25" w:after="78" w:afterLines="25" w:line="560" w:lineRule="exact"/>
        <w:ind w:firstLine="723"/>
        <w:outlineLvl w:val="0"/>
        <w:rPr>
          <w:rFonts w:ascii="黑体" w:hAnsi="黑体" w:eastAsia="黑体"/>
          <w:b/>
          <w:bCs/>
          <w:sz w:val="36"/>
          <w:szCs w:val="36"/>
        </w:rPr>
      </w:pPr>
      <w:r>
        <w:rPr>
          <w:rFonts w:hint="eastAsia" w:ascii="黑体" w:hAnsi="黑体" w:eastAsia="黑体"/>
          <w:b/>
          <w:bCs/>
          <w:sz w:val="36"/>
          <w:szCs w:val="36"/>
        </w:rPr>
        <w:t>四、成果应用方向</w:t>
      </w:r>
    </w:p>
    <w:p w14:paraId="58B6FFA6">
      <w:pPr>
        <w:pStyle w:val="7"/>
        <w:adjustRightInd w:val="0"/>
        <w:snapToGrid w:val="0"/>
        <w:spacing w:before="78" w:beforeLines="25" w:after="78" w:afterLines="25" w:line="560" w:lineRule="exact"/>
        <w:ind w:firstLine="640"/>
        <w:rPr>
          <w:rFonts w:ascii="仿宋_GB2312" w:hAnsi="仿宋" w:eastAsia="仿宋_GB2312"/>
          <w:sz w:val="32"/>
          <w:szCs w:val="32"/>
        </w:rPr>
      </w:pPr>
      <w:r>
        <w:rPr>
          <w:rFonts w:hint="eastAsia" w:ascii="仿宋_GB2312" w:hAnsi="仿宋" w:eastAsia="仿宋_GB2312"/>
          <w:sz w:val="32"/>
          <w:szCs w:val="32"/>
        </w:rPr>
        <w:t>标定地价可为国有土地使用权出让评估提供参考依据，为政府进行土地管理及制定宏观政策提供参考，有利于进一步规范房地产市场交易主体的行为，落实地价政策。</w:t>
      </w:r>
    </w:p>
    <w:p w14:paraId="1DC408FC">
      <w:pPr>
        <w:pStyle w:val="7"/>
        <w:adjustRightInd w:val="0"/>
        <w:snapToGrid w:val="0"/>
        <w:spacing w:before="78" w:beforeLines="25" w:after="78" w:afterLines="25" w:line="560" w:lineRule="exact"/>
        <w:ind w:firstLine="640"/>
        <w:rPr>
          <w:rFonts w:ascii="仿宋_GB2312" w:hAnsi="仿宋" w:eastAsia="仿宋_GB2312"/>
          <w:sz w:val="32"/>
          <w:szCs w:val="32"/>
        </w:rPr>
      </w:pPr>
      <w:r>
        <w:rPr>
          <w:rFonts w:hint="eastAsia" w:ascii="仿宋_GB2312" w:hAnsi="仿宋" w:eastAsia="仿宋_GB2312"/>
          <w:sz w:val="32"/>
          <w:szCs w:val="32"/>
        </w:rPr>
        <w:t>标定地价</w:t>
      </w:r>
      <w:r>
        <w:rPr>
          <w:rFonts w:hint="eastAsia" w:ascii="仿宋_GB2312" w:hAnsi="仿宋" w:eastAsia="仿宋_GB2312"/>
          <w:sz w:val="32"/>
          <w:szCs w:val="32"/>
          <w:lang w:val="en-US" w:eastAsia="zh-CN"/>
        </w:rPr>
        <w:t>可</w:t>
      </w:r>
      <w:r>
        <w:rPr>
          <w:rFonts w:hint="eastAsia" w:ascii="仿宋_GB2312" w:hAnsi="仿宋" w:eastAsia="仿宋_GB2312"/>
          <w:sz w:val="32"/>
          <w:szCs w:val="32"/>
        </w:rPr>
        <w:t>应用于合</w:t>
      </w:r>
      <w:bookmarkStart w:id="4" w:name="_GoBack"/>
      <w:bookmarkEnd w:id="4"/>
      <w:r>
        <w:rPr>
          <w:rFonts w:hint="eastAsia" w:ascii="仿宋_GB2312" w:hAnsi="仿宋" w:eastAsia="仿宋_GB2312"/>
          <w:sz w:val="32"/>
          <w:szCs w:val="32"/>
        </w:rPr>
        <w:t>作区补缴地价评估与临时用地补偿费核算，能有效服务于合作区土地管理工作。</w:t>
      </w:r>
    </w:p>
    <w:sectPr>
      <w:footerReference r:id="rId3" w:type="default"/>
      <w:pgSz w:w="11906" w:h="16838"/>
      <w:pgMar w:top="1474" w:right="1588" w:bottom="1474" w:left="1588" w:header="851" w:footer="709"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95395569"/>
    </w:sdtPr>
    <w:sdtEndPr>
      <w:rPr>
        <w:rFonts w:ascii="Times New Roman" w:hAnsi="Times New Roman" w:cs="Times New Roman"/>
      </w:rPr>
    </w:sdtEndPr>
    <w:sdtContent>
      <w:p w14:paraId="3791FB09">
        <w:pPr>
          <w:pStyle w:val="10"/>
          <w:adjustRightInd w:val="0"/>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4</w:t>
        </w:r>
        <w:r>
          <w:rPr>
            <w:rFonts w:ascii="Times New Roman" w:hAnsi="Times New Roman" w:cs="Times New Roman"/>
          </w:rPr>
          <w:fldChar w:fldCharType="end"/>
        </w:r>
      </w:p>
    </w:sdtContent>
  </w:sdt>
  <w:p w14:paraId="76585F68">
    <w:pPr>
      <w:pStyle w:val="1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FiMzkyMjkzZDNkNDE5NDcwYjA0NWMzNGU4ZGIwMWQifQ=="/>
  </w:docVars>
  <w:rsids>
    <w:rsidRoot w:val="00B875BD"/>
    <w:rsid w:val="00017A10"/>
    <w:rsid w:val="000539CC"/>
    <w:rsid w:val="000565E7"/>
    <w:rsid w:val="000926D4"/>
    <w:rsid w:val="00095AFF"/>
    <w:rsid w:val="000B25E5"/>
    <w:rsid w:val="000B3186"/>
    <w:rsid w:val="000D1F02"/>
    <w:rsid w:val="000D5B1A"/>
    <w:rsid w:val="000F4BA8"/>
    <w:rsid w:val="000F6AF1"/>
    <w:rsid w:val="00103C56"/>
    <w:rsid w:val="0011594D"/>
    <w:rsid w:val="00133FC9"/>
    <w:rsid w:val="00153F3F"/>
    <w:rsid w:val="00156FB2"/>
    <w:rsid w:val="001634D2"/>
    <w:rsid w:val="0017138C"/>
    <w:rsid w:val="00190042"/>
    <w:rsid w:val="00196E6D"/>
    <w:rsid w:val="00196F00"/>
    <w:rsid w:val="001B68C8"/>
    <w:rsid w:val="001D3699"/>
    <w:rsid w:val="001D572C"/>
    <w:rsid w:val="001E0DE0"/>
    <w:rsid w:val="001F19A9"/>
    <w:rsid w:val="001F3898"/>
    <w:rsid w:val="001F52C2"/>
    <w:rsid w:val="001F7BBB"/>
    <w:rsid w:val="0020114A"/>
    <w:rsid w:val="002046D1"/>
    <w:rsid w:val="00210263"/>
    <w:rsid w:val="00270062"/>
    <w:rsid w:val="002857B8"/>
    <w:rsid w:val="00295BFE"/>
    <w:rsid w:val="002A2030"/>
    <w:rsid w:val="002A5F65"/>
    <w:rsid w:val="002B4967"/>
    <w:rsid w:val="002D5930"/>
    <w:rsid w:val="002E48D1"/>
    <w:rsid w:val="002E5BE5"/>
    <w:rsid w:val="00314573"/>
    <w:rsid w:val="00322C48"/>
    <w:rsid w:val="00324E02"/>
    <w:rsid w:val="00326150"/>
    <w:rsid w:val="003430F5"/>
    <w:rsid w:val="003463A9"/>
    <w:rsid w:val="0036336F"/>
    <w:rsid w:val="00364AB3"/>
    <w:rsid w:val="00385F02"/>
    <w:rsid w:val="003910DA"/>
    <w:rsid w:val="00395BFC"/>
    <w:rsid w:val="003A3647"/>
    <w:rsid w:val="003A73CF"/>
    <w:rsid w:val="003B7910"/>
    <w:rsid w:val="003E3A26"/>
    <w:rsid w:val="00411CA8"/>
    <w:rsid w:val="00467FDA"/>
    <w:rsid w:val="0047125A"/>
    <w:rsid w:val="004C7F31"/>
    <w:rsid w:val="004D0BE7"/>
    <w:rsid w:val="004D226B"/>
    <w:rsid w:val="0052448C"/>
    <w:rsid w:val="005606A1"/>
    <w:rsid w:val="00576B36"/>
    <w:rsid w:val="005801B3"/>
    <w:rsid w:val="005A0F59"/>
    <w:rsid w:val="005C1CC2"/>
    <w:rsid w:val="005C465D"/>
    <w:rsid w:val="005C6621"/>
    <w:rsid w:val="005E31D9"/>
    <w:rsid w:val="005E54E5"/>
    <w:rsid w:val="006002F0"/>
    <w:rsid w:val="00624A97"/>
    <w:rsid w:val="00652829"/>
    <w:rsid w:val="00657694"/>
    <w:rsid w:val="00672EA2"/>
    <w:rsid w:val="006825B3"/>
    <w:rsid w:val="006A40EC"/>
    <w:rsid w:val="006A414B"/>
    <w:rsid w:val="006A64C1"/>
    <w:rsid w:val="006C1896"/>
    <w:rsid w:val="006D34E3"/>
    <w:rsid w:val="006D3A71"/>
    <w:rsid w:val="006E798D"/>
    <w:rsid w:val="006F02BA"/>
    <w:rsid w:val="006F1A09"/>
    <w:rsid w:val="00713AC0"/>
    <w:rsid w:val="00720B72"/>
    <w:rsid w:val="00720EDC"/>
    <w:rsid w:val="007340F8"/>
    <w:rsid w:val="007376E4"/>
    <w:rsid w:val="0075580E"/>
    <w:rsid w:val="007759DF"/>
    <w:rsid w:val="00785F21"/>
    <w:rsid w:val="0079701C"/>
    <w:rsid w:val="007A479C"/>
    <w:rsid w:val="007D6524"/>
    <w:rsid w:val="007E0C80"/>
    <w:rsid w:val="007E1A6D"/>
    <w:rsid w:val="007F32CE"/>
    <w:rsid w:val="008002BE"/>
    <w:rsid w:val="00803B6B"/>
    <w:rsid w:val="00826735"/>
    <w:rsid w:val="00847F6C"/>
    <w:rsid w:val="0085587B"/>
    <w:rsid w:val="00857485"/>
    <w:rsid w:val="008957D9"/>
    <w:rsid w:val="008B1274"/>
    <w:rsid w:val="008B5DB1"/>
    <w:rsid w:val="008E7522"/>
    <w:rsid w:val="008F5EA0"/>
    <w:rsid w:val="008F624C"/>
    <w:rsid w:val="00907408"/>
    <w:rsid w:val="00907C60"/>
    <w:rsid w:val="009319A5"/>
    <w:rsid w:val="00933B66"/>
    <w:rsid w:val="00943EA1"/>
    <w:rsid w:val="00947970"/>
    <w:rsid w:val="00952853"/>
    <w:rsid w:val="00995304"/>
    <w:rsid w:val="009B3201"/>
    <w:rsid w:val="009B526A"/>
    <w:rsid w:val="009D7B9C"/>
    <w:rsid w:val="009E6DB8"/>
    <w:rsid w:val="009F438F"/>
    <w:rsid w:val="00A12A60"/>
    <w:rsid w:val="00A146A4"/>
    <w:rsid w:val="00A14AC4"/>
    <w:rsid w:val="00A4289E"/>
    <w:rsid w:val="00A56DF3"/>
    <w:rsid w:val="00A65022"/>
    <w:rsid w:val="00A7665A"/>
    <w:rsid w:val="00A80D39"/>
    <w:rsid w:val="00A82AC1"/>
    <w:rsid w:val="00A8353A"/>
    <w:rsid w:val="00AC051A"/>
    <w:rsid w:val="00AD0D14"/>
    <w:rsid w:val="00AE422E"/>
    <w:rsid w:val="00AF0F15"/>
    <w:rsid w:val="00AF7C99"/>
    <w:rsid w:val="00B34D04"/>
    <w:rsid w:val="00B4181C"/>
    <w:rsid w:val="00B4326C"/>
    <w:rsid w:val="00B5641F"/>
    <w:rsid w:val="00B67CA6"/>
    <w:rsid w:val="00B747F1"/>
    <w:rsid w:val="00B76B44"/>
    <w:rsid w:val="00B7778B"/>
    <w:rsid w:val="00B83294"/>
    <w:rsid w:val="00B875BD"/>
    <w:rsid w:val="00B9384B"/>
    <w:rsid w:val="00BA4F93"/>
    <w:rsid w:val="00BC1DD0"/>
    <w:rsid w:val="00BC254D"/>
    <w:rsid w:val="00BD0D71"/>
    <w:rsid w:val="00BD1296"/>
    <w:rsid w:val="00BD783A"/>
    <w:rsid w:val="00BE4C06"/>
    <w:rsid w:val="00C10D4C"/>
    <w:rsid w:val="00C216A6"/>
    <w:rsid w:val="00C3514D"/>
    <w:rsid w:val="00C45ADB"/>
    <w:rsid w:val="00CB4CE6"/>
    <w:rsid w:val="00CB55D7"/>
    <w:rsid w:val="00CB793E"/>
    <w:rsid w:val="00CF7882"/>
    <w:rsid w:val="00D04E48"/>
    <w:rsid w:val="00D0508A"/>
    <w:rsid w:val="00D157F0"/>
    <w:rsid w:val="00D47818"/>
    <w:rsid w:val="00D6771C"/>
    <w:rsid w:val="00D9302A"/>
    <w:rsid w:val="00DC1B9B"/>
    <w:rsid w:val="00DF0062"/>
    <w:rsid w:val="00DF7FFA"/>
    <w:rsid w:val="00E17836"/>
    <w:rsid w:val="00E233FB"/>
    <w:rsid w:val="00E354A5"/>
    <w:rsid w:val="00E446FA"/>
    <w:rsid w:val="00E54AE0"/>
    <w:rsid w:val="00E54C7F"/>
    <w:rsid w:val="00E71C25"/>
    <w:rsid w:val="00E82338"/>
    <w:rsid w:val="00E912E4"/>
    <w:rsid w:val="00EC1386"/>
    <w:rsid w:val="00ED7640"/>
    <w:rsid w:val="00ED7C33"/>
    <w:rsid w:val="00EE3CBA"/>
    <w:rsid w:val="00F05463"/>
    <w:rsid w:val="00F2231B"/>
    <w:rsid w:val="00F310F7"/>
    <w:rsid w:val="00F3388B"/>
    <w:rsid w:val="00F46C75"/>
    <w:rsid w:val="00F5195E"/>
    <w:rsid w:val="00F833F1"/>
    <w:rsid w:val="00F96E86"/>
    <w:rsid w:val="00FA012D"/>
    <w:rsid w:val="00FA1D90"/>
    <w:rsid w:val="00FA5365"/>
    <w:rsid w:val="00FA6623"/>
    <w:rsid w:val="00FC5E40"/>
    <w:rsid w:val="00FD6E4C"/>
    <w:rsid w:val="00FE4FEF"/>
    <w:rsid w:val="00FF247C"/>
    <w:rsid w:val="058B0E21"/>
    <w:rsid w:val="0BAD2434"/>
    <w:rsid w:val="19DA0A7F"/>
    <w:rsid w:val="33383521"/>
    <w:rsid w:val="37C81A0B"/>
    <w:rsid w:val="4E8B6A87"/>
    <w:rsid w:val="4FC926E8"/>
    <w:rsid w:val="59E422EF"/>
    <w:rsid w:val="5B863B83"/>
    <w:rsid w:val="6EDB2F9D"/>
    <w:rsid w:val="7B213AE4"/>
    <w:rsid w:val="7C7865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link w:val="20"/>
    <w:unhideWhenUsed/>
    <w:qFormat/>
    <w:uiPriority w:val="0"/>
    <w:pPr>
      <w:keepNext/>
      <w:keepLines/>
      <w:spacing w:before="260" w:after="260" w:line="413" w:lineRule="auto"/>
      <w:ind w:firstLine="420" w:firstLineChars="200"/>
      <w:outlineLvl w:val="1"/>
    </w:pPr>
    <w:rPr>
      <w:rFonts w:ascii="Arial" w:hAnsi="Arial" w:eastAsia="黑体"/>
      <w:b/>
      <w:sz w:val="32"/>
    </w:rPr>
  </w:style>
  <w:style w:type="paragraph" w:styleId="5">
    <w:name w:val="heading 4"/>
    <w:basedOn w:val="1"/>
    <w:next w:val="1"/>
    <w:link w:val="21"/>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25"/>
    <w:semiHidden/>
    <w:unhideWhenUsed/>
    <w:qFormat/>
    <w:uiPriority w:val="9"/>
    <w:pPr>
      <w:keepNext/>
      <w:keepLines/>
      <w:spacing w:before="280" w:after="290" w:line="376" w:lineRule="auto"/>
      <w:outlineLvl w:val="4"/>
    </w:pPr>
    <w:rPr>
      <w:b/>
      <w:bCs/>
      <w:sz w:val="28"/>
      <w:szCs w:val="28"/>
    </w:rPr>
  </w:style>
  <w:style w:type="character" w:default="1" w:styleId="16">
    <w:name w:val="Default Paragraph Font"/>
    <w:semiHidden/>
    <w:unhideWhenUsed/>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rPr>
      <w:rFonts w:ascii="Calibri" w:hAnsi="Calibri"/>
      <w:szCs w:val="21"/>
    </w:rPr>
  </w:style>
  <w:style w:type="paragraph" w:styleId="3">
    <w:name w:val="Title"/>
    <w:next w:val="1"/>
    <w:qFormat/>
    <w:uiPriority w:val="0"/>
    <w:pPr>
      <w:widowControl w:val="0"/>
      <w:spacing w:before="240" w:after="60"/>
      <w:jc w:val="center"/>
      <w:textAlignment w:val="baseline"/>
    </w:pPr>
    <w:rPr>
      <w:rFonts w:ascii="Cambria" w:hAnsi="Cambria" w:eastAsia="宋体" w:cs="Times New Roman"/>
      <w:b/>
      <w:bCs/>
      <w:kern w:val="2"/>
      <w:sz w:val="32"/>
      <w:szCs w:val="32"/>
      <w:lang w:val="en-US" w:eastAsia="zh-CN" w:bidi="ar-SA"/>
    </w:rPr>
  </w:style>
  <w:style w:type="paragraph" w:styleId="7">
    <w:name w:val="Normal Indent"/>
    <w:basedOn w:val="1"/>
    <w:unhideWhenUsed/>
    <w:qFormat/>
    <w:uiPriority w:val="0"/>
    <w:pPr>
      <w:ind w:firstLine="420" w:firstLineChars="200"/>
    </w:pPr>
  </w:style>
  <w:style w:type="paragraph" w:styleId="8">
    <w:name w:val="annotation text"/>
    <w:basedOn w:val="1"/>
    <w:link w:val="22"/>
    <w:semiHidden/>
    <w:unhideWhenUsed/>
    <w:qFormat/>
    <w:uiPriority w:val="99"/>
    <w:pPr>
      <w:jc w:val="left"/>
    </w:pPr>
  </w:style>
  <w:style w:type="paragraph" w:styleId="9">
    <w:name w:val="Balloon Text"/>
    <w:basedOn w:val="1"/>
    <w:link w:val="24"/>
    <w:semiHidden/>
    <w:unhideWhenUsed/>
    <w:qFormat/>
    <w:uiPriority w:val="99"/>
    <w:rPr>
      <w:sz w:val="18"/>
      <w:szCs w:val="18"/>
    </w:rPr>
  </w:style>
  <w:style w:type="paragraph" w:styleId="10">
    <w:name w:val="footer"/>
    <w:basedOn w:val="1"/>
    <w:link w:val="1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1">
    <w:name w:val="header"/>
    <w:basedOn w:val="1"/>
    <w:link w:val="1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2">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paragraph" w:styleId="13">
    <w:name w:val="annotation subject"/>
    <w:basedOn w:val="8"/>
    <w:next w:val="8"/>
    <w:link w:val="23"/>
    <w:semiHidden/>
    <w:unhideWhenUsed/>
    <w:qFormat/>
    <w:uiPriority w:val="99"/>
    <w:rPr>
      <w:b/>
      <w:bCs/>
    </w:rPr>
  </w:style>
  <w:style w:type="table" w:styleId="15">
    <w:name w:val="Table Grid"/>
    <w:basedOn w:val="14"/>
    <w:qFormat/>
    <w:uiPriority w:val="0"/>
    <w:pPr>
      <w:widowControl w:val="0"/>
      <w:spacing w:beforeLines="30" w:afterLines="30" w:line="300" w:lineRule="auto"/>
      <w:ind w:firstLine="480" w:firstLineChars="20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annotation reference"/>
    <w:basedOn w:val="16"/>
    <w:semiHidden/>
    <w:unhideWhenUsed/>
    <w:qFormat/>
    <w:uiPriority w:val="99"/>
    <w:rPr>
      <w:sz w:val="21"/>
      <w:szCs w:val="21"/>
    </w:rPr>
  </w:style>
  <w:style w:type="character" w:customStyle="1" w:styleId="18">
    <w:name w:val="页眉 字符"/>
    <w:basedOn w:val="16"/>
    <w:link w:val="11"/>
    <w:qFormat/>
    <w:uiPriority w:val="99"/>
    <w:rPr>
      <w:sz w:val="18"/>
      <w:szCs w:val="18"/>
    </w:rPr>
  </w:style>
  <w:style w:type="character" w:customStyle="1" w:styleId="19">
    <w:name w:val="页脚 字符"/>
    <w:basedOn w:val="16"/>
    <w:link w:val="10"/>
    <w:qFormat/>
    <w:uiPriority w:val="99"/>
    <w:rPr>
      <w:sz w:val="18"/>
      <w:szCs w:val="18"/>
    </w:rPr>
  </w:style>
  <w:style w:type="character" w:customStyle="1" w:styleId="20">
    <w:name w:val="标题 2 字符"/>
    <w:basedOn w:val="16"/>
    <w:link w:val="4"/>
    <w:qFormat/>
    <w:uiPriority w:val="0"/>
    <w:rPr>
      <w:rFonts w:ascii="Arial" w:hAnsi="Arial" w:eastAsia="黑体" w:cs="Times New Roman"/>
      <w:b/>
      <w:sz w:val="32"/>
      <w:szCs w:val="24"/>
    </w:rPr>
  </w:style>
  <w:style w:type="character" w:customStyle="1" w:styleId="21">
    <w:name w:val="标题 4 字符"/>
    <w:basedOn w:val="16"/>
    <w:link w:val="5"/>
    <w:qFormat/>
    <w:uiPriority w:val="0"/>
    <w:rPr>
      <w:rFonts w:asciiTheme="majorHAnsi" w:hAnsiTheme="majorHAnsi" w:eastAsiaTheme="majorEastAsia" w:cstheme="majorBidi"/>
      <w:b/>
      <w:bCs/>
      <w:sz w:val="28"/>
      <w:szCs w:val="28"/>
    </w:rPr>
  </w:style>
  <w:style w:type="character" w:customStyle="1" w:styleId="22">
    <w:name w:val="批注文字 字符"/>
    <w:basedOn w:val="16"/>
    <w:link w:val="8"/>
    <w:semiHidden/>
    <w:qFormat/>
    <w:uiPriority w:val="99"/>
    <w:rPr>
      <w:rFonts w:ascii="Times New Roman" w:hAnsi="Times New Roman" w:eastAsia="宋体" w:cs="Times New Roman"/>
      <w:szCs w:val="24"/>
    </w:rPr>
  </w:style>
  <w:style w:type="character" w:customStyle="1" w:styleId="23">
    <w:name w:val="批注主题 字符"/>
    <w:basedOn w:val="22"/>
    <w:link w:val="13"/>
    <w:semiHidden/>
    <w:qFormat/>
    <w:uiPriority w:val="99"/>
    <w:rPr>
      <w:rFonts w:ascii="Times New Roman" w:hAnsi="Times New Roman" w:eastAsia="宋体" w:cs="Times New Roman"/>
      <w:b/>
      <w:bCs/>
      <w:szCs w:val="24"/>
    </w:rPr>
  </w:style>
  <w:style w:type="character" w:customStyle="1" w:styleId="24">
    <w:name w:val="批注框文本 字符"/>
    <w:basedOn w:val="16"/>
    <w:link w:val="9"/>
    <w:semiHidden/>
    <w:qFormat/>
    <w:uiPriority w:val="99"/>
    <w:rPr>
      <w:rFonts w:ascii="Times New Roman" w:hAnsi="Times New Roman" w:eastAsia="宋体" w:cs="Times New Roman"/>
      <w:sz w:val="18"/>
      <w:szCs w:val="18"/>
    </w:rPr>
  </w:style>
  <w:style w:type="character" w:customStyle="1" w:styleId="25">
    <w:name w:val="标题 5 字符"/>
    <w:basedOn w:val="16"/>
    <w:link w:val="6"/>
    <w:qFormat/>
    <w:uiPriority w:val="0"/>
    <w:rPr>
      <w:rFonts w:ascii="Times New Roman" w:hAnsi="Times New Roman" w:eastAsia="宋体" w:cs="Times New Roman"/>
      <w:b/>
      <w:bCs/>
      <w:sz w:val="28"/>
      <w:szCs w:val="28"/>
    </w:rPr>
  </w:style>
  <w:style w:type="character" w:customStyle="1" w:styleId="26">
    <w:name w:val="07－图表号 Char"/>
    <w:link w:val="27"/>
    <w:qFormat/>
    <w:uiPriority w:val="0"/>
    <w:rPr>
      <w:rFonts w:eastAsia="仿宋_GB2312"/>
      <w:b/>
      <w:spacing w:val="6"/>
      <w:kern w:val="28"/>
      <w:sz w:val="24"/>
      <w:szCs w:val="28"/>
    </w:rPr>
  </w:style>
  <w:style w:type="paragraph" w:customStyle="1" w:styleId="27">
    <w:name w:val="07－图表号"/>
    <w:link w:val="26"/>
    <w:qFormat/>
    <w:uiPriority w:val="0"/>
    <w:pPr>
      <w:spacing w:line="360" w:lineRule="auto"/>
      <w:jc w:val="center"/>
    </w:pPr>
    <w:rPr>
      <w:rFonts w:eastAsia="仿宋_GB2312" w:asciiTheme="minorHAnsi" w:hAnsiTheme="minorHAnsi" w:cstheme="minorBidi"/>
      <w:b/>
      <w:spacing w:val="6"/>
      <w:kern w:val="28"/>
      <w:sz w:val="24"/>
      <w:szCs w:val="28"/>
      <w:lang w:val="en-US" w:eastAsia="zh-CN" w:bidi="ar-SA"/>
    </w:rPr>
  </w:style>
  <w:style w:type="paragraph" w:customStyle="1" w:styleId="28">
    <w:name w:val="修订1"/>
    <w:hidden/>
    <w:semiHidden/>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8E5779-9EC7-4352-8F2A-A56F2E053DDF}">
  <ds:schemaRefs/>
</ds:datastoreItem>
</file>

<file path=docProps/app.xml><?xml version="1.0" encoding="utf-8"?>
<Properties xmlns="http://schemas.openxmlformats.org/officeDocument/2006/extended-properties" xmlns:vt="http://schemas.openxmlformats.org/officeDocument/2006/docPropsVTypes">
  <Template>Normal</Template>
  <Company>xitongtiandi.net</Company>
  <Pages>3</Pages>
  <Words>1186</Words>
  <Characters>1241</Characters>
  <Lines>9</Lines>
  <Paragraphs>2</Paragraphs>
  <TotalTime>4</TotalTime>
  <ScaleCrop>false</ScaleCrop>
  <LinksUpToDate>false</LinksUpToDate>
  <CharactersWithSpaces>1244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2024-09-06T07:02:00Z</dcterms:created>
  <dc:creator>cyy</dc:creator>
  <cp:lastModifiedBy>Insomnia♪♫</cp:lastModifiedBy>
  <dcterms:modified xsi:type="dcterms:W3CDTF">2024-10-24T02:22:33Z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0D6E2453F8234000B5B37E16A2BF06EC</vt:lpwstr>
  </property>
</Properties>
</file>