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0EF4">
      <w:pPr>
        <w:spacing w:line="579" w:lineRule="exact"/>
        <w:jc w:val="center"/>
        <w:rPr>
          <w:rFonts w:ascii="方正小标宋简体" w:hAnsi="宋体" w:eastAsia="方正小标宋简体" w:cs="Times New Roman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 w:val="0"/>
          <w:sz w:val="44"/>
          <w:szCs w:val="44"/>
        </w:rPr>
        <w:t>《横琴粤澳深度合作区临时用地管理工作实施细则》</w:t>
      </w:r>
      <w:r>
        <w:rPr>
          <w:rFonts w:hint="eastAsia" w:ascii="方正小标宋简体" w:hAnsi="宋体" w:eastAsia="方正小标宋简体" w:cs="Times New Roman"/>
          <w:b w:val="0"/>
          <w:sz w:val="44"/>
          <w:szCs w:val="44"/>
        </w:rPr>
        <w:t>政策解读</w:t>
      </w:r>
    </w:p>
    <w:p w14:paraId="3F7DBD5E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F02159D">
      <w:pPr>
        <w:pStyle w:val="2"/>
        <w:spacing w:line="579" w:lineRule="exact"/>
        <w:ind w:firstLine="640"/>
        <w:rPr>
          <w:rFonts w:ascii="黑体" w:hAnsi="黑体"/>
          <w:szCs w:val="32"/>
        </w:rPr>
      </w:pPr>
      <w:r>
        <w:rPr>
          <w:rFonts w:hint="eastAsia" w:ascii="黑体" w:hAnsi="黑体"/>
          <w:szCs w:val="32"/>
        </w:rPr>
        <w:t>一、文件的制定背景和依据</w:t>
      </w:r>
    </w:p>
    <w:p w14:paraId="364E38BE">
      <w:pPr>
        <w:spacing w:line="579" w:lineRule="exact"/>
        <w:ind w:firstLine="640" w:firstLineChars="200"/>
        <w:rPr>
          <w:rFonts w:ascii="楷体_GB2312" w:hAnsi="Helvetica" w:eastAsia="楷体_GB2312" w:cs="Helvetica"/>
          <w:sz w:val="32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（一）制定背景</w:t>
      </w:r>
    </w:p>
    <w:p w14:paraId="6B3C3E02">
      <w:pPr>
        <w:pStyle w:val="2"/>
        <w:spacing w:line="579" w:lineRule="exact"/>
        <w:ind w:firstLine="640"/>
        <w:jc w:val="both"/>
        <w:rPr>
          <w:rFonts w:ascii="仿宋_GB2312" w:hAnsi="Helvetica" w:eastAsia="仿宋_GB2312" w:cs="Helvetica"/>
          <w:bCs w:val="0"/>
          <w:kern w:val="2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bCs w:val="0"/>
          <w:kern w:val="2"/>
          <w:szCs w:val="32"/>
          <w:shd w:val="clear" w:color="auto" w:fill="FFFFFF"/>
        </w:rPr>
        <w:t>1.2021年9月17日，横琴粤澳深度合作区管理机构揭牌运作，明确了合作区管理范围，确定了合作区管理体制。</w:t>
      </w:r>
    </w:p>
    <w:p w14:paraId="3934F32F">
      <w:pPr>
        <w:pStyle w:val="2"/>
        <w:spacing w:line="579" w:lineRule="exact"/>
        <w:ind w:firstLine="640"/>
        <w:jc w:val="both"/>
        <w:rPr>
          <w:rFonts w:ascii="仿宋_GB2312" w:hAnsi="Helvetica" w:eastAsia="仿宋_GB2312" w:cs="Helvetica"/>
          <w:bCs w:val="0"/>
          <w:kern w:val="2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bCs w:val="0"/>
          <w:kern w:val="2"/>
          <w:szCs w:val="32"/>
          <w:shd w:val="clear" w:color="auto" w:fill="FFFFFF"/>
        </w:rPr>
        <w:t>2.2021年11月4日，自然资源部印发了《关于规范临时用地管理的通知》（自然资规﹝</w:t>
      </w:r>
      <w:r>
        <w:rPr>
          <w:rFonts w:ascii="仿宋_GB2312" w:hAnsi="Helvetica" w:eastAsia="仿宋_GB2312" w:cs="Helvetica"/>
          <w:bCs w:val="0"/>
          <w:kern w:val="2"/>
          <w:szCs w:val="32"/>
          <w:shd w:val="clear" w:color="auto" w:fill="FFFFFF"/>
        </w:rPr>
        <w:t>2021﹞2号</w:t>
      </w:r>
      <w:r>
        <w:rPr>
          <w:rFonts w:hint="eastAsia" w:ascii="仿宋_GB2312" w:hAnsi="Helvetica" w:eastAsia="仿宋_GB2312" w:cs="Helvetica"/>
          <w:bCs w:val="0"/>
          <w:kern w:val="2"/>
          <w:szCs w:val="32"/>
          <w:shd w:val="clear" w:color="auto" w:fill="FFFFFF"/>
        </w:rPr>
        <w:t>，下称《通知》），2024年1月，广东省自然资源厅印发了《广东省自然资源厅关于进一步严格规范临时用地管理的通知》（粤自然资规字〔2024〕1号），从界定临时用地使用范围、明确选址要求和使用年限、规范审批、落实恢复责任、严格监管等五个方面，进一步严格规范临时用地管理。</w:t>
      </w:r>
    </w:p>
    <w:p w14:paraId="2276ADB6">
      <w:pPr>
        <w:pStyle w:val="2"/>
        <w:spacing w:line="579" w:lineRule="exact"/>
        <w:ind w:firstLine="640"/>
        <w:jc w:val="both"/>
        <w:rPr>
          <w:rFonts w:ascii="仿宋_GB2312" w:hAnsi="Helvetica" w:eastAsia="仿宋_GB2312" w:cs="Helvetica"/>
          <w:bCs w:val="0"/>
          <w:kern w:val="2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bCs w:val="0"/>
          <w:kern w:val="2"/>
          <w:szCs w:val="32"/>
          <w:shd w:val="clear" w:color="auto" w:fill="FFFFFF"/>
        </w:rPr>
        <w:t>3.目前合作区临时用地的规范性文件为2019年2月印发的《横琴新区及一体化新拓展区域临时用地管理工作实施细则》，诸多条款现已不适用于合作区临时用地管理。</w:t>
      </w:r>
    </w:p>
    <w:p w14:paraId="7B9C27CE">
      <w:pPr>
        <w:pStyle w:val="2"/>
        <w:spacing w:line="579" w:lineRule="exact"/>
        <w:ind w:firstLine="640"/>
        <w:jc w:val="both"/>
        <w:rPr>
          <w:rFonts w:ascii="仿宋_GB2312" w:hAnsi="Helvetica" w:eastAsia="仿宋_GB2312" w:cs="Helvetica"/>
          <w:bCs w:val="0"/>
          <w:kern w:val="2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bCs w:val="0"/>
          <w:kern w:val="2"/>
          <w:szCs w:val="32"/>
          <w:shd w:val="clear" w:color="auto" w:fill="FFFFFF"/>
        </w:rPr>
        <w:t>综上，为落实《横琴粤澳深度合作区建设总体方案》关于合作区管理体制的要求，以及自然资源部《通知》要求，规范和严格临时用地管理，促进节约集约用地，进一步理清临时用地申请、审批、使用、监管、收回等环节的全链条管理，经多次研讨，形成《横琴粤澳深度合作区临时用地管理工作实施细则》。</w:t>
      </w:r>
    </w:p>
    <w:p w14:paraId="4188F02F">
      <w:pPr>
        <w:spacing w:line="579" w:lineRule="exact"/>
        <w:ind w:firstLine="640" w:firstLineChars="200"/>
        <w:rPr>
          <w:rFonts w:ascii="楷体_GB2312" w:hAnsi="Helvetica" w:eastAsia="楷体_GB2312" w:cs="Helvetica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（二）制定依据</w:t>
      </w:r>
    </w:p>
    <w:p w14:paraId="74A2F4DF">
      <w:pPr>
        <w:overflowPunct w:val="0"/>
        <w:spacing w:line="579" w:lineRule="exact"/>
        <w:ind w:firstLine="643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ascii="仿宋_GB2312" w:hAnsi="楷体_GB2312" w:eastAsia="仿宋_GB2312" w:cs="楷体_GB2312"/>
          <w:b/>
          <w:bCs/>
          <w:sz w:val="32"/>
          <w:szCs w:val="32"/>
        </w:rPr>
        <w:t>1.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法律、行政法规</w:t>
      </w:r>
    </w:p>
    <w:p w14:paraId="7B1A56D5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《中华人民共和国土地管理法》</w:t>
      </w:r>
    </w:p>
    <w:p w14:paraId="08598631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）《中华人民共和国土地管理法实施条例》</w:t>
      </w:r>
    </w:p>
    <w:p w14:paraId="3330D37C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）《土地复垦条例》</w:t>
      </w:r>
    </w:p>
    <w:p w14:paraId="00170019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）《土地复垦条例实施办法》</w:t>
      </w:r>
    </w:p>
    <w:p w14:paraId="72D7C710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）《广东省土地管理条例》</w:t>
      </w:r>
    </w:p>
    <w:p w14:paraId="77CA5AF8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）《中华人民共和国耕地占用税法》</w:t>
      </w:r>
    </w:p>
    <w:p w14:paraId="5703D95D">
      <w:pPr>
        <w:overflowPunct w:val="0"/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）《中华人民共和国城镇土地使用税暂行条例》</w:t>
      </w:r>
    </w:p>
    <w:p w14:paraId="2CAC7B20">
      <w:pPr>
        <w:overflowPunct w:val="0"/>
        <w:spacing w:line="579" w:lineRule="exact"/>
        <w:ind w:firstLine="643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ascii="仿宋_GB2312" w:hAnsi="楷体_GB2312" w:eastAsia="仿宋_GB2312" w:cs="楷体_GB2312"/>
          <w:b/>
          <w:bCs/>
          <w:sz w:val="32"/>
          <w:szCs w:val="32"/>
        </w:rPr>
        <w:t>2.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国务院文件、部门规章、合作区法规和其他适用的法规</w:t>
      </w:r>
    </w:p>
    <w:p w14:paraId="7A799667"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）《自然资源部关于规范临时用地管理的通知》</w:t>
      </w:r>
    </w:p>
    <w:p w14:paraId="1702665C"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（2）《自然资源部办公厅关于加强临时用地监管有关工作的通知》</w:t>
      </w:r>
    </w:p>
    <w:p w14:paraId="1D9043B1"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（3）《横琴粤澳深度合作区建设总体方案》</w:t>
      </w:r>
    </w:p>
    <w:p w14:paraId="0A4EF81C">
      <w:pPr>
        <w:pStyle w:val="2"/>
        <w:spacing w:line="579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（4）</w:t>
      </w:r>
      <w:r>
        <w:rPr>
          <w:rFonts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《广东省自然资源厅关于进一步严格规范临时用地管理的通知》</w:t>
      </w:r>
    </w:p>
    <w:p w14:paraId="31AFD17E">
      <w:pPr>
        <w:pStyle w:val="2"/>
        <w:spacing w:line="579" w:lineRule="exact"/>
        <w:ind w:firstLine="640"/>
        <w:rPr>
          <w:rFonts w:ascii="黑体" w:hAnsi="黑体" w:eastAsia="黑体" w:cs="Times New Roman"/>
          <w:szCs w:val="32"/>
          <w:shd w:val="clear" w:color="auto" w:fill="auto"/>
        </w:rPr>
      </w:pPr>
      <w:r>
        <w:rPr>
          <w:rFonts w:hint="eastAsia" w:ascii="黑体" w:hAnsi="黑体"/>
          <w:szCs w:val="32"/>
        </w:rPr>
        <w:t>二</w:t>
      </w:r>
      <w:r>
        <w:rPr>
          <w:rFonts w:hint="eastAsia" w:ascii="黑体" w:hAnsi="黑体"/>
          <w:szCs w:val="32"/>
        </w:rPr>
        <w:t>、主要内容</w:t>
      </w:r>
    </w:p>
    <w:p w14:paraId="41EA8CF8">
      <w:pPr>
        <w:spacing w:line="579" w:lineRule="exact"/>
        <w:ind w:firstLine="640" w:firstLineChars="200"/>
        <w:rPr>
          <w:rFonts w:ascii="仿宋_GB2312" w:hAnsi="Helvetica" w:eastAsia="仿宋_GB2312" w:cs="Helvetica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本《细则》共包括十六条内容：</w:t>
      </w:r>
    </w:p>
    <w:p w14:paraId="74EEC080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临时用地申请。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《自然资源部关于规范临时用地管理的通知》要求，进一步明确了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临时用地的适用范围、办理条件、使用期限和面积等内容。</w:t>
      </w:r>
    </w:p>
    <w:p w14:paraId="45BF7D74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（二）临时用地收费。</w:t>
      </w:r>
      <w:r>
        <w:rPr>
          <w:rFonts w:hint="eastAsia" w:ascii="仿宋_GB2312" w:eastAsia="仿宋_GB2312"/>
          <w:sz w:val="32"/>
          <w:szCs w:val="32"/>
        </w:rPr>
        <w:t>按照受理时合作区地价管理规定计费，结合申请次数、用地面积、建设项目类型等因素综合确定并计收临时用地补偿费。</w:t>
      </w:r>
    </w:p>
    <w:p w14:paraId="71E5CFA2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免收临时用地补偿费的情形：</w:t>
      </w:r>
      <w:r>
        <w:rPr>
          <w:rFonts w:hint="eastAsia" w:ascii="仿宋_GB2312" w:hAnsi="Helvetica" w:eastAsia="仿宋_GB2312" w:cs="Helvetica"/>
          <w:sz w:val="32"/>
          <w:szCs w:val="32"/>
        </w:rPr>
        <w:t>对于属于政府投资的市政设施或公共服务设施项目，建设施工中设置的临时材料堆场、施工便道、土石渣堆场；抢险救灾、公共卫生安全等应急使用的临时用地，免收临时用地补偿费。</w:t>
      </w:r>
    </w:p>
    <w:p w14:paraId="6102FAEC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（三）临时用地审批。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临时用地审批流程主要涉及以下几个节点：</w:t>
      </w:r>
    </w:p>
    <w:p w14:paraId="4F643147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1.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申请：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用地单位准备好相关申请材料，向城市规划和建设局提出用地申请；</w:t>
      </w:r>
    </w:p>
    <w:p w14:paraId="650FC7B6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2.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审核：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城市规划和建设局组织相关部门召开</w:t>
      </w:r>
      <w:r>
        <w:rPr>
          <w:rFonts w:hint="eastAsia" w:ascii="仿宋_GB2312" w:eastAsia="仿宋_GB2312"/>
          <w:sz w:val="32"/>
          <w:szCs w:val="32"/>
        </w:rPr>
        <w:t>临时用地审查会议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对用地申请进行审核，审核通过后，</w:t>
      </w:r>
      <w:r>
        <w:rPr>
          <w:rFonts w:hint="eastAsia" w:ascii="仿宋_GB2312" w:eastAsia="仿宋_GB2312"/>
          <w:sz w:val="32"/>
          <w:szCs w:val="32"/>
        </w:rPr>
        <w:t>城市规划和建设局依程序开展临时用地报批工作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；</w:t>
      </w:r>
    </w:p>
    <w:p w14:paraId="47C474FC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3.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审批：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报批通过后，核发用地批复；</w:t>
      </w:r>
    </w:p>
    <w:p w14:paraId="672369F2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4.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缴费：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用地申请审批通过后，</w:t>
      </w:r>
      <w:r>
        <w:rPr>
          <w:rFonts w:hint="eastAsia" w:ascii="仿宋_GB2312" w:eastAsia="仿宋_GB2312"/>
          <w:sz w:val="32"/>
          <w:szCs w:val="32"/>
        </w:rPr>
        <w:t>城市规划和建设局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与用地单位签订《临时使用土地合同》和《土地复垦费用监管协议》，向用地单位核发缴费通知书；涉及占用农用地的，将批复抄送给合作区税务局，并核发《办理占用农用地手续通知书》；</w:t>
      </w:r>
    </w:p>
    <w:p w14:paraId="0DF9C183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5.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使用：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用地单位缴清各类相关费用，按照《办理临时用地需提交的申请材料清单》提供全套资料后，凭</w:t>
      </w:r>
      <w:r>
        <w:rPr>
          <w:rFonts w:hint="eastAsia" w:ascii="仿宋_GB2312" w:eastAsia="仿宋_GB2312"/>
          <w:sz w:val="32"/>
          <w:szCs w:val="32"/>
        </w:rPr>
        <w:t>城市规划和建设局的批准手续进场使用，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并按照《临时使用土地合同》约定的内容进行建设；</w:t>
      </w:r>
    </w:p>
    <w:p w14:paraId="744C304A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6.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监管：</w:t>
      </w:r>
      <w:r>
        <w:rPr>
          <w:rFonts w:hint="eastAsia" w:ascii="仿宋_GB2312" w:eastAsia="仿宋_GB2312"/>
          <w:sz w:val="32"/>
          <w:szCs w:val="32"/>
        </w:rPr>
        <w:t>城市规划和建设局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在签订《临时使用土地合同》后，完成用地备案、台账建设等工作；</w:t>
      </w:r>
    </w:p>
    <w:p w14:paraId="6DD8E907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7.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收回：</w:t>
      </w:r>
      <w:r>
        <w:rPr>
          <w:rFonts w:hint="eastAsia" w:ascii="仿宋_GB2312" w:eastAsia="仿宋_GB2312"/>
          <w:sz w:val="32"/>
          <w:szCs w:val="32"/>
        </w:rPr>
        <w:t>城市规划和建设局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可根据土地实际使用情况及城市发展需要，对用地做出提前收回、到期收回或强制收回等处理，用地单位也可以在使用期满前主动退出交回用地。</w:t>
      </w:r>
    </w:p>
    <w:p w14:paraId="0F309FF0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（四）临时用地监管。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土地巡查单位负责临时用地批后日常监管工作。对于未完善用地手续、超过批准面积使用、改变批准用途使用等行为，应当及时制止，制止无效的，应</w:t>
      </w:r>
      <w:r>
        <w:rPr>
          <w:rFonts w:hint="eastAsia" w:ascii="仿宋_GB2312" w:eastAsia="仿宋_GB2312"/>
          <w:sz w:val="32"/>
          <w:szCs w:val="32"/>
        </w:rPr>
        <w:t>报送土地执法部门依法查处。</w:t>
      </w:r>
    </w:p>
    <w:p w14:paraId="1AAB6FB1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hint="eastAsia" w:ascii="楷体_GB2312" w:hAnsi="Helvetica" w:eastAsia="楷体_GB2312" w:cs="Helvetica"/>
          <w:sz w:val="32"/>
          <w:szCs w:val="32"/>
          <w:shd w:val="clear" w:color="auto" w:fill="FFFFFF"/>
        </w:rPr>
        <w:t>（五）临时用地收回。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临时用地的收回，分为提前收回、到期收回和超期强制收回。</w:t>
      </w:r>
    </w:p>
    <w:p w14:paraId="3CDAFB7D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1.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提前收回：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主要因为用地单位违反合同约定使用的、各类规划实施需要等原因提前收回临时用地；</w:t>
      </w:r>
    </w:p>
    <w:p w14:paraId="43DA3EEB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2.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到期收回：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使用期满的收回；</w:t>
      </w:r>
    </w:p>
    <w:p w14:paraId="117DBFB2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3.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超期强制收回：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用地单位超过使用期限不退回占用土地而引起的强制收回。</w:t>
      </w:r>
    </w:p>
    <w:p w14:paraId="79F6B35F">
      <w:pPr>
        <w:spacing w:line="579" w:lineRule="exact"/>
        <w:ind w:firstLine="643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b/>
          <w:sz w:val="32"/>
          <w:szCs w:val="32"/>
          <w:shd w:val="clear" w:color="auto" w:fill="FFFFFF"/>
        </w:rPr>
        <w:t>4.</w:t>
      </w:r>
      <w:r>
        <w:rPr>
          <w:rFonts w:hint="eastAsia" w:ascii="仿宋_GB2312" w:hAnsi="Helvetica" w:eastAsia="仿宋_GB2312" w:cs="Helvetica"/>
          <w:b/>
          <w:sz w:val="32"/>
          <w:szCs w:val="32"/>
          <w:shd w:val="clear" w:color="auto" w:fill="FFFFFF"/>
        </w:rPr>
        <w:t>其他情形。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如用地单位在使用期届满前主动退还临时用地。</w:t>
      </w:r>
    </w:p>
    <w:p w14:paraId="3737436C">
      <w:pPr>
        <w:pStyle w:val="2"/>
        <w:spacing w:line="579" w:lineRule="exact"/>
        <w:ind w:firstLine="640"/>
        <w:rPr>
          <w:rFonts w:ascii="黑体" w:hAnsi="黑体"/>
          <w:szCs w:val="32"/>
        </w:rPr>
      </w:pPr>
      <w:r>
        <w:rPr>
          <w:rFonts w:hint="eastAsia" w:ascii="黑体" w:hAnsi="黑体" w:eastAsia="仿宋_GB2312" w:cs="黑体"/>
          <w:sz w:val="32"/>
          <w:szCs w:val="32"/>
          <w:shd w:val="clear" w:color="auto" w:fill="FFFFFF"/>
        </w:rPr>
        <w:t>三</w:t>
      </w:r>
      <w:r>
        <w:rPr>
          <w:rFonts w:hint="eastAsia" w:ascii="黑体" w:hAnsi="黑体"/>
          <w:szCs w:val="32"/>
        </w:rPr>
        <w:t>、实施范围</w:t>
      </w:r>
    </w:p>
    <w:p w14:paraId="751791F6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本细则适用于横琴粤澳深度合作区范围</w:t>
      </w:r>
      <w:r>
        <w:rPr>
          <w:rFonts w:hint="eastAsia" w:ascii="仿宋_GB2312" w:eastAsia="仿宋_GB2312"/>
          <w:sz w:val="32"/>
          <w:szCs w:val="32"/>
        </w:rPr>
        <w:t>内临时用地的使用、管理</w:t>
      </w:r>
      <w:r>
        <w:rPr>
          <w:rFonts w:hint="eastAsia" w:ascii="仿宋_GB2312" w:hAnsi="Helvetica" w:eastAsia="仿宋_GB2312" w:cs="Helvetica"/>
          <w:sz w:val="32"/>
          <w:szCs w:val="32"/>
          <w:shd w:val="clear" w:color="auto" w:fill="FFFFFF"/>
        </w:rPr>
        <w:t>。</w:t>
      </w:r>
    </w:p>
    <w:p w14:paraId="2400429F">
      <w:pPr>
        <w:pStyle w:val="2"/>
        <w:spacing w:line="579" w:lineRule="exact"/>
        <w:ind w:firstLine="640"/>
        <w:rPr>
          <w:rFonts w:ascii="黑体" w:hAnsi="黑体"/>
          <w:szCs w:val="32"/>
        </w:rPr>
      </w:pPr>
      <w:r>
        <w:rPr>
          <w:rFonts w:hint="eastAsia" w:ascii="黑体" w:hAnsi="黑体" w:eastAsia="仿宋_GB2312" w:cs="黑体"/>
          <w:sz w:val="32"/>
          <w:szCs w:val="32"/>
          <w:shd w:val="clear" w:color="auto" w:fill="FFFFFF"/>
        </w:rPr>
        <w:t>四</w:t>
      </w:r>
      <w:r>
        <w:rPr>
          <w:rFonts w:hint="eastAsia" w:ascii="黑体" w:hAnsi="黑体"/>
          <w:szCs w:val="32"/>
        </w:rPr>
        <w:t>、落实措施</w:t>
      </w:r>
    </w:p>
    <w:p w14:paraId="2212BF8F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sz w:val="32"/>
          <w:szCs w:val="32"/>
        </w:rPr>
        <w:t>（一）</w:t>
      </w:r>
      <w:r>
        <w:rPr>
          <w:rFonts w:hint="eastAsia" w:ascii="仿宋_GB2312" w:hAnsi="Helvetica" w:eastAsia="仿宋_GB2312" w:cs="Helvetica"/>
          <w:sz w:val="32"/>
          <w:szCs w:val="32"/>
        </w:rPr>
        <w:t>明确临时用地实行有偿使用，以达到集约节约利用土地的目的。</w:t>
      </w:r>
    </w:p>
    <w:p w14:paraId="0A57727A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sz w:val="32"/>
          <w:szCs w:val="32"/>
        </w:rPr>
        <w:t>（二）</w:t>
      </w:r>
      <w:r>
        <w:rPr>
          <w:rFonts w:hint="eastAsia" w:ascii="仿宋_GB2312" w:hAnsi="Helvetica" w:eastAsia="仿宋_GB2312" w:cs="Helvetica"/>
          <w:sz w:val="32"/>
          <w:szCs w:val="32"/>
        </w:rPr>
        <w:t>进一步明确临时用地审批、监管、退地等管理过程中的相关程序。</w:t>
      </w:r>
    </w:p>
    <w:p w14:paraId="2FC48155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sz w:val="32"/>
          <w:szCs w:val="32"/>
        </w:rPr>
        <w:t>（三）</w:t>
      </w:r>
      <w:r>
        <w:rPr>
          <w:rFonts w:hint="eastAsia" w:ascii="仿宋_GB2312" w:hAnsi="Helvetica" w:eastAsia="仿宋_GB2312" w:cs="Helvetica"/>
          <w:sz w:val="32"/>
          <w:szCs w:val="32"/>
        </w:rPr>
        <w:t>根据新修订的涉及临时用地法律法规，进一步理顺了临时用地审批流程，提高临时用地审批效率。</w:t>
      </w:r>
    </w:p>
    <w:p w14:paraId="7C0FF3F3">
      <w:pPr>
        <w:spacing w:line="579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shd w:val="clear" w:color="auto" w:fill="auto"/>
        </w:rPr>
      </w:pPr>
      <w:r>
        <w:rPr>
          <w:rFonts w:hint="eastAsia" w:ascii="仿宋_GB2312" w:hAnsi="Helvetica" w:eastAsia="仿宋_GB2312" w:cs="Helvetica"/>
          <w:bCs/>
          <w:sz w:val="32"/>
          <w:szCs w:val="32"/>
        </w:rPr>
        <w:t>（四）</w:t>
      </w:r>
      <w:r>
        <w:rPr>
          <w:rFonts w:hint="eastAsia" w:ascii="仿宋_GB2312" w:hAnsi="Helvetica" w:eastAsia="仿宋_GB2312" w:cs="Helvetica"/>
          <w:sz w:val="32"/>
          <w:szCs w:val="32"/>
        </w:rPr>
        <w:t>进一步明确临时用地监管措施。多措并举，遏制违法用地的行为。</w:t>
      </w:r>
    </w:p>
    <w:sectPr>
      <w:footerReference r:id="rId3" w:type="default"/>
      <w:pgSz w:w="11906" w:h="16838"/>
      <w:pgMar w:top="998" w:right="1701" w:bottom="11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4606298"/>
    </w:sdtPr>
    <w:sdtContent>
      <w:p w14:paraId="246C420A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05EC54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VkZTkwZWU4ODI0NmE3ZDYzZGNjNmZmMWNkNzIifQ=="/>
    <w:docVar w:name="KGWebUrl" w:val="http://10.128.149.38:80/media/OfficeServer.jsp;jsessionid=0643B79EF5FDFD5FBB08717E05843A2B"/>
  </w:docVars>
  <w:rsids>
    <w:rsidRoot w:val="001F3B0A"/>
    <w:rsid w:val="000064E5"/>
    <w:rsid w:val="00010DE6"/>
    <w:rsid w:val="00011557"/>
    <w:rsid w:val="000333EB"/>
    <w:rsid w:val="0012490F"/>
    <w:rsid w:val="0015144E"/>
    <w:rsid w:val="001D3A0D"/>
    <w:rsid w:val="001F3B0A"/>
    <w:rsid w:val="001F780E"/>
    <w:rsid w:val="00201CBE"/>
    <w:rsid w:val="00226875"/>
    <w:rsid w:val="002557B2"/>
    <w:rsid w:val="00263335"/>
    <w:rsid w:val="0026631C"/>
    <w:rsid w:val="002B0DDB"/>
    <w:rsid w:val="002E4545"/>
    <w:rsid w:val="002F123F"/>
    <w:rsid w:val="00321137"/>
    <w:rsid w:val="003300D0"/>
    <w:rsid w:val="00344696"/>
    <w:rsid w:val="003B5D89"/>
    <w:rsid w:val="00414C61"/>
    <w:rsid w:val="00415715"/>
    <w:rsid w:val="0042076B"/>
    <w:rsid w:val="00451CE5"/>
    <w:rsid w:val="004937BD"/>
    <w:rsid w:val="004F3D76"/>
    <w:rsid w:val="00537CEC"/>
    <w:rsid w:val="005C4E0B"/>
    <w:rsid w:val="005D79C4"/>
    <w:rsid w:val="006731C6"/>
    <w:rsid w:val="00682EA4"/>
    <w:rsid w:val="00687A1C"/>
    <w:rsid w:val="006A293D"/>
    <w:rsid w:val="00727028"/>
    <w:rsid w:val="0074605F"/>
    <w:rsid w:val="007972CA"/>
    <w:rsid w:val="007A53AF"/>
    <w:rsid w:val="007F4CBF"/>
    <w:rsid w:val="007F7049"/>
    <w:rsid w:val="00806173"/>
    <w:rsid w:val="00813713"/>
    <w:rsid w:val="0086088D"/>
    <w:rsid w:val="008650D3"/>
    <w:rsid w:val="00882556"/>
    <w:rsid w:val="008A2A0A"/>
    <w:rsid w:val="008B2F62"/>
    <w:rsid w:val="008F1287"/>
    <w:rsid w:val="00921AE7"/>
    <w:rsid w:val="00950EBB"/>
    <w:rsid w:val="00956BD2"/>
    <w:rsid w:val="009A0F2A"/>
    <w:rsid w:val="009A533F"/>
    <w:rsid w:val="009C2F59"/>
    <w:rsid w:val="009F0A3F"/>
    <w:rsid w:val="00A331DB"/>
    <w:rsid w:val="00A64838"/>
    <w:rsid w:val="00A72A19"/>
    <w:rsid w:val="00A771FA"/>
    <w:rsid w:val="00A80438"/>
    <w:rsid w:val="00A84012"/>
    <w:rsid w:val="00B0517B"/>
    <w:rsid w:val="00B2273A"/>
    <w:rsid w:val="00B349CB"/>
    <w:rsid w:val="00B41D72"/>
    <w:rsid w:val="00B534E5"/>
    <w:rsid w:val="00B82CC6"/>
    <w:rsid w:val="00B84AE7"/>
    <w:rsid w:val="00B93755"/>
    <w:rsid w:val="00BA39F3"/>
    <w:rsid w:val="00BC7493"/>
    <w:rsid w:val="00BF0601"/>
    <w:rsid w:val="00C206C0"/>
    <w:rsid w:val="00D64C5A"/>
    <w:rsid w:val="00D83728"/>
    <w:rsid w:val="00D87162"/>
    <w:rsid w:val="00DC1F55"/>
    <w:rsid w:val="00DC71CE"/>
    <w:rsid w:val="00E02625"/>
    <w:rsid w:val="00E050AD"/>
    <w:rsid w:val="00E26C66"/>
    <w:rsid w:val="00E743B6"/>
    <w:rsid w:val="00F361CA"/>
    <w:rsid w:val="00F60853"/>
    <w:rsid w:val="00F85742"/>
    <w:rsid w:val="00FB3C79"/>
    <w:rsid w:val="00FB6A06"/>
    <w:rsid w:val="02AC26D1"/>
    <w:rsid w:val="053B5233"/>
    <w:rsid w:val="06A65EE7"/>
    <w:rsid w:val="16995961"/>
    <w:rsid w:val="17444521"/>
    <w:rsid w:val="1E631CFC"/>
    <w:rsid w:val="22CB47E8"/>
    <w:rsid w:val="234D65E4"/>
    <w:rsid w:val="25B770FC"/>
    <w:rsid w:val="2B590D43"/>
    <w:rsid w:val="33354405"/>
    <w:rsid w:val="33D33642"/>
    <w:rsid w:val="346C678D"/>
    <w:rsid w:val="399258C0"/>
    <w:rsid w:val="39FE5736"/>
    <w:rsid w:val="3B4616CA"/>
    <w:rsid w:val="4298235A"/>
    <w:rsid w:val="43E1249B"/>
    <w:rsid w:val="47133E33"/>
    <w:rsid w:val="486441F0"/>
    <w:rsid w:val="49721303"/>
    <w:rsid w:val="568D1AD7"/>
    <w:rsid w:val="56E3237A"/>
    <w:rsid w:val="58694151"/>
    <w:rsid w:val="65E91C6B"/>
    <w:rsid w:val="68FB4783"/>
    <w:rsid w:val="69CA584F"/>
    <w:rsid w:val="6AB51483"/>
    <w:rsid w:val="71EF232F"/>
    <w:rsid w:val="74717D33"/>
    <w:rsid w:val="788E15DC"/>
    <w:rsid w:val="7AE04D76"/>
    <w:rsid w:val="7B9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ind w:firstLine="20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2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5">
    <w:name w:val="标题2"/>
    <w:basedOn w:val="3"/>
    <w:link w:val="16"/>
    <w:qFormat/>
    <w:uiPriority w:val="0"/>
    <w:pPr>
      <w:spacing w:before="0" w:after="0" w:line="240" w:lineRule="auto"/>
      <w:ind w:firstLine="200" w:firstLineChars="200"/>
    </w:pPr>
    <w:rPr>
      <w:rFonts w:ascii="黑体" w:hAnsi="黑体" w:eastAsia="黑体" w:cs="Times New Roman"/>
      <w:b w:val="0"/>
      <w:bCs w:val="0"/>
    </w:rPr>
  </w:style>
  <w:style w:type="character" w:customStyle="1" w:styleId="16">
    <w:name w:val="标题2 字符"/>
    <w:link w:val="15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17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正文内容"/>
    <w:basedOn w:val="1"/>
    <w:link w:val="19"/>
    <w:qFormat/>
    <w:uiPriority w:val="0"/>
    <w:pPr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9">
    <w:name w:val="正文内容 字符"/>
    <w:link w:val="18"/>
    <w:qFormat/>
    <w:uiPriority w:val="0"/>
    <w:rPr>
      <w:rFonts w:ascii="仿宋_GB2312" w:hAnsi="仿宋_GB2312" w:eastAsia="仿宋_GB2312" w:cs="仿宋_GB2312"/>
      <w:sz w:val="32"/>
      <w:szCs w:val="32"/>
    </w:rPr>
  </w:style>
  <w:style w:type="character" w:customStyle="1" w:styleId="20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0"/>
    <w:link w:val="4"/>
    <w:semiHidden/>
    <w:qFormat/>
    <w:uiPriority w:val="99"/>
  </w:style>
  <w:style w:type="character" w:customStyle="1" w:styleId="22">
    <w:name w:val="批注主题 Char"/>
    <w:basedOn w:val="21"/>
    <w:link w:val="8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styleId="23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3669</Words>
  <Characters>3725</Characters>
  <Lines>26</Lines>
  <Paragraphs>7</Paragraphs>
  <TotalTime>8</TotalTime>
  <ScaleCrop>false</ScaleCrop>
  <LinksUpToDate>false</LinksUpToDate>
  <CharactersWithSpaces>3730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2024-09-06T01:47:00Z</dcterms:created>
  <dc:creator>admin</dc:creator>
  <cp:lastModifiedBy>WPS_1731308337</cp:lastModifiedBy>
  <cp:lastPrinted>2022-10-25T11:20:00Z</cp:lastPrinted>
  <dcterms:modified xsi:type="dcterms:W3CDTF">2024-11-20T08:48:19Z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49B81980E3994CB9938FEDCF7BC1C5B9</vt:lpwstr>
  </property>
</Properties>
</file>