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项目</w:t>
      </w:r>
      <w:r>
        <w:rPr>
          <w:rFonts w:hint="eastAsia" w:ascii="宋体" w:hAnsi="宋体" w:eastAsia="宋体" w:cs="宋体"/>
          <w:b/>
          <w:bCs/>
          <w:sz w:val="44"/>
          <w:szCs w:val="44"/>
          <w:lang w:val="en-US" w:eastAsia="zh-CN"/>
        </w:rPr>
        <w:t>需求书</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ind w:firstLine="560" w:firstLineChars="200"/>
        <w:rPr>
          <w:rFonts w:hint="default"/>
          <w:sz w:val="28"/>
          <w:szCs w:val="28"/>
          <w:lang w:val="en-US" w:eastAsia="zh-CN"/>
        </w:rPr>
      </w:pPr>
      <w:r>
        <w:rPr>
          <w:rFonts w:hint="eastAsia"/>
          <w:sz w:val="28"/>
          <w:szCs w:val="28"/>
          <w:lang w:val="en-US" w:eastAsia="zh-CN"/>
        </w:rPr>
        <w:t>为做好横琴粤澳深度合作区庆祝澳门回归祖国25周年筹备工作，提升横琴口岸周边整体形象，拟对横琴口岸段1200㎡绿地进行花境营造。</w:t>
      </w:r>
    </w:p>
    <w:p>
      <w:pPr>
        <w:rPr>
          <w:rFonts w:hint="eastAsia" w:ascii="宋体" w:hAnsi="宋体" w:eastAsia="宋体" w:cs="宋体"/>
          <w:color w:val="000000"/>
          <w:spacing w:val="0"/>
          <w:kern w:val="2"/>
          <w:sz w:val="28"/>
          <w:szCs w:val="28"/>
          <w:highlight w:val="none"/>
          <w:lang w:val="en-US" w:eastAsia="zh-CN" w:bidi="ar-SA"/>
        </w:rPr>
      </w:pPr>
      <w:r>
        <w:rPr>
          <w:rFonts w:hint="eastAsia"/>
          <w:lang w:val="en-US" w:eastAsia="zh-CN"/>
        </w:rPr>
        <w:drawing>
          <wp:inline distT="0" distB="0" distL="114300" distR="114300">
            <wp:extent cx="2809240" cy="1966595"/>
            <wp:effectExtent l="0" t="0" r="635" b="5080"/>
            <wp:docPr id="6" name="图片 6" descr="156e1c54e48aff8b0c4128058f4f0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6e1c54e48aff8b0c4128058f4f0a6"/>
                    <pic:cNvPicPr>
                      <a:picLocks noChangeAspect="1"/>
                    </pic:cNvPicPr>
                  </pic:nvPicPr>
                  <pic:blipFill>
                    <a:blip r:embed="rId4"/>
                    <a:stretch>
                      <a:fillRect/>
                    </a:stretch>
                  </pic:blipFill>
                  <pic:spPr>
                    <a:xfrm>
                      <a:off x="0" y="0"/>
                      <a:ext cx="2809240" cy="1966595"/>
                    </a:xfrm>
                    <a:prstGeom prst="rect">
                      <a:avLst/>
                    </a:prstGeom>
                  </pic:spPr>
                </pic:pic>
              </a:graphicData>
            </a:graphic>
          </wp:inline>
        </w:drawing>
      </w:r>
      <w:r>
        <w:rPr>
          <w:rFonts w:hint="eastAsia"/>
          <w:lang w:val="en-US" w:eastAsia="zh-CN"/>
        </w:rPr>
        <w:t xml:space="preserve"> </w:t>
      </w:r>
      <w:r>
        <w:rPr>
          <w:rFonts w:hint="default" w:eastAsiaTheme="minorEastAsia"/>
          <w:lang w:val="en-US" w:eastAsia="zh-CN"/>
        </w:rPr>
        <w:drawing>
          <wp:inline distT="0" distB="0" distL="114300" distR="114300">
            <wp:extent cx="2809240" cy="1946910"/>
            <wp:effectExtent l="0" t="0" r="635" b="5715"/>
            <wp:docPr id="7" name="图片 7" descr="911beb42dd5ae0dad9006c04721f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11beb42dd5ae0dad9006c04721fae8"/>
                    <pic:cNvPicPr>
                      <a:picLocks noChangeAspect="1"/>
                    </pic:cNvPicPr>
                  </pic:nvPicPr>
                  <pic:blipFill>
                    <a:blip r:embed="rId5"/>
                    <a:stretch>
                      <a:fillRect/>
                    </a:stretch>
                  </pic:blipFill>
                  <pic:spPr>
                    <a:xfrm>
                      <a:off x="0" y="0"/>
                      <a:ext cx="2809240" cy="1946910"/>
                    </a:xfrm>
                    <a:prstGeom prst="rect">
                      <a:avLst/>
                    </a:prstGeom>
                  </pic:spPr>
                </pic:pic>
              </a:graphicData>
            </a:graphic>
          </wp:inline>
        </w:drawing>
      </w:r>
      <w:r>
        <w:rPr>
          <w:rFonts w:hint="eastAsia" w:ascii="宋体" w:hAnsi="宋体" w:eastAsia="宋体" w:cs="宋体"/>
          <w:color w:val="000000"/>
          <w:spacing w:val="0"/>
          <w:kern w:val="2"/>
          <w:sz w:val="28"/>
          <w:szCs w:val="28"/>
          <w:highlight w:val="none"/>
          <w:lang w:val="en-US" w:eastAsia="zh-CN" w:bidi="ar-SA"/>
        </w:rPr>
        <w:t xml:space="preserve">       </w:t>
      </w:r>
    </w:p>
    <w:p>
      <w:pPr>
        <w:rPr>
          <w:rFonts w:hint="eastAsia"/>
          <w:lang w:eastAsia="zh-CN"/>
        </w:rPr>
      </w:pPr>
      <w:r>
        <w:rPr>
          <w:rFonts w:hint="eastAsia" w:ascii="宋体" w:hAnsi="宋体" w:eastAsia="宋体" w:cs="宋体"/>
          <w:color w:val="000000"/>
          <w:spacing w:val="0"/>
          <w:kern w:val="2"/>
          <w:sz w:val="28"/>
          <w:szCs w:val="28"/>
          <w:highlight w:val="none"/>
          <w:lang w:val="en-US" w:eastAsia="zh-CN" w:bidi="ar-SA"/>
        </w:rPr>
        <w:drawing>
          <wp:inline distT="0" distB="0" distL="114300" distR="114300">
            <wp:extent cx="2812415" cy="2108835"/>
            <wp:effectExtent l="0" t="0" r="6985" b="5715"/>
            <wp:docPr id="8" name="图片 8" descr="3e35f93eedaa463679516e0fb1a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e35f93eedaa463679516e0fb1a4617"/>
                    <pic:cNvPicPr>
                      <a:picLocks noChangeAspect="1"/>
                    </pic:cNvPicPr>
                  </pic:nvPicPr>
                  <pic:blipFill>
                    <a:blip r:embed="rId6"/>
                    <a:stretch>
                      <a:fillRect/>
                    </a:stretch>
                  </pic:blipFill>
                  <pic:spPr>
                    <a:xfrm>
                      <a:off x="0" y="0"/>
                      <a:ext cx="2812415" cy="2108835"/>
                    </a:xfrm>
                    <a:prstGeom prst="rect">
                      <a:avLst/>
                    </a:prstGeom>
                  </pic:spPr>
                </pic:pic>
              </a:graphicData>
            </a:graphic>
          </wp:inline>
        </w:drawing>
      </w:r>
      <w:r>
        <w:rPr>
          <w:rFonts w:hint="eastAsia" w:ascii="宋体" w:hAnsi="宋体" w:eastAsia="宋体" w:cs="宋体"/>
          <w:color w:val="000000"/>
          <w:spacing w:val="0"/>
          <w:kern w:val="2"/>
          <w:sz w:val="28"/>
          <w:szCs w:val="28"/>
          <w:highlight w:val="none"/>
          <w:lang w:val="en-US" w:eastAsia="zh-CN" w:bidi="ar-SA"/>
        </w:rPr>
        <w:t xml:space="preserve"> </w:t>
      </w:r>
      <w:r>
        <w:rPr>
          <w:rFonts w:hint="default" w:ascii="宋体" w:hAnsi="宋体" w:eastAsia="宋体" w:cs="宋体"/>
          <w:color w:val="000000"/>
          <w:spacing w:val="0"/>
          <w:kern w:val="2"/>
          <w:sz w:val="28"/>
          <w:szCs w:val="28"/>
          <w:highlight w:val="none"/>
          <w:lang w:val="en-US" w:eastAsia="zh-CN" w:bidi="ar-SA"/>
        </w:rPr>
        <w:drawing>
          <wp:inline distT="0" distB="0" distL="114300" distR="114300">
            <wp:extent cx="2771775" cy="2092960"/>
            <wp:effectExtent l="0" t="0" r="0" b="2540"/>
            <wp:docPr id="9" name="图片 9" descr="7bd7d21ad67199e9e304442cb0f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bd7d21ad67199e9e304442cb0f1224"/>
                    <pic:cNvPicPr>
                      <a:picLocks noChangeAspect="1"/>
                    </pic:cNvPicPr>
                  </pic:nvPicPr>
                  <pic:blipFill>
                    <a:blip r:embed="rId7"/>
                    <a:stretch>
                      <a:fillRect/>
                    </a:stretch>
                  </pic:blipFill>
                  <pic:spPr>
                    <a:xfrm>
                      <a:off x="0" y="0"/>
                      <a:ext cx="2771775" cy="2092960"/>
                    </a:xfrm>
                    <a:prstGeom prst="rect">
                      <a:avLst/>
                    </a:prstGeom>
                  </pic:spPr>
                </pic:pic>
              </a:graphicData>
            </a:graphic>
          </wp:inline>
        </w:drawing>
      </w:r>
    </w:p>
    <w:p>
      <w:pPr>
        <w:pStyle w:val="2"/>
        <w:spacing w:line="480" w:lineRule="auto"/>
        <w:ind w:left="0" w:leftChars="0" w:firstLine="0" w:firstLineChars="0"/>
        <w:rPr>
          <w:rFonts w:hint="eastAsia"/>
          <w:lang w:val="en-US" w:eastAsia="zh-CN"/>
        </w:rPr>
      </w:pPr>
      <w:r>
        <w:rPr>
          <w:rFonts w:hint="eastAsia"/>
          <w:lang w:val="en-US" w:eastAsia="zh-CN"/>
        </w:rPr>
        <w:drawing>
          <wp:inline distT="0" distB="0" distL="114300" distR="114300">
            <wp:extent cx="2827020" cy="1851660"/>
            <wp:effectExtent l="0" t="0" r="1905" b="5715"/>
            <wp:docPr id="11" name="图片 11" descr="c158c008c4dcc29a86b5bb0dc868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158c008c4dcc29a86b5bb0dc86824c"/>
                    <pic:cNvPicPr>
                      <a:picLocks noChangeAspect="1"/>
                    </pic:cNvPicPr>
                  </pic:nvPicPr>
                  <pic:blipFill>
                    <a:blip r:embed="rId8"/>
                    <a:stretch>
                      <a:fillRect/>
                    </a:stretch>
                  </pic:blipFill>
                  <pic:spPr>
                    <a:xfrm>
                      <a:off x="0" y="0"/>
                      <a:ext cx="2827020" cy="1851660"/>
                    </a:xfrm>
                    <a:prstGeom prst="rect">
                      <a:avLst/>
                    </a:prstGeom>
                  </pic:spPr>
                </pic:pic>
              </a:graphicData>
            </a:graphic>
          </wp:inline>
        </w:drawing>
      </w:r>
      <w:r>
        <w:rPr>
          <w:rFonts w:hint="eastAsia"/>
          <w:lang w:val="en-US" w:eastAsia="zh-CN"/>
        </w:rPr>
        <w:drawing>
          <wp:inline distT="0" distB="0" distL="114300" distR="114300">
            <wp:extent cx="2828925" cy="1880870"/>
            <wp:effectExtent l="0" t="0" r="0" b="5080"/>
            <wp:docPr id="13" name="图片 13" descr="ee6b895362ad455d53ad32942b4f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e6b895362ad455d53ad32942b4fe52"/>
                    <pic:cNvPicPr>
                      <a:picLocks noChangeAspect="1"/>
                    </pic:cNvPicPr>
                  </pic:nvPicPr>
                  <pic:blipFill>
                    <a:blip r:embed="rId9"/>
                    <a:stretch>
                      <a:fillRect/>
                    </a:stretch>
                  </pic:blipFill>
                  <pic:spPr>
                    <a:xfrm>
                      <a:off x="0" y="0"/>
                      <a:ext cx="2828925" cy="1880870"/>
                    </a:xfrm>
                    <a:prstGeom prst="rect">
                      <a:avLst/>
                    </a:prstGeom>
                  </pic:spPr>
                </pic:pic>
              </a:graphicData>
            </a:graphic>
          </wp:inline>
        </w:drawing>
      </w:r>
      <w:r>
        <w:rPr>
          <w:rFonts w:hint="eastAsia"/>
          <w:lang w:val="en-US" w:eastAsia="zh-CN"/>
        </w:rPr>
        <w:t xml:space="preserve">  </w:t>
      </w:r>
      <w:r>
        <w:rPr>
          <w:rFonts w:hint="eastAsia"/>
          <w:lang w:val="en-US" w:eastAsia="zh-CN"/>
        </w:rPr>
        <w:drawing>
          <wp:inline distT="0" distB="0" distL="114300" distR="114300">
            <wp:extent cx="5700395" cy="1969135"/>
            <wp:effectExtent l="0" t="0" r="5080" b="2540"/>
            <wp:docPr id="12" name="图片 12" descr="bfabb0ca29b52d8d011b09d50db2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fabb0ca29b52d8d011b09d50db2fd7"/>
                    <pic:cNvPicPr>
                      <a:picLocks noChangeAspect="1"/>
                    </pic:cNvPicPr>
                  </pic:nvPicPr>
                  <pic:blipFill>
                    <a:blip r:embed="rId10"/>
                    <a:stretch>
                      <a:fillRect/>
                    </a:stretch>
                  </pic:blipFill>
                  <pic:spPr>
                    <a:xfrm>
                      <a:off x="0" y="0"/>
                      <a:ext cx="5700395" cy="1969135"/>
                    </a:xfrm>
                    <a:prstGeom prst="rect">
                      <a:avLst/>
                    </a:prstGeom>
                  </pic:spPr>
                </pic:pic>
              </a:graphicData>
            </a:graphic>
          </wp:inline>
        </w:drawing>
      </w:r>
    </w:p>
    <w:p>
      <w:pPr>
        <w:pStyle w:val="2"/>
        <w:spacing w:line="480" w:lineRule="auto"/>
        <w:ind w:left="0" w:leftChars="0" w:firstLine="0" w:firstLineChars="0"/>
        <w:jc w:val="center"/>
        <w:rPr>
          <w:rFonts w:hint="default"/>
          <w:sz w:val="24"/>
          <w:szCs w:val="24"/>
          <w:lang w:val="en-US" w:eastAsia="zh-CN"/>
        </w:rPr>
      </w:pPr>
      <w:r>
        <w:rPr>
          <w:rFonts w:hint="eastAsia"/>
          <w:sz w:val="24"/>
          <w:szCs w:val="24"/>
          <w:lang w:val="en-US" w:eastAsia="zh-CN"/>
        </w:rPr>
        <w:t>现状图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服务期限</w:t>
      </w:r>
    </w:p>
    <w:p>
      <w:pPr>
        <w:ind w:firstLine="560" w:firstLineChars="200"/>
      </w:pPr>
      <w:r>
        <w:rPr>
          <w:rFonts w:hint="eastAsia"/>
          <w:sz w:val="28"/>
          <w:szCs w:val="28"/>
          <w:lang w:val="en-US" w:eastAsia="zh-CN"/>
        </w:rPr>
        <w:t>本项目服务时间自合同签订之日起5天内完工。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三、采购预算</w:t>
      </w:r>
    </w:p>
    <w:p>
      <w:pPr>
        <w:pStyle w:val="7"/>
        <w:ind w:firstLine="560" w:firstLineChars="200"/>
        <w:jc w:val="left"/>
        <w:rPr>
          <w:rFonts w:hint="eastAsia" w:ascii="宋体" w:hAnsi="宋体" w:eastAsia="宋体" w:cs="宋体"/>
          <w:sz w:val="28"/>
          <w:szCs w:val="28"/>
          <w:highlight w:val="none"/>
          <w:lang w:val="en-US" w:eastAsia="zh-CN"/>
        </w:rPr>
      </w:pPr>
      <w:r>
        <w:rPr>
          <w:rFonts w:hint="eastAsia" w:hAnsi="宋体" w:cs="宋体"/>
          <w:sz w:val="28"/>
          <w:szCs w:val="28"/>
          <w:highlight w:val="none"/>
          <w:lang w:val="en-US" w:eastAsia="zh-CN"/>
        </w:rPr>
        <w:t>预算金额：人民币玖拾伍万元整（950,000.00元）本项目</w:t>
      </w:r>
      <w:r>
        <w:rPr>
          <w:rFonts w:hint="eastAsia" w:ascii="宋体" w:hAnsi="宋体" w:eastAsia="宋体" w:cs="宋体"/>
          <w:sz w:val="28"/>
          <w:szCs w:val="28"/>
          <w:highlight w:val="none"/>
          <w:lang w:val="en-US" w:eastAsia="zh-CN"/>
        </w:rPr>
        <w:t>所有工作均以包工包料、包机械设备、包质量、包安全、包管理的承包方式进行。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服务内容</w:t>
      </w:r>
    </w:p>
    <w:p>
      <w:pPr>
        <w:pStyle w:val="7"/>
        <w:ind w:firstLine="840" w:firstLineChars="300"/>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本项目服务内容主要</w:t>
      </w:r>
      <w:r>
        <w:rPr>
          <w:rFonts w:hint="eastAsia" w:ascii="宋体" w:hAnsi="宋体" w:eastAsia="宋体" w:cs="宋体"/>
          <w:color w:val="000000"/>
          <w:kern w:val="0"/>
          <w:sz w:val="28"/>
          <w:szCs w:val="28"/>
          <w:highlight w:val="none"/>
          <w:lang w:val="en-US" w:eastAsia="zh-CN" w:bidi="ar"/>
        </w:rPr>
        <w:t>对</w:t>
      </w:r>
      <w:r>
        <w:rPr>
          <w:rFonts w:hint="eastAsia" w:hAnsi="宋体" w:cs="宋体"/>
          <w:color w:val="000000"/>
          <w:kern w:val="0"/>
          <w:sz w:val="28"/>
          <w:szCs w:val="28"/>
          <w:highlight w:val="none"/>
          <w:lang w:val="en-US" w:eastAsia="zh-CN" w:bidi="ar"/>
        </w:rPr>
        <w:t>市横琴口岸段进行花镜营造工作。</w:t>
      </w:r>
    </w:p>
    <w:p>
      <w:pPr>
        <w:pStyle w:val="7"/>
        <w:numPr>
          <w:ilvl w:val="0"/>
          <w:numId w:val="3"/>
        </w:numPr>
        <w:ind w:firstLine="560" w:firstLineChars="200"/>
        <w:jc w:val="left"/>
        <w:rPr>
          <w:rFonts w:hint="eastAsia" w:hAnsi="宋体" w:cs="宋体"/>
          <w:color w:val="000000"/>
          <w:kern w:val="0"/>
          <w:sz w:val="28"/>
          <w:szCs w:val="28"/>
          <w:highlight w:val="none"/>
          <w:lang w:val="en-US" w:eastAsia="zh-CN" w:bidi="ar"/>
        </w:rPr>
      </w:pPr>
      <w:r>
        <w:rPr>
          <w:rFonts w:hint="eastAsia" w:hAnsi="宋体" w:cs="宋体"/>
          <w:sz w:val="28"/>
          <w:szCs w:val="28"/>
          <w:highlight w:val="none"/>
          <w:lang w:val="en-US" w:eastAsia="zh-CN"/>
        </w:rPr>
        <w:t>对横琴口岸段1200平方米绿地进行杂草、灌木清</w:t>
      </w:r>
      <w:r>
        <w:rPr>
          <w:rFonts w:hint="eastAsia" w:hAnsi="宋体" w:cs="宋体"/>
          <w:color w:val="000000"/>
          <w:kern w:val="0"/>
          <w:sz w:val="28"/>
          <w:szCs w:val="28"/>
          <w:highlight w:val="none"/>
          <w:lang w:val="en-US" w:eastAsia="zh-CN" w:bidi="ar"/>
        </w:rPr>
        <w:t>除、垃圾外运等工作；</w:t>
      </w:r>
    </w:p>
    <w:p>
      <w:pPr>
        <w:pStyle w:val="7"/>
        <w:numPr>
          <w:ilvl w:val="0"/>
          <w:numId w:val="3"/>
        </w:numPr>
        <w:ind w:firstLine="560" w:firstLineChars="200"/>
        <w:jc w:val="left"/>
        <w:rPr>
          <w:rFonts w:hint="default"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对清除后的场地进行回填种植土，再进行堆坡；</w:t>
      </w:r>
    </w:p>
    <w:p>
      <w:pPr>
        <w:pStyle w:val="7"/>
        <w:numPr>
          <w:ilvl w:val="0"/>
          <w:numId w:val="3"/>
        </w:numPr>
        <w:ind w:firstLine="560" w:firstLineChars="200"/>
        <w:jc w:val="left"/>
        <w:rPr>
          <w:rFonts w:hint="default"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对1200平方米的绿地种植簕杜鹃+花境组团景观营造；</w:t>
      </w:r>
    </w:p>
    <w:p>
      <w:pPr>
        <w:pStyle w:val="7"/>
        <w:numPr>
          <w:ilvl w:val="0"/>
          <w:numId w:val="3"/>
        </w:numPr>
        <w:ind w:firstLine="560" w:firstLineChars="200"/>
        <w:jc w:val="left"/>
        <w:rPr>
          <w:rFonts w:hint="default"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施工完成后进入养护期，养护期暂定3个月。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服务要求</w:t>
      </w:r>
    </w:p>
    <w:p>
      <w:pPr>
        <w:pStyle w:val="7"/>
        <w:widowControl w:val="0"/>
        <w:numPr>
          <w:ilvl w:val="0"/>
          <w:numId w:val="4"/>
        </w:numPr>
        <w:spacing w:after="120" w:line="480" w:lineRule="auto"/>
        <w:ind w:firstLine="42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中标人应按照采购人确定的方案实施</w:t>
      </w:r>
      <w:r>
        <w:rPr>
          <w:rFonts w:hint="eastAsia" w:hAnsi="宋体" w:cs="宋体"/>
          <w:sz w:val="28"/>
          <w:szCs w:val="28"/>
          <w:lang w:val="en-US" w:eastAsia="zh-CN"/>
        </w:rPr>
        <w:t>。</w:t>
      </w:r>
    </w:p>
    <w:p>
      <w:pPr>
        <w:numPr>
          <w:ilvl w:val="0"/>
          <w:numId w:val="4"/>
        </w:numPr>
        <w:ind w:left="0" w:leftChars="0" w:firstLine="420" w:firstLineChars="0"/>
        <w:rPr>
          <w:rFonts w:hint="eastAsia" w:ascii="宋体" w:hAnsi="宋体" w:eastAsia="宋体" w:cs="宋体"/>
          <w:color w:val="auto"/>
          <w:sz w:val="28"/>
          <w:szCs w:val="28"/>
          <w:highlight w:val="none"/>
          <w:lang w:eastAsia="zh-Hans"/>
        </w:rPr>
      </w:pPr>
      <w:r>
        <w:rPr>
          <w:rFonts w:hint="eastAsia" w:ascii="宋体" w:hAnsi="宋体" w:eastAsia="宋体" w:cs="宋体"/>
          <w:sz w:val="28"/>
          <w:szCs w:val="28"/>
          <w:lang w:val="en-US" w:eastAsia="zh-CN"/>
        </w:rPr>
        <w:t>中标人应承诺在采购人规定的服务期内进行施工，并按合同规定日期内完成。</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应充分考虑布展施工期间因台风、暴雨及偷盗等因素可能对采购人造成的财产损失，做好各项安全防护措施，确保采购人一切财产安全。如因布展期间因</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安全措施不到位造成采购人财产损失，</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须按原价赔偿。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人员要求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投标人应选派1名具有园林类副高级或以上工程师作为项目负责人。</w:t>
      </w:r>
    </w:p>
    <w:p>
      <w:pPr>
        <w:pStyle w:val="7"/>
        <w:numPr>
          <w:ilvl w:val="0"/>
          <w:numId w:val="5"/>
        </w:numPr>
        <w:ind w:left="0" w:leftChars="0" w:firstLine="420" w:firstLineChars="0"/>
        <w:rPr>
          <w:rFonts w:hint="eastAsia"/>
          <w:sz w:val="28"/>
          <w:szCs w:val="28"/>
          <w:highlight w:val="none"/>
          <w:lang w:val="en-US" w:eastAsia="zh-CN"/>
        </w:rPr>
      </w:pPr>
      <w:r>
        <w:rPr>
          <w:rFonts w:hint="eastAsia"/>
          <w:sz w:val="28"/>
          <w:szCs w:val="28"/>
          <w:highlight w:val="none"/>
          <w:lang w:val="en-US" w:eastAsia="zh-CN"/>
        </w:rPr>
        <w:t>安排2名具有园林类中级或以上职称作为本项目技术负责人。</w:t>
      </w:r>
    </w:p>
    <w:p>
      <w:pPr>
        <w:pStyle w:val="7"/>
        <w:numPr>
          <w:ilvl w:val="0"/>
          <w:numId w:val="5"/>
        </w:numPr>
        <w:ind w:left="0" w:leftChars="0" w:firstLine="420" w:firstLineChars="0"/>
        <w:rPr>
          <w:rFonts w:hint="default"/>
          <w:sz w:val="28"/>
          <w:szCs w:val="28"/>
          <w:highlight w:val="none"/>
          <w:lang w:val="en-US" w:eastAsia="zh-CN"/>
        </w:rPr>
      </w:pPr>
      <w:r>
        <w:rPr>
          <w:rFonts w:hint="eastAsia"/>
          <w:sz w:val="28"/>
          <w:szCs w:val="28"/>
          <w:highlight w:val="none"/>
          <w:lang w:val="en-US" w:eastAsia="zh-CN"/>
        </w:rPr>
        <w:t>安排1名园林类初级职称作为资料员。</w:t>
      </w:r>
    </w:p>
    <w:p>
      <w:pPr>
        <w:pStyle w:val="7"/>
        <w:numPr>
          <w:ilvl w:val="0"/>
          <w:numId w:val="5"/>
        </w:numPr>
        <w:ind w:left="0" w:leftChars="0" w:firstLine="420" w:firstLineChars="0"/>
        <w:rPr>
          <w:rFonts w:hint="default"/>
          <w:sz w:val="28"/>
          <w:szCs w:val="28"/>
          <w:highlight w:val="none"/>
          <w:lang w:val="en-US" w:eastAsia="zh-CN"/>
        </w:rPr>
      </w:pPr>
      <w:r>
        <w:rPr>
          <w:rFonts w:hint="eastAsia"/>
          <w:sz w:val="28"/>
          <w:szCs w:val="28"/>
          <w:highlight w:val="none"/>
          <w:lang w:val="en-US" w:eastAsia="zh-CN"/>
        </w:rPr>
        <w:t>安排花镜师1名。</w:t>
      </w:r>
    </w:p>
    <w:p>
      <w:pPr>
        <w:pStyle w:val="7"/>
        <w:spacing w:line="360" w:lineRule="auto"/>
        <w:ind w:firstLine="560" w:firstLineChars="200"/>
        <w:rPr>
          <w:rFonts w:hint="default"/>
          <w:sz w:val="28"/>
          <w:szCs w:val="28"/>
          <w:lang w:val="en-US" w:eastAsia="zh-CN"/>
        </w:rPr>
      </w:pPr>
      <w:r>
        <w:rPr>
          <w:rFonts w:hint="eastAsia" w:ascii="宋体" w:hAnsi="宋体" w:eastAsia="宋体" w:cs="宋体"/>
          <w:color w:val="auto"/>
          <w:spacing w:val="0"/>
          <w:kern w:val="2"/>
          <w:sz w:val="28"/>
          <w:szCs w:val="28"/>
          <w:lang w:val="en-US" w:eastAsia="zh-CN" w:bidi="ar-SA"/>
        </w:rPr>
        <w:t>根据项目的施工需求，应配置足够的人员及设备，并要求</w:t>
      </w:r>
      <w:r>
        <w:rPr>
          <w:rFonts w:hint="eastAsia" w:hAnsi="宋体" w:cs="宋体"/>
          <w:color w:val="auto"/>
          <w:spacing w:val="0"/>
          <w:kern w:val="2"/>
          <w:sz w:val="28"/>
          <w:szCs w:val="28"/>
          <w:lang w:val="en-US" w:eastAsia="zh-CN" w:bidi="ar-SA"/>
        </w:rPr>
        <w:t>中标人</w:t>
      </w:r>
      <w:r>
        <w:rPr>
          <w:rFonts w:hint="eastAsia" w:ascii="宋体" w:hAnsi="宋体" w:eastAsia="宋体" w:cs="宋体"/>
          <w:color w:val="auto"/>
          <w:spacing w:val="0"/>
          <w:kern w:val="2"/>
          <w:sz w:val="28"/>
          <w:szCs w:val="28"/>
          <w:lang w:val="en-US" w:eastAsia="zh-CN" w:bidi="ar-SA"/>
        </w:rPr>
        <w:t>根据施工进展进行合理调配，确保项目进度满足</w:t>
      </w:r>
      <w:r>
        <w:rPr>
          <w:rFonts w:hint="eastAsia" w:hAnsi="宋体" w:cs="宋体"/>
          <w:color w:val="auto"/>
          <w:spacing w:val="0"/>
          <w:kern w:val="2"/>
          <w:sz w:val="28"/>
          <w:szCs w:val="28"/>
          <w:lang w:val="en-US" w:eastAsia="zh-CN" w:bidi="ar-SA"/>
        </w:rPr>
        <w:t>采购人</w:t>
      </w:r>
      <w:r>
        <w:rPr>
          <w:rFonts w:hint="eastAsia" w:ascii="宋体" w:hAnsi="宋体" w:eastAsia="宋体" w:cs="宋体"/>
          <w:color w:val="auto"/>
          <w:spacing w:val="0"/>
          <w:kern w:val="2"/>
          <w:sz w:val="28"/>
          <w:szCs w:val="28"/>
          <w:lang w:val="en-US" w:eastAsia="zh-CN" w:bidi="ar-SA"/>
        </w:rPr>
        <w:t>需求。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安全规范要求</w:t>
      </w:r>
    </w:p>
    <w:p>
      <w:pPr>
        <w:pStyle w:val="7"/>
        <w:numPr>
          <w:ilvl w:val="0"/>
          <w:numId w:val="6"/>
        </w:numPr>
        <w:ind w:left="0" w:leftChars="0" w:firstLine="420" w:firstLineChars="0"/>
        <w:rPr>
          <w:rFonts w:hint="eastAsia" w:hAnsi="宋体" w:cs="宋体"/>
          <w:sz w:val="28"/>
          <w:szCs w:val="28"/>
          <w:highlight w:val="none"/>
          <w:lang w:val="en-US" w:eastAsia="zh-CN"/>
        </w:rPr>
      </w:pPr>
      <w:r>
        <w:rPr>
          <w:rFonts w:hint="eastAsia" w:hAnsi="宋体" w:cs="宋体"/>
          <w:sz w:val="28"/>
          <w:szCs w:val="28"/>
          <w:highlight w:val="none"/>
          <w:lang w:val="en-US" w:eastAsia="zh-CN"/>
        </w:rPr>
        <w:t>应自觉服从采购人管理，对不符合施工规范的现场情况，中标人应立即整改。</w:t>
      </w:r>
    </w:p>
    <w:p>
      <w:pPr>
        <w:pStyle w:val="7"/>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lang w:val="en-US" w:eastAsia="zh-Hans"/>
        </w:rPr>
        <w:t>必须切实做好安全工作，加强作业时的安全保障，在任何情况下都要注意安全。一切安全事故均由</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lang w:val="en-US" w:eastAsia="zh-Hans"/>
        </w:rPr>
        <w:t>自行负责与采购人无关。</w:t>
      </w:r>
    </w:p>
    <w:p>
      <w:pPr>
        <w:pStyle w:val="7"/>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作业前应检查围挡、警示标志设置和人员穿戴符合安全要求后方可作业，使用农药和危险机具时应采取相应措施以确保工作人员和周边人员的安全；树上作业应选择晴朗天气，四级及以上大风不得作业，作业时应有专人指挥。在高压线附近作业，应注意安全，避免触电，需要时请供电部门配合；高空作业应有专项方案，报主管部门备案。作业过程发生的事故，均由中标人承担经济赔偿责任。</w:t>
      </w:r>
    </w:p>
    <w:p>
      <w:pPr>
        <w:pStyle w:val="7"/>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绿化养护作业必须规范、文明、有序。要求绿化养护员工与市民沟通时应态度和蔼、言辞尊重、简明回应。绿化作业车不得出现沿途跑、冒、滴、漏垃圾及污水的现象；任何情况下泥土均不得冲出路面；水车浇水时不得洒到行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管养期要求</w:t>
      </w:r>
    </w:p>
    <w:p>
      <w:pPr>
        <w:pStyle w:val="7"/>
        <w:spacing w:line="360" w:lineRule="auto"/>
        <w:ind w:firstLine="560" w:firstLineChars="200"/>
        <w:rPr>
          <w:rFonts w:hint="eastAsia" w:hAnsi="宋体" w:cs="宋体"/>
          <w:color w:val="auto"/>
          <w:spacing w:val="0"/>
          <w:kern w:val="2"/>
          <w:sz w:val="28"/>
          <w:szCs w:val="28"/>
          <w:lang w:val="en-US" w:eastAsia="zh-CN" w:bidi="ar-SA"/>
        </w:rPr>
      </w:pPr>
      <w:r>
        <w:rPr>
          <w:rFonts w:hint="eastAsia" w:ascii="宋体" w:hAnsi="宋体" w:eastAsia="宋体" w:cs="宋体"/>
          <w:sz w:val="28"/>
          <w:szCs w:val="28"/>
          <w:highlight w:val="none"/>
          <w:lang w:val="en-US" w:eastAsia="zh-CN"/>
        </w:rPr>
        <w:t>验收合格后进入管养期。管养期</w:t>
      </w:r>
      <w:r>
        <w:rPr>
          <w:rFonts w:hint="eastAsia" w:hAnsi="宋体" w:cs="宋体"/>
          <w:sz w:val="28"/>
          <w:szCs w:val="28"/>
          <w:highlight w:val="none"/>
          <w:lang w:val="en-US" w:eastAsia="zh-CN"/>
        </w:rPr>
        <w:t>标准</w:t>
      </w:r>
      <w:r>
        <w:rPr>
          <w:rFonts w:hint="eastAsia" w:ascii="宋体" w:hAnsi="宋体" w:eastAsia="宋体" w:cs="宋体"/>
          <w:sz w:val="28"/>
          <w:szCs w:val="28"/>
          <w:highlight w:val="none"/>
          <w:lang w:val="en-US" w:eastAsia="zh-CN"/>
        </w:rPr>
        <w:t>按《横琴粤澳深度合作区城市绿地养护质量标准》《横琴粤澳深度合作区城市绿地养护考评办法》执行。若横琴粤澳深度合作区有最新印发的办法，以最新的办法执行。管养期暂定三个月，具体时间以采购人实际需求为准。</w:t>
      </w:r>
    </w:p>
    <w:p>
      <w:pPr>
        <w:pStyle w:val="7"/>
        <w:spacing w:line="360" w:lineRule="auto"/>
        <w:ind w:firstLine="560" w:firstLineChars="200"/>
        <w:rPr>
          <w:rFonts w:hint="eastAsia" w:ascii="宋体" w:hAnsi="宋体" w:eastAsia="宋体" w:cs="宋体"/>
          <w:color w:val="auto"/>
          <w:spacing w:val="0"/>
          <w:kern w:val="2"/>
          <w:sz w:val="28"/>
          <w:szCs w:val="28"/>
          <w:lang w:val="en-US" w:eastAsia="zh-Hans" w:bidi="ar-SA"/>
        </w:rPr>
      </w:pPr>
      <w:r>
        <w:rPr>
          <w:rFonts w:hint="eastAsia" w:ascii="宋体" w:hAnsi="宋体" w:eastAsia="宋体" w:cs="宋体"/>
          <w:color w:val="auto"/>
          <w:spacing w:val="0"/>
          <w:kern w:val="2"/>
          <w:sz w:val="28"/>
          <w:szCs w:val="28"/>
          <w:lang w:val="en-US" w:eastAsia="zh-CN" w:bidi="ar-SA"/>
        </w:rPr>
        <w:t>（一）项目</w:t>
      </w:r>
      <w:r>
        <w:rPr>
          <w:rFonts w:hint="eastAsia" w:ascii="宋体" w:hAnsi="宋体" w:eastAsia="宋体" w:cs="宋体"/>
          <w:color w:val="auto"/>
          <w:spacing w:val="0"/>
          <w:kern w:val="2"/>
          <w:sz w:val="28"/>
          <w:szCs w:val="28"/>
          <w:lang w:val="en-US" w:eastAsia="zh-Hans" w:bidi="ar-SA"/>
        </w:rPr>
        <w:t>人员</w:t>
      </w:r>
      <w:r>
        <w:rPr>
          <w:rFonts w:hint="eastAsia" w:ascii="宋体" w:hAnsi="宋体" w:eastAsia="宋体" w:cs="宋体"/>
          <w:color w:val="auto"/>
          <w:spacing w:val="0"/>
          <w:kern w:val="2"/>
          <w:sz w:val="28"/>
          <w:szCs w:val="28"/>
          <w:lang w:val="en-US" w:eastAsia="zh-CN" w:bidi="ar-SA"/>
        </w:rPr>
        <w:t>与车辆设备要求</w:t>
      </w:r>
    </w:p>
    <w:p>
      <w:pPr>
        <w:pStyle w:val="7"/>
        <w:numPr>
          <w:ilvl w:val="0"/>
          <w:numId w:val="0"/>
        </w:numPr>
        <w:spacing w:line="360" w:lineRule="auto"/>
        <w:ind w:firstLine="560" w:firstLineChars="200"/>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CN"/>
        </w:rPr>
        <w:t>中标人现场</w:t>
      </w:r>
      <w:r>
        <w:rPr>
          <w:rFonts w:hint="eastAsia" w:ascii="宋体" w:hAnsi="宋体" w:eastAsia="宋体" w:cs="宋体"/>
          <w:sz w:val="28"/>
          <w:szCs w:val="28"/>
          <w:highlight w:val="none"/>
          <w:lang w:val="en-US" w:eastAsia="zh-Hans"/>
        </w:rPr>
        <w:t>实施</w:t>
      </w:r>
      <w:r>
        <w:rPr>
          <w:rFonts w:hint="eastAsia" w:ascii="宋体" w:hAnsi="宋体" w:eastAsia="宋体" w:cs="宋体"/>
          <w:sz w:val="28"/>
          <w:szCs w:val="28"/>
          <w:highlight w:val="none"/>
          <w:lang w:val="en-US" w:eastAsia="zh-CN"/>
        </w:rPr>
        <w:t>需选派经验丰富的专业团队，按项目要求</w:t>
      </w:r>
      <w:r>
        <w:rPr>
          <w:rFonts w:hint="eastAsia" w:ascii="宋体" w:hAnsi="宋体" w:eastAsia="宋体" w:cs="宋体"/>
          <w:sz w:val="28"/>
          <w:szCs w:val="28"/>
          <w:highlight w:val="none"/>
          <w:lang w:val="en-US" w:eastAsia="zh-Hans"/>
        </w:rPr>
        <w:t>拟定详细的实施计划，人员、机械、资金安排合理，符合现场实施要求。</w:t>
      </w:r>
    </w:p>
    <w:p>
      <w:pPr>
        <w:pStyle w:val="7"/>
        <w:numPr>
          <w:ilvl w:val="-1"/>
          <w:numId w:val="0"/>
        </w:numPr>
        <w:spacing w:line="360" w:lineRule="auto"/>
        <w:ind w:left="0" w:leftChars="0" w:firstLine="560" w:firstLineChars="20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w:t>
      </w:r>
      <w:r>
        <w:rPr>
          <w:rFonts w:hint="eastAsia" w:hAnsi="宋体" w:cs="宋体"/>
          <w:color w:val="auto"/>
          <w:spacing w:val="0"/>
          <w:kern w:val="2"/>
          <w:sz w:val="28"/>
          <w:szCs w:val="28"/>
          <w:lang w:val="en-US" w:eastAsia="zh-CN" w:bidi="ar-SA"/>
        </w:rPr>
        <w:t>二</w:t>
      </w:r>
      <w:r>
        <w:rPr>
          <w:rFonts w:hint="eastAsia" w:ascii="宋体" w:hAnsi="宋体" w:eastAsia="宋体" w:cs="宋体"/>
          <w:color w:val="auto"/>
          <w:spacing w:val="0"/>
          <w:kern w:val="2"/>
          <w:sz w:val="28"/>
          <w:szCs w:val="28"/>
          <w:lang w:val="en-US" w:eastAsia="zh-CN" w:bidi="ar-SA"/>
        </w:rPr>
        <w:t>）服务要求</w:t>
      </w:r>
    </w:p>
    <w:p>
      <w:pPr>
        <w:spacing w:line="360" w:lineRule="auto"/>
        <w:ind w:firstLine="840" w:firstLineChars="30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一级养护标准</w:t>
      </w:r>
    </w:p>
    <w:p>
      <w:pPr>
        <w:pageBreakBefore w:val="0"/>
        <w:kinsoku/>
        <w:wordWrap/>
        <w:overflowPunct/>
        <w:topLinePunct w:val="0"/>
        <w:autoSpaceDE/>
        <w:autoSpaceDN/>
        <w:bidi w:val="0"/>
        <w:adjustRightInd/>
        <w:snapToGrid/>
        <w:spacing w:line="312"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①灌木：生长势较强,花繁叶茂,修剪工艺精细,造型美观。灌木无残缺、无病枯枝,绿篱无断层。病虫害控制及时、有效，被害植株不超过5%。</w:t>
      </w:r>
    </w:p>
    <w:p>
      <w:pPr>
        <w:pageBreakBefore w:val="0"/>
        <w:kinsoku/>
        <w:wordWrap/>
        <w:overflowPunct/>
        <w:topLinePunct w:val="0"/>
        <w:autoSpaceDE/>
        <w:autoSpaceDN/>
        <w:bidi w:val="0"/>
        <w:adjustRightInd/>
        <w:snapToGrid/>
        <w:spacing w:line="312"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②花卉：生长势强,花繁叶茂,图案新颖美观,视觉效果赏心悦目。无病枯死、无缺株；杂草率低于5%；除消毒整地时间外,无空置现象。</w:t>
      </w:r>
    </w:p>
    <w:p>
      <w:pPr>
        <w:pageBreakBefore w:val="0"/>
        <w:kinsoku/>
        <w:wordWrap/>
        <w:overflowPunct/>
        <w:topLinePunct w:val="0"/>
        <w:autoSpaceDE/>
        <w:autoSpaceDN/>
        <w:bidi w:val="0"/>
        <w:adjustRightInd/>
        <w:snapToGrid/>
        <w:spacing w:line="312"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③草坪地被：生长势较强,整洁美观；草坪四季常绿、平整、无坑洼积水、无裸露地,覆盖率达98%以上；杂草率低于5%,病虫害控制及时、有效。</w:t>
      </w:r>
    </w:p>
    <w:p>
      <w:pPr>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④清洁保洁：绿地、生态停车场干净整洁,无垃圾杂物,无石头砖块（景石除外）,无干枯枝叶；保洁时间7：00—21：00。</w:t>
      </w:r>
    </w:p>
    <w:p>
      <w:pPr>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⑤簕杜鹃的管养按照城市天桥绿化（一级）养护标准执行。</w:t>
      </w:r>
    </w:p>
    <w:p>
      <w:pPr>
        <w:adjustRightInd/>
        <w:snapToGrid/>
        <w:spacing w:line="360" w:lineRule="auto"/>
        <w:ind w:firstLine="480"/>
        <w:jc w:val="left"/>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1）工作内容为保洁、促花、修剪、灌溉与排水、中耕除草、施肥、病虫害防治、花箱及其他设施维护、植物补植、巡查；安全管理、技术档案。</w:t>
      </w:r>
    </w:p>
    <w:p>
      <w:pPr>
        <w:spacing w:line="360" w:lineRule="auto"/>
        <w:ind w:firstLine="480"/>
        <w:jc w:val="left"/>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2）簕杜鹃修剪:应重点进行整形修剪、枝条牵引，结合开花规律进行适度修剪和控花促花。绿化控花:绿化及设施整齐无缺损，盆栽植物灌型饱满整齐，长势旺盛。通过专门技术对簕杜鹃等开花植物进行特殊的水肥管理、实施促花控花，使盛花期开花率达85%，盛花期保持一个月以上。每年元旦、春节、国庆等重要法定节日保证按计划开花:平时养护保证枝繁叶茂，叶色艳丽，无枯枝落叶和残花败花、修剪及时，无野生藤蔓缠绕，杂草覆盖率兰1%。须达到城市天桥绿化（一级）养护标准要求。</w:t>
      </w:r>
    </w:p>
    <w:p>
      <w:pPr>
        <w:spacing w:line="360" w:lineRule="auto"/>
        <w:ind w:firstLine="480"/>
        <w:jc w:val="left"/>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000000"/>
          <w:spacing w:val="0"/>
          <w:kern w:val="2"/>
          <w:sz w:val="28"/>
          <w:szCs w:val="28"/>
          <w:highlight w:val="none"/>
          <w:lang w:val="en-US" w:eastAsia="zh-CN" w:bidi="ar-SA"/>
        </w:rPr>
        <w:t>⑥</w:t>
      </w:r>
      <w:r>
        <w:rPr>
          <w:rFonts w:hint="eastAsia" w:ascii="宋体" w:hAnsi="宋体" w:eastAsia="宋体" w:cs="宋体"/>
          <w:color w:val="auto"/>
          <w:spacing w:val="0"/>
          <w:kern w:val="2"/>
          <w:sz w:val="28"/>
          <w:szCs w:val="28"/>
          <w:lang w:val="en-US" w:eastAsia="zh-CN" w:bidi="ar-SA"/>
        </w:rPr>
        <w:t>修剪：对自然生长的灌木，修剪应维持其自然形态。及时修剪绿篱和造型灌木，保持图案清晰，层次分</w:t>
      </w:r>
      <w:bookmarkStart w:id="0" w:name="_GoBack"/>
      <w:bookmarkEnd w:id="0"/>
      <w:r>
        <w:rPr>
          <w:rFonts w:hint="eastAsia" w:ascii="宋体" w:hAnsi="宋体" w:eastAsia="宋体" w:cs="宋体"/>
          <w:color w:val="auto"/>
          <w:spacing w:val="0"/>
          <w:kern w:val="2"/>
          <w:sz w:val="28"/>
          <w:szCs w:val="28"/>
          <w:lang w:val="en-US" w:eastAsia="zh-CN" w:bidi="ar-SA"/>
        </w:rPr>
        <w:t xml:space="preserve">明、线条流畅，冠形丰满。早春开花的观花灌木，宜在花后轻剪；夏秋开花的落叶灌木，宜在休眠期或生长相对停滞期修剪。冬季开花的观花灌木，宜在早春抽除衰老枝和密弱枝；多次开花型灌木宜在花后短截, 促使植株再次开花。藤本植物尚未达到篱顶时，应设支撑物并作牵引，利其攀缠。以建筑物墙（柱）为攀缠对象时，应经常进行绑扎、整理。同时，剪除徒长枝和下垂枝，清除枯枝，疏删老弱藤蔓。根据品种和花期的不同，及时整形，分别采用摘心或疏枝措施，促使株型美观、适时开花、着花整齐。草坪地被修剪要求：一次修剪高度原则上不宜超过草高的1/3，同时应防止过度修剪而出现秃黄。修剪次数应根据草的种类、养护等级质量要求、气候条件、土壤肥力及生长状况确定，不应出现草坪过度生长老化鼓包现象。 </w:t>
      </w:r>
    </w:p>
    <w:p>
      <w:pPr>
        <w:spacing w:line="360" w:lineRule="auto"/>
        <w:ind w:firstLine="480"/>
        <w:jc w:val="left"/>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⑦灌溉与排水：灌溉应根据合作区气候特点、土壤性质、植株需水等情况，适时、适量、以适宜的方式进行灌水和排涝。灌溉的水量应稍大于园林植物的日蒸腾量，灌溉水量应以使土壤根系保持植物无萎蔫为基准。</w:t>
      </w:r>
      <w:r>
        <w:rPr>
          <w:rFonts w:hint="eastAsia" w:ascii="宋体" w:hAnsi="宋体" w:eastAsia="宋体" w:cs="宋体"/>
          <w:color w:val="auto"/>
          <w:spacing w:val="0"/>
          <w:kern w:val="2"/>
          <w:sz w:val="28"/>
          <w:szCs w:val="28"/>
          <w:lang w:val="en-US" w:eastAsia="zh-Hans" w:bidi="ar-SA"/>
        </w:rPr>
        <w:t>优先利用雨水和再生水</w:t>
      </w:r>
      <w:r>
        <w:rPr>
          <w:rFonts w:hint="eastAsia" w:ascii="宋体" w:hAnsi="宋体" w:eastAsia="宋体" w:cs="宋体"/>
          <w:color w:val="auto"/>
          <w:spacing w:val="0"/>
          <w:kern w:val="2"/>
          <w:sz w:val="28"/>
          <w:szCs w:val="28"/>
          <w:lang w:val="en-US" w:eastAsia="zh-CN" w:bidi="ar-SA"/>
        </w:rPr>
        <w:t>灌溉</w:t>
      </w:r>
      <w:r>
        <w:rPr>
          <w:rFonts w:hint="eastAsia" w:ascii="宋体" w:hAnsi="宋体" w:eastAsia="宋体" w:cs="宋体"/>
          <w:color w:val="auto"/>
          <w:spacing w:val="0"/>
          <w:kern w:val="2"/>
          <w:sz w:val="28"/>
          <w:szCs w:val="28"/>
          <w:lang w:val="en-US" w:eastAsia="zh-Hans" w:bidi="ar-SA"/>
        </w:rPr>
        <w:t>。</w:t>
      </w:r>
      <w:r>
        <w:rPr>
          <w:rFonts w:hint="eastAsia" w:ascii="宋体" w:hAnsi="宋体" w:eastAsia="宋体" w:cs="宋体"/>
          <w:color w:val="auto"/>
          <w:spacing w:val="0"/>
          <w:kern w:val="2"/>
          <w:sz w:val="28"/>
          <w:szCs w:val="28"/>
          <w:lang w:val="en-US" w:eastAsia="zh-CN" w:bidi="ar-SA"/>
        </w:rPr>
        <w:t>水质应满足植物生长需求，</w:t>
      </w:r>
      <w:r>
        <w:rPr>
          <w:rFonts w:hint="eastAsia" w:ascii="宋体" w:hAnsi="宋体" w:eastAsia="宋体" w:cs="宋体"/>
          <w:color w:val="auto"/>
          <w:spacing w:val="0"/>
          <w:kern w:val="2"/>
          <w:sz w:val="28"/>
          <w:szCs w:val="28"/>
          <w:lang w:val="en-US" w:eastAsia="zh-Hans" w:bidi="ar-SA"/>
        </w:rPr>
        <w:t>严禁使用低于GB3838-2002中V类水质的水源灌溉。</w:t>
      </w:r>
      <w:r>
        <w:rPr>
          <w:rFonts w:hint="eastAsia" w:ascii="宋体" w:hAnsi="宋体" w:eastAsia="宋体" w:cs="宋体"/>
          <w:color w:val="auto"/>
          <w:spacing w:val="0"/>
          <w:kern w:val="2"/>
          <w:sz w:val="28"/>
          <w:szCs w:val="28"/>
          <w:lang w:val="en-US" w:eastAsia="zh-CN" w:bidi="ar-SA"/>
        </w:rPr>
        <w:t>宜采用节水设备和措施，根据季节与气温调整灌溉量与灌溉时间。</w:t>
      </w:r>
      <w:r>
        <w:rPr>
          <w:rFonts w:hint="eastAsia" w:ascii="宋体" w:hAnsi="宋体" w:eastAsia="宋体" w:cs="宋体"/>
          <w:color w:val="auto"/>
          <w:spacing w:val="0"/>
          <w:kern w:val="2"/>
          <w:sz w:val="28"/>
          <w:szCs w:val="28"/>
          <w:lang w:val="en-US" w:eastAsia="zh-Hans" w:bidi="ar-SA"/>
        </w:rPr>
        <w:t>雨季(4月-10月)植物生长用水宜以自然降雨为主，辅之灌溉;旱季(11月至次年3月)以灌溉为主。</w:t>
      </w:r>
      <w:r>
        <w:rPr>
          <w:rFonts w:hint="eastAsia" w:ascii="宋体" w:hAnsi="宋体" w:eastAsia="宋体" w:cs="宋体"/>
          <w:color w:val="auto"/>
          <w:spacing w:val="0"/>
          <w:kern w:val="2"/>
          <w:sz w:val="28"/>
          <w:szCs w:val="28"/>
          <w:lang w:val="en-US" w:eastAsia="zh-CN" w:bidi="ar-SA"/>
        </w:rPr>
        <w:t>应经常检查喷灌或滴灌系统，确保运转正常。喷灌喷水的有效范围应与园林植物的种植范围一致，定时开关，专人看管，以地面达到径流为准。</w:t>
      </w:r>
      <w:r>
        <w:rPr>
          <w:rFonts w:hint="eastAsia" w:ascii="宋体" w:hAnsi="宋体" w:eastAsia="宋体" w:cs="宋体"/>
          <w:color w:val="auto"/>
          <w:spacing w:val="0"/>
          <w:kern w:val="2"/>
          <w:sz w:val="28"/>
          <w:szCs w:val="28"/>
          <w:lang w:val="en-US" w:eastAsia="zh-Hans" w:bidi="ar-SA"/>
        </w:rPr>
        <w:t>每日灌溉时间应根据季节和气温而定。雨季宜在10时之前或18时之后</w:t>
      </w:r>
      <w:r>
        <w:rPr>
          <w:rFonts w:hint="eastAsia" w:ascii="宋体" w:hAnsi="宋体" w:eastAsia="宋体" w:cs="宋体"/>
          <w:color w:val="auto"/>
          <w:spacing w:val="0"/>
          <w:kern w:val="2"/>
          <w:sz w:val="28"/>
          <w:szCs w:val="28"/>
          <w:lang w:val="en-US" w:eastAsia="zh-CN" w:bidi="ar-SA"/>
        </w:rPr>
        <w:t>，</w:t>
      </w:r>
      <w:r>
        <w:rPr>
          <w:rFonts w:hint="eastAsia" w:ascii="宋体" w:hAnsi="宋体" w:eastAsia="宋体" w:cs="宋体"/>
          <w:color w:val="auto"/>
          <w:spacing w:val="0"/>
          <w:kern w:val="2"/>
          <w:sz w:val="28"/>
          <w:szCs w:val="28"/>
          <w:lang w:val="en-US" w:eastAsia="zh-Hans" w:bidi="ar-SA"/>
        </w:rPr>
        <w:t>旱季宜在10时-16时之间进行</w:t>
      </w:r>
      <w:r>
        <w:rPr>
          <w:rFonts w:hint="eastAsia" w:ascii="宋体" w:hAnsi="宋体" w:eastAsia="宋体" w:cs="宋体"/>
          <w:color w:val="auto"/>
          <w:spacing w:val="0"/>
          <w:kern w:val="2"/>
          <w:sz w:val="28"/>
          <w:szCs w:val="28"/>
          <w:lang w:val="en-US" w:eastAsia="zh-CN" w:bidi="ar-SA"/>
        </w:rPr>
        <w:t>。用水车浇灌时，应接软管，进行缓流浇灌，保证一次浇足浇透，不得使用高压水流；</w:t>
      </w:r>
      <w:r>
        <w:rPr>
          <w:rFonts w:hint="eastAsia" w:ascii="宋体" w:hAnsi="宋体" w:eastAsia="宋体" w:cs="宋体"/>
          <w:color w:val="auto"/>
          <w:spacing w:val="0"/>
          <w:kern w:val="2"/>
          <w:sz w:val="28"/>
          <w:szCs w:val="28"/>
          <w:lang w:val="en-US" w:eastAsia="zh-Hans" w:bidi="ar-SA"/>
        </w:rPr>
        <w:t>不</w:t>
      </w:r>
      <w:r>
        <w:rPr>
          <w:rFonts w:hint="eastAsia" w:ascii="宋体" w:hAnsi="宋体" w:eastAsia="宋体" w:cs="宋体"/>
          <w:color w:val="auto"/>
          <w:spacing w:val="0"/>
          <w:kern w:val="2"/>
          <w:sz w:val="28"/>
          <w:szCs w:val="28"/>
          <w:lang w:val="en-US" w:eastAsia="zh-CN" w:bidi="ar-SA"/>
        </w:rPr>
        <w:t>得</w:t>
      </w:r>
      <w:r>
        <w:rPr>
          <w:rFonts w:hint="eastAsia" w:ascii="宋体" w:hAnsi="宋体" w:eastAsia="宋体" w:cs="宋体"/>
          <w:color w:val="auto"/>
          <w:spacing w:val="0"/>
          <w:kern w:val="2"/>
          <w:sz w:val="28"/>
          <w:szCs w:val="28"/>
          <w:lang w:val="en-US" w:eastAsia="zh-Hans" w:bidi="ar-SA"/>
        </w:rPr>
        <w:t>在交通繁忙或游人高峰时段进行。</w:t>
      </w:r>
      <w:r>
        <w:rPr>
          <w:rFonts w:hint="eastAsia" w:ascii="宋体" w:hAnsi="宋体" w:eastAsia="宋体" w:cs="宋体"/>
          <w:color w:val="auto"/>
          <w:spacing w:val="0"/>
          <w:kern w:val="2"/>
          <w:sz w:val="28"/>
          <w:szCs w:val="28"/>
          <w:lang w:val="en-US" w:eastAsia="zh-CN" w:bidi="ar-SA"/>
        </w:rPr>
        <w:t xml:space="preserve"> 花卉灌溉应避免冲刷花朵。花期应控水达到控花目的。暴雨后应及时排除树木根部周围积水。可采用开沟、埋管、打孔等排水措施及时对绿地和树池排涝，不得超过24小时。</w:t>
      </w:r>
    </w:p>
    <w:p>
      <w:pPr>
        <w:pageBreakBefore w:val="0"/>
        <w:kinsoku/>
        <w:wordWrap/>
        <w:overflowPunct/>
        <w:topLinePunct w:val="0"/>
        <w:autoSpaceDE/>
        <w:autoSpaceDN/>
        <w:bidi w:val="0"/>
        <w:adjustRightInd/>
        <w:snapToGrid/>
        <w:spacing w:line="312" w:lineRule="auto"/>
        <w:ind w:firstLine="42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⑧中耕除草：植物生长发育期，应经常进行中耕松土，使根部附近的表层土壤保持疏松和具有良好的透水、透气性。松土应在晴天，土壤含水适度时进行，不得在土壤泥泞状态下松土。 松土不能伤及根系及造成根系裸露，更不能造成黄土裸露。草坪应根据生长状况适时打孔；应及时清除打出的芯土、草根，并撒入营养土或沙粒。因地制宜制定杂草防除方案。恶性杂草、小面积杂草及老杂草应以人工防除为主；大面积杂草宜采用化学、生态和物理措施相结合的方法进行防除。遵循“除早、除小、除尽”的原则，及时拔除恶性杂草，严禁其结籽；其余杂草防除宜结合松土进行，将杂草率控制在相应等级的质量标准范围内。须慎重使用除草剂。先小面积试验，再大面积应用；应交替使用除草剂，禁止在同一绿地上长期使用同一种除草剂。加强绿地水肥管理，创造良好的生态环境，增强目的植物竞争力，抑制杂草发生。</w:t>
      </w:r>
    </w:p>
    <w:p>
      <w:pPr>
        <w:pageBreakBefore w:val="0"/>
        <w:kinsoku/>
        <w:wordWrap/>
        <w:overflowPunct/>
        <w:topLinePunct w:val="0"/>
        <w:autoSpaceDE/>
        <w:autoSpaceDN/>
        <w:bidi w:val="0"/>
        <w:adjustRightInd/>
        <w:snapToGrid/>
        <w:spacing w:line="312" w:lineRule="auto"/>
        <w:ind w:firstLine="420"/>
        <w:rPr>
          <w:rFonts w:hint="default"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auto"/>
          <w:spacing w:val="0"/>
          <w:kern w:val="2"/>
          <w:sz w:val="28"/>
          <w:szCs w:val="28"/>
          <w:lang w:val="en-US" w:eastAsia="zh-CN" w:bidi="ar-SA"/>
        </w:rPr>
        <w:t>⑨病虫害防治：遵循“预防为主，综合治理”的防治方针，强化园林绿化养护，增强植株抗性，制定科学的病虫害防治预案，做到安全、准确、及时、有效。病虫害防治以农业防治、生物防治、人工物理防治为主，慎用化学防治。防治方案应符合 NY/T 1276-2007、SZDB/Z 195-2016 的相关要求。农业防治通过改善生境条件提高植物自身抗性；绿地更新改造时，宜选择乡土植物提高植物群落的抗性；加强水肥管理，增强植株生长势，提高抗病虫能力；经常中耕除草，尤其是加强树盘管理，改善植物生长环境。鼓励采用生物技术防治；保护和利用天敌，创造有利于植物生存发展的环境条件。有效利用物理防治方法，如结合修剪技术剪除病虫枝。化学防治时，应选择环保并对有益生物影响小的农药，注意不同药剂的交替使用。应按照农药操作规程喷药，并避开人流高峰期。</w:t>
      </w: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both"/>
        <w:rPr>
          <w:rFonts w:hint="eastAsia" w:ascii="宋体" w:hAnsi="宋体" w:eastAsia="宋体" w:cs="宋体"/>
          <w:b/>
          <w:bCs/>
          <w:sz w:val="28"/>
          <w:szCs w:val="28"/>
          <w:lang w:val="en-US" w:eastAsia="zh-CN"/>
        </w:rPr>
      </w:pPr>
    </w:p>
    <w:p>
      <w:pPr>
        <w:spacing w:line="360" w:lineRule="auto"/>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项目工程量清单</w:t>
      </w:r>
    </w:p>
    <w:tbl>
      <w:tblPr>
        <w:tblStyle w:val="8"/>
        <w:tblW w:w="10152"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2163"/>
        <w:gridCol w:w="4800"/>
        <w:gridCol w:w="1267"/>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绿地清表</w:t>
            </w:r>
          </w:p>
        </w:tc>
        <w:tc>
          <w:tcPr>
            <w:tcW w:w="4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1、名称:绿地清表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2、废料运距:综合考虑</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种植台湾草</w:t>
            </w:r>
          </w:p>
        </w:tc>
        <w:tc>
          <w:tcPr>
            <w:tcW w:w="4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1、草皮种类:台湾草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2、铺种方式:综合考虑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3、养护期:暂定三个月</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台湾草种植土回填</w:t>
            </w:r>
          </w:p>
        </w:tc>
        <w:tc>
          <w:tcPr>
            <w:tcW w:w="4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1、名称:种植土回填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2、回填厚度:30cm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3、运距:综合考虑</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簕</w:t>
            </w:r>
            <w:r>
              <w:rPr>
                <w:rFonts w:hint="eastAsia" w:ascii="宋体" w:hAnsi="宋体" w:eastAsia="宋体" w:cs="宋体"/>
                <w:i w:val="0"/>
                <w:iCs w:val="0"/>
                <w:color w:val="000000"/>
                <w:sz w:val="24"/>
                <w:szCs w:val="24"/>
                <w:u w:val="none"/>
                <w:lang w:val="en-US" w:eastAsia="zh-CN"/>
              </w:rPr>
              <w:t>杜鹃</w:t>
            </w:r>
          </w:p>
        </w:tc>
        <w:tc>
          <w:tcPr>
            <w:tcW w:w="4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1、摆放:自然型簕杜鹃，假植精品盆苗；</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2、规格:高度:220-250cm，冠幅150-200cm，假植精品盆苗，盛花状态形态完美，冠型完整，枝叶紧密度高，主枝分布均匀，苗木生长健壮，无病电害；</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3、树木保护:钢丝绳固定支撑；</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4、合同期内更换一次。</w:t>
            </w:r>
          </w:p>
          <w:p>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4"/>
                <w:szCs w:val="24"/>
                <w:u w:val="none"/>
                <w:lang w:val="en-US" w:eastAsia="zh-CN" w:bidi="ar"/>
              </w:rPr>
              <w:t>5、养护期:暂定三个月</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花镜组团</w:t>
            </w:r>
          </w:p>
        </w:tc>
        <w:tc>
          <w:tcPr>
            <w:tcW w:w="4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1、紫锦木、亮叶女贞、灰莉球、马利筋、风仙清凉紫、五色梅、狼尾草、金边路篼、凌霄、美人焦、狐尾天门冬、蓝雪花等品种。</w:t>
            </w:r>
          </w:p>
          <w:p>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4"/>
                <w:szCs w:val="24"/>
                <w:u w:val="none"/>
                <w:lang w:val="en-US" w:eastAsia="zh-CN" w:bidi="ar"/>
              </w:rPr>
              <w:t>2、养护期:暂定三个月</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1000</w:t>
            </w:r>
          </w:p>
        </w:tc>
      </w:tr>
    </w:tbl>
    <w:p>
      <w:pPr>
        <w:pStyle w:val="7"/>
        <w:numPr>
          <w:ilvl w:val="0"/>
          <w:numId w:val="0"/>
        </w:numPr>
        <w:ind w:left="420" w:leftChars="0" w:firstLine="560" w:firstLineChars="200"/>
        <w:rPr>
          <w:rFonts w:hint="eastAsia" w:hAnsi="宋体" w:cs="宋体"/>
          <w:color w:val="auto"/>
          <w:spacing w:val="0"/>
          <w:kern w:val="2"/>
          <w:sz w:val="28"/>
          <w:szCs w:val="28"/>
          <w:lang w:val="en-US" w:eastAsia="zh-CN" w:bidi="ar-SA"/>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F9B5E"/>
    <w:multiLevelType w:val="singleLevel"/>
    <w:tmpl w:val="8A8F9B5E"/>
    <w:lvl w:ilvl="0" w:tentative="0">
      <w:start w:val="1"/>
      <w:numFmt w:val="chineseCounting"/>
      <w:suff w:val="nothing"/>
      <w:lvlText w:val="（%1）"/>
      <w:lvlJc w:val="left"/>
      <w:rPr>
        <w:rFonts w:hint="eastAsia"/>
      </w:rPr>
    </w:lvl>
  </w:abstractNum>
  <w:abstractNum w:abstractNumId="1">
    <w:nsid w:val="AC48FFF4"/>
    <w:multiLevelType w:val="singleLevel"/>
    <w:tmpl w:val="AC48FFF4"/>
    <w:lvl w:ilvl="0" w:tentative="0">
      <w:start w:val="1"/>
      <w:numFmt w:val="chineseCounting"/>
      <w:suff w:val="nothing"/>
      <w:lvlText w:val="%1、"/>
      <w:lvlJc w:val="left"/>
      <w:rPr>
        <w:rFonts w:hint="eastAsia"/>
      </w:rPr>
    </w:lvl>
  </w:abstractNum>
  <w:abstractNum w:abstractNumId="2">
    <w:nsid w:val="B3FE79C7"/>
    <w:multiLevelType w:val="multilevel"/>
    <w:tmpl w:val="B3FE79C7"/>
    <w:lvl w:ilvl="0" w:tentative="0">
      <w:start w:val="1"/>
      <w:numFmt w:val="chineseCounting"/>
      <w:suff w:val="nothing"/>
      <w:lvlText w:val="（%1）"/>
      <w:lvlJc w:val="left"/>
      <w:rPr>
        <w:rFonts w:hint="eastAsia"/>
        <w:sz w:val="28"/>
        <w:szCs w:val="28"/>
      </w:rPr>
    </w:lvl>
    <w:lvl w:ilvl="1" w:tentative="0">
      <w:start w:val="1"/>
      <w:numFmt w:val="decimal"/>
      <w:suff w:val="nothing"/>
      <w:lvlText w:val="%2．"/>
      <w:lvlJc w:val="left"/>
      <w:rPr>
        <w:rFonts w:hint="eastAsia"/>
        <w:sz w:val="28"/>
        <w:szCs w:val="28"/>
      </w:rPr>
    </w:lvl>
    <w:lvl w:ilvl="2" w:tentative="0">
      <w:start w:val="1"/>
      <w:numFmt w:val="decimal"/>
      <w:suff w:val="nothing"/>
      <w:lvlText w:val="（%3）"/>
      <w:lvlJc w:val="left"/>
      <w:rPr>
        <w:rFonts w:hint="eastAsia"/>
        <w:sz w:val="28"/>
        <w:szCs w:val="28"/>
      </w:rPr>
    </w:lvl>
    <w:lvl w:ilvl="3" w:tentative="0">
      <w:start w:val="1"/>
      <w:numFmt w:val="decimalEnclosedCircleChinese"/>
      <w:suff w:val="nothing"/>
      <w:lvlText w:val="%4"/>
      <w:lvlJc w:val="left"/>
      <w:rPr>
        <w:rFonts w:hint="eastAsia"/>
        <w:sz w:val="28"/>
        <w:szCs w:val="28"/>
      </w:rPr>
    </w:lvl>
    <w:lvl w:ilvl="4" w:tentative="0">
      <w:start w:val="1"/>
      <w:numFmt w:val="decimal"/>
      <w:suff w:val="nothing"/>
      <w:lvlText w:val="%5）"/>
      <w:lvlJc w:val="left"/>
      <w:rPr>
        <w:rFonts w:hint="eastAsia"/>
        <w:sz w:val="28"/>
        <w:szCs w:val="28"/>
      </w:rPr>
    </w:lvl>
    <w:lvl w:ilvl="5" w:tentative="0">
      <w:start w:val="1"/>
      <w:numFmt w:val="lowerLetter"/>
      <w:suff w:val="nothing"/>
      <w:lvlText w:val="%6．"/>
      <w:lvlJc w:val="left"/>
      <w:rPr>
        <w:rFonts w:hint="eastAsia"/>
        <w:sz w:val="28"/>
        <w:szCs w:val="28"/>
      </w:rPr>
    </w:lvl>
    <w:lvl w:ilvl="6" w:tentative="0">
      <w:start w:val="1"/>
      <w:numFmt w:val="lowerLetter"/>
      <w:suff w:val="nothing"/>
      <w:lvlText w:val="%7）"/>
      <w:lvlJc w:val="left"/>
      <w:rPr>
        <w:rFonts w:hint="eastAsia"/>
        <w:sz w:val="28"/>
        <w:szCs w:val="28"/>
      </w:rPr>
    </w:lvl>
    <w:lvl w:ilvl="7" w:tentative="0">
      <w:start w:val="1"/>
      <w:numFmt w:val="lowerRoman"/>
      <w:suff w:val="nothing"/>
      <w:lvlText w:val="%8．"/>
      <w:lvlJc w:val="left"/>
      <w:rPr>
        <w:rFonts w:hint="eastAsia"/>
        <w:sz w:val="28"/>
        <w:szCs w:val="28"/>
      </w:rPr>
    </w:lvl>
    <w:lvl w:ilvl="8" w:tentative="0">
      <w:start w:val="1"/>
      <w:numFmt w:val="lowerRoman"/>
      <w:suff w:val="nothing"/>
      <w:lvlText w:val="%9）"/>
      <w:lvlJc w:val="left"/>
      <w:rPr>
        <w:rFonts w:hint="eastAsia"/>
        <w:sz w:val="28"/>
        <w:szCs w:val="28"/>
      </w:rPr>
    </w:lvl>
  </w:abstractNum>
  <w:abstractNum w:abstractNumId="3">
    <w:nsid w:val="B7D53B60"/>
    <w:multiLevelType w:val="singleLevel"/>
    <w:tmpl w:val="B7D53B60"/>
    <w:lvl w:ilvl="0" w:tentative="0">
      <w:start w:val="4"/>
      <w:numFmt w:val="chineseCounting"/>
      <w:suff w:val="nothing"/>
      <w:lvlText w:val="%1、"/>
      <w:lvlJc w:val="left"/>
      <w:rPr>
        <w:rFonts w:hint="eastAsia" w:ascii="宋体" w:hAnsi="宋体" w:eastAsia="宋体" w:cs="宋体"/>
        <w:b/>
        <w:bCs/>
        <w:sz w:val="28"/>
        <w:szCs w:val="28"/>
      </w:rPr>
    </w:lvl>
  </w:abstractNum>
  <w:abstractNum w:abstractNumId="4">
    <w:nsid w:val="F9F842E2"/>
    <w:multiLevelType w:val="singleLevel"/>
    <w:tmpl w:val="F9F842E2"/>
    <w:lvl w:ilvl="0" w:tentative="0">
      <w:start w:val="1"/>
      <w:numFmt w:val="chineseCounting"/>
      <w:suff w:val="nothing"/>
      <w:lvlText w:val="（%1）"/>
      <w:lvlJc w:val="left"/>
      <w:rPr>
        <w:rFonts w:hint="eastAsia"/>
        <w:sz w:val="28"/>
        <w:szCs w:val="28"/>
      </w:rPr>
    </w:lvl>
  </w:abstractNum>
  <w:abstractNum w:abstractNumId="5">
    <w:nsid w:val="652F6B60"/>
    <w:multiLevelType w:val="singleLevel"/>
    <w:tmpl w:val="652F6B60"/>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EB"/>
    <w:rsid w:val="00BF74EB"/>
    <w:rsid w:val="012104EA"/>
    <w:rsid w:val="01CA194F"/>
    <w:rsid w:val="02290253"/>
    <w:rsid w:val="02600881"/>
    <w:rsid w:val="02B31B7A"/>
    <w:rsid w:val="03271B39"/>
    <w:rsid w:val="071568AB"/>
    <w:rsid w:val="07C4574A"/>
    <w:rsid w:val="0FDF2A12"/>
    <w:rsid w:val="10537FD8"/>
    <w:rsid w:val="14162C01"/>
    <w:rsid w:val="157D6CD0"/>
    <w:rsid w:val="1813218C"/>
    <w:rsid w:val="1EB728F0"/>
    <w:rsid w:val="1F471C0B"/>
    <w:rsid w:val="20DA2975"/>
    <w:rsid w:val="2364421D"/>
    <w:rsid w:val="237D7345"/>
    <w:rsid w:val="23804F70"/>
    <w:rsid w:val="27B01329"/>
    <w:rsid w:val="2DAA28F9"/>
    <w:rsid w:val="2DE63220"/>
    <w:rsid w:val="2FCF47FC"/>
    <w:rsid w:val="3441595B"/>
    <w:rsid w:val="348979BE"/>
    <w:rsid w:val="34D96114"/>
    <w:rsid w:val="3642240E"/>
    <w:rsid w:val="36A238B1"/>
    <w:rsid w:val="376E0AB0"/>
    <w:rsid w:val="37A6217C"/>
    <w:rsid w:val="386E3E21"/>
    <w:rsid w:val="39D2136B"/>
    <w:rsid w:val="3BF66C71"/>
    <w:rsid w:val="3D615EC3"/>
    <w:rsid w:val="43C3013B"/>
    <w:rsid w:val="48FA6149"/>
    <w:rsid w:val="4DBA3214"/>
    <w:rsid w:val="4DC537A4"/>
    <w:rsid w:val="54CA0BC5"/>
    <w:rsid w:val="56925FDF"/>
    <w:rsid w:val="5778056B"/>
    <w:rsid w:val="5C9B2D45"/>
    <w:rsid w:val="5D9B3D9F"/>
    <w:rsid w:val="5EF033AC"/>
    <w:rsid w:val="61E77036"/>
    <w:rsid w:val="640900E7"/>
    <w:rsid w:val="640B2DAF"/>
    <w:rsid w:val="69752891"/>
    <w:rsid w:val="6ED16517"/>
    <w:rsid w:val="71411B5D"/>
    <w:rsid w:val="73384217"/>
    <w:rsid w:val="74C47221"/>
    <w:rsid w:val="75971777"/>
    <w:rsid w:val="7671495D"/>
    <w:rsid w:val="769F1FAA"/>
    <w:rsid w:val="77322396"/>
    <w:rsid w:val="7A3C365C"/>
    <w:rsid w:val="7A6A54E3"/>
    <w:rsid w:val="7AC06271"/>
    <w:rsid w:val="7BF91471"/>
    <w:rsid w:val="7D3357F3"/>
    <w:rsid w:val="7DEF6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Lines/>
      <w:widowControl/>
      <w:tabs>
        <w:tab w:val="left" w:pos="720"/>
      </w:tabs>
      <w:spacing w:before="120" w:after="360" w:line="360" w:lineRule="auto"/>
      <w:jc w:val="center"/>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Body Text"/>
    <w:basedOn w:val="1"/>
    <w:next w:val="1"/>
    <w:qFormat/>
    <w:uiPriority w:val="0"/>
    <w:pPr>
      <w:spacing w:after="120" w:line="480" w:lineRule="auto"/>
      <w:ind w:firstLine="560" w:firstLineChars="200"/>
    </w:pPr>
    <w:rPr>
      <w:rFonts w:ascii="仿宋_GB2312" w:hAnsi="仿宋_GB2312" w:eastAsia="宋体" w:cs="Times New Roman"/>
      <w:spacing w:val="20"/>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0"/>
    <w:pPr>
      <w:ind w:firstLine="420" w:firstLineChars="100"/>
    </w:pPr>
    <w:rPr>
      <w:rFonts w:ascii="宋体" w:eastAsia="宋体"/>
      <w:color w:val="000000"/>
      <w:spacing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2024-11-26T06:24:00Z</dcterms:created>
  <dc:creator>李佼 </dc:creator>
  <cp:lastModifiedBy>李佼 </cp:lastModifiedBy>
  <dcterms:modified xsi:type="dcterms:W3CDTF">2024-11-27T09:20:39Z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AC54528D23CE47D5B64B9D70A0C3A1C0</vt:lpwstr>
  </property>
</Properties>
</file>