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CD131">
      <w:pPr>
        <w:pStyle w:val="12"/>
        <w:widowControl w:val="0"/>
        <w:numPr>
          <w:ilvl w:val="-1"/>
          <w:numId w:val="0"/>
        </w:numPr>
        <w:adjustRightInd w:val="0"/>
        <w:spacing w:line="560" w:lineRule="exact"/>
        <w:ind w:left="0" w:leftChars="0"/>
        <w:jc w:val="both"/>
        <w:rPr>
          <w:rFonts w:hint="eastAsia" w:ascii="仿宋_GB2312" w:hAnsi="仿宋_GB2312" w:eastAsia="仿宋_GB2312" w:cstheme="minorBidi"/>
          <w:b/>
          <w:bCs/>
          <w:color w:val="000000"/>
          <w:kern w:val="2"/>
          <w:sz w:val="32"/>
          <w:szCs w:val="32"/>
        </w:rPr>
      </w:pPr>
      <w:bookmarkStart w:id="7" w:name="_GoBack"/>
      <w:bookmarkEnd w:id="7"/>
      <w:r>
        <w:rPr>
          <w:rFonts w:hint="eastAsia" w:ascii="仿宋_GB2312" w:hAnsi="仿宋_GB2312" w:eastAsia="仿宋_GB2312" w:cstheme="minorBidi"/>
          <w:b/>
          <w:bCs/>
          <w:color w:val="000000"/>
          <w:kern w:val="2"/>
          <w:sz w:val="32"/>
          <w:szCs w:val="32"/>
          <w:lang w:val="en-US" w:eastAsia="zh-CN"/>
        </w:rPr>
        <w:t>附件2.</w:t>
      </w:r>
      <w:r>
        <w:rPr>
          <w:rFonts w:hint="eastAsia" w:ascii="仿宋_GB2312" w:hAnsi="仿宋_GB2312" w:eastAsia="仿宋_GB2312" w:cstheme="minorBidi"/>
          <w:b/>
          <w:bCs/>
          <w:color w:val="000000"/>
          <w:kern w:val="2"/>
          <w:sz w:val="32"/>
          <w:szCs w:val="32"/>
        </w:rPr>
        <w:t>评分细则</w:t>
      </w:r>
    </w:p>
    <w:p w14:paraId="60AC6451">
      <w:pPr>
        <w:ind w:firstLine="0" w:firstLineChars="0"/>
        <w:jc w:val="left"/>
        <w:outlineLvl w:val="3"/>
        <w:rPr>
          <w:rFonts w:cs="Futura-Heavy"/>
          <w:b/>
          <w:bCs/>
          <w:kern w:val="0"/>
          <w:szCs w:val="21"/>
        </w:rPr>
      </w:pPr>
      <w:bookmarkStart w:id="0" w:name="_Toc6322232"/>
      <w:bookmarkStart w:id="1" w:name="_Toc67046848"/>
      <w:r>
        <w:rPr>
          <w:rFonts w:hint="eastAsia" w:cs="Futura-Heavy"/>
          <w:b/>
          <w:bCs/>
          <w:kern w:val="0"/>
          <w:szCs w:val="21"/>
        </w:rPr>
        <w:t>商务评分细则表（</w:t>
      </w:r>
      <w:r>
        <w:rPr>
          <w:rFonts w:cs="Futura-Heavy"/>
          <w:b/>
          <w:bCs/>
          <w:kern w:val="0"/>
          <w:szCs w:val="21"/>
        </w:rPr>
        <w:t>45</w:t>
      </w:r>
      <w:r>
        <w:rPr>
          <w:rFonts w:hint="eastAsia" w:cs="Futura-Heavy"/>
          <w:b/>
          <w:bCs/>
          <w:kern w:val="0"/>
          <w:szCs w:val="21"/>
        </w:rPr>
        <w:t>分）</w:t>
      </w:r>
      <w:bookmarkEnd w:id="0"/>
      <w:bookmarkEnd w:id="1"/>
      <w:r>
        <w:rPr>
          <w:rFonts w:cs="Futura-Heavy"/>
          <w:b/>
          <w:bCs/>
          <w:kern w:val="0"/>
          <w:szCs w:val="21"/>
        </w:rPr>
        <w:t xml:space="preserve"> </w:t>
      </w:r>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41"/>
        <w:gridCol w:w="7062"/>
        <w:gridCol w:w="849"/>
      </w:tblGrid>
      <w:tr w14:paraId="24B27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10" w:type="dxa"/>
            <w:vAlign w:val="center"/>
          </w:tcPr>
          <w:p w14:paraId="0A8E449F">
            <w:pPr>
              <w:spacing w:before="120" w:beforeLines="50" w:after="120" w:afterLines="50" w:line="240" w:lineRule="auto"/>
              <w:jc w:val="center"/>
              <w:rPr>
                <w:rFonts w:cs="等线"/>
                <w:b/>
              </w:rPr>
            </w:pPr>
            <w:bookmarkStart w:id="2" w:name="_Hlk43300484"/>
            <w:r>
              <w:rPr>
                <w:rFonts w:hint="eastAsia" w:cs="等线"/>
                <w:b/>
              </w:rPr>
              <w:t>序号</w:t>
            </w:r>
          </w:p>
        </w:tc>
        <w:tc>
          <w:tcPr>
            <w:tcW w:w="1141" w:type="dxa"/>
            <w:vAlign w:val="center"/>
          </w:tcPr>
          <w:p w14:paraId="10BA1C4A">
            <w:pPr>
              <w:spacing w:before="120" w:beforeLines="50" w:after="120" w:afterLines="50" w:line="240" w:lineRule="auto"/>
              <w:jc w:val="center"/>
              <w:rPr>
                <w:rFonts w:cs="等线"/>
                <w:b/>
              </w:rPr>
            </w:pPr>
            <w:r>
              <w:rPr>
                <w:rFonts w:hint="eastAsia" w:cs="等线"/>
                <w:b/>
              </w:rPr>
              <w:t>评审因素</w:t>
            </w:r>
          </w:p>
        </w:tc>
        <w:tc>
          <w:tcPr>
            <w:tcW w:w="7062" w:type="dxa"/>
            <w:vAlign w:val="center"/>
          </w:tcPr>
          <w:p w14:paraId="2C217EAE">
            <w:pPr>
              <w:spacing w:before="120" w:beforeLines="50" w:after="120" w:afterLines="50" w:line="240" w:lineRule="auto"/>
              <w:jc w:val="center"/>
              <w:rPr>
                <w:rFonts w:cs="等线"/>
                <w:b/>
              </w:rPr>
            </w:pPr>
            <w:r>
              <w:rPr>
                <w:rFonts w:hint="eastAsia" w:cs="等线"/>
                <w:b/>
              </w:rPr>
              <w:t>评审标准</w:t>
            </w:r>
          </w:p>
        </w:tc>
        <w:tc>
          <w:tcPr>
            <w:tcW w:w="849" w:type="dxa"/>
            <w:vAlign w:val="center"/>
          </w:tcPr>
          <w:p w14:paraId="6B6EC393">
            <w:pPr>
              <w:spacing w:before="120" w:beforeLines="50" w:after="120" w:afterLines="50" w:line="240" w:lineRule="auto"/>
              <w:jc w:val="center"/>
              <w:rPr>
                <w:rFonts w:cs="等线"/>
                <w:b/>
              </w:rPr>
            </w:pPr>
            <w:r>
              <w:rPr>
                <w:rFonts w:hint="eastAsia" w:cs="等线"/>
                <w:b/>
              </w:rPr>
              <w:t>分值（分）</w:t>
            </w:r>
          </w:p>
        </w:tc>
      </w:tr>
      <w:tr w14:paraId="2558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0" w:type="dxa"/>
            <w:vAlign w:val="center"/>
          </w:tcPr>
          <w:p w14:paraId="6D771C41">
            <w:pPr>
              <w:pStyle w:val="8"/>
              <w:numPr>
                <w:ilvl w:val="0"/>
                <w:numId w:val="1"/>
              </w:numPr>
              <w:spacing w:before="120" w:beforeLines="50" w:after="120" w:afterLines="50" w:line="240" w:lineRule="auto"/>
              <w:jc w:val="center"/>
              <w:rPr>
                <w:rFonts w:ascii="宋体" w:hAnsi="宋体" w:cs="等线"/>
                <w:szCs w:val="21"/>
              </w:rPr>
            </w:pPr>
          </w:p>
        </w:tc>
        <w:tc>
          <w:tcPr>
            <w:tcW w:w="1141" w:type="dxa"/>
            <w:vAlign w:val="center"/>
          </w:tcPr>
          <w:p w14:paraId="633D48EB">
            <w:pPr>
              <w:spacing w:line="240" w:lineRule="auto"/>
              <w:jc w:val="center"/>
              <w:rPr>
                <w:rFonts w:hint="eastAsia" w:eastAsia="宋体" w:cs="等线"/>
                <w:szCs w:val="21"/>
                <w:lang w:eastAsia="zh-CN"/>
              </w:rPr>
            </w:pPr>
            <w:r>
              <w:rPr>
                <w:rFonts w:hint="eastAsia" w:cs="等线"/>
                <w:szCs w:val="21"/>
              </w:rPr>
              <w:t>同类业绩</w:t>
            </w:r>
          </w:p>
        </w:tc>
        <w:tc>
          <w:tcPr>
            <w:tcW w:w="7062" w:type="dxa"/>
            <w:vAlign w:val="center"/>
          </w:tcPr>
          <w:p w14:paraId="0AAB2B57">
            <w:pPr>
              <w:adjustRightInd w:val="0"/>
              <w:snapToGrid w:val="0"/>
              <w:spacing w:line="288" w:lineRule="auto"/>
              <w:jc w:val="left"/>
              <w:rPr>
                <w:rFonts w:cs="等线"/>
                <w:szCs w:val="21"/>
              </w:rPr>
            </w:pPr>
            <w:r>
              <w:rPr>
                <w:rFonts w:hint="eastAsia" w:cs="等线"/>
                <w:szCs w:val="21"/>
              </w:rPr>
              <w:t>根据供应商提供的</w:t>
            </w:r>
            <w:r>
              <w:rPr>
                <w:rFonts w:cs="等线"/>
                <w:szCs w:val="21"/>
              </w:rPr>
              <w:t>202</w:t>
            </w:r>
            <w:r>
              <w:rPr>
                <w:rFonts w:hint="eastAsia" w:cs="等线"/>
                <w:szCs w:val="21"/>
                <w:lang w:val="en-US" w:eastAsia="zh-CN"/>
              </w:rPr>
              <w:t>1</w:t>
            </w:r>
            <w:r>
              <w:rPr>
                <w:rFonts w:cs="等线"/>
                <w:szCs w:val="21"/>
              </w:rPr>
              <w:t>年01月01日以来（以合同签订时间为准）承接过类似</w:t>
            </w:r>
            <w:r>
              <w:rPr>
                <w:rFonts w:hint="eastAsia" w:cs="等线"/>
                <w:szCs w:val="21"/>
              </w:rPr>
              <w:t>AI智能巡查视频监控服务</w:t>
            </w:r>
            <w:r>
              <w:rPr>
                <w:rFonts w:cs="等线"/>
                <w:szCs w:val="21"/>
              </w:rPr>
              <w:t>项目进行评分：</w:t>
            </w:r>
          </w:p>
          <w:p w14:paraId="57F2D5EE">
            <w:pPr>
              <w:adjustRightInd w:val="0"/>
              <w:snapToGrid w:val="0"/>
              <w:spacing w:line="288" w:lineRule="auto"/>
              <w:jc w:val="left"/>
              <w:rPr>
                <w:rFonts w:cs="等线"/>
                <w:szCs w:val="21"/>
              </w:rPr>
            </w:pPr>
            <w:r>
              <w:rPr>
                <w:rFonts w:hint="eastAsia" w:cs="等线"/>
                <w:szCs w:val="21"/>
              </w:rPr>
              <w:t>合同内容需包含视频监控</w:t>
            </w:r>
            <w:r>
              <w:rPr>
                <w:rFonts w:hint="eastAsia" w:cs="等线"/>
                <w:szCs w:val="21"/>
                <w:lang w:val="en-US" w:eastAsia="zh-CN"/>
              </w:rPr>
              <w:t>服务</w:t>
            </w:r>
            <w:r>
              <w:rPr>
                <w:rFonts w:hint="eastAsia" w:cs="等线"/>
                <w:szCs w:val="21"/>
              </w:rPr>
              <w:t>相关内容，每提供</w:t>
            </w:r>
            <w:r>
              <w:rPr>
                <w:rFonts w:cs="等线"/>
                <w:szCs w:val="21"/>
              </w:rPr>
              <w:t>1份得2分，本项满分10分。不提供不得分。</w:t>
            </w:r>
          </w:p>
          <w:p w14:paraId="5AD19129">
            <w:pPr>
              <w:adjustRightInd w:val="0"/>
              <w:snapToGrid w:val="0"/>
              <w:spacing w:line="288" w:lineRule="auto"/>
              <w:rPr>
                <w:rFonts w:cs="等线"/>
                <w:szCs w:val="21"/>
              </w:rPr>
            </w:pPr>
            <w:r>
              <w:rPr>
                <w:rFonts w:hint="eastAsia" w:cs="等线"/>
                <w:szCs w:val="21"/>
              </w:rPr>
              <w:t>注：须提供合同关键页复印件（包括但不限于合同名称页、合同主要内容页、合同签订日期页、合同双方签字盖章页）并加盖公章，否则不得分。如合同未体现签订日期，或合同履行期限不能明显判断在</w:t>
            </w:r>
            <w:r>
              <w:rPr>
                <w:rFonts w:cs="等线"/>
                <w:szCs w:val="21"/>
              </w:rPr>
              <w:t>202</w:t>
            </w:r>
            <w:r>
              <w:rPr>
                <w:rFonts w:hint="eastAsia" w:cs="等线"/>
                <w:szCs w:val="21"/>
                <w:lang w:val="en-US" w:eastAsia="zh-CN"/>
              </w:rPr>
              <w:t>1</w:t>
            </w:r>
            <w:r>
              <w:rPr>
                <w:rFonts w:cs="等线"/>
                <w:szCs w:val="21"/>
              </w:rPr>
              <w:t>年1月1日之后开始实施的，该合同不予认可，不予计分。如合同内容无法体现具体内容，可增加客户方盖章的证明材料作为佐证材料，否则不得分。</w:t>
            </w:r>
          </w:p>
        </w:tc>
        <w:tc>
          <w:tcPr>
            <w:tcW w:w="849" w:type="dxa"/>
            <w:vAlign w:val="center"/>
          </w:tcPr>
          <w:p w14:paraId="282AD171">
            <w:pPr>
              <w:spacing w:before="120" w:beforeLines="50" w:after="120" w:afterLines="50" w:line="240" w:lineRule="auto"/>
              <w:jc w:val="center"/>
              <w:rPr>
                <w:rFonts w:cs="@宋体"/>
                <w:szCs w:val="21"/>
              </w:rPr>
            </w:pPr>
            <w:r>
              <w:rPr>
                <w:rFonts w:cs="@宋体"/>
                <w:szCs w:val="21"/>
              </w:rPr>
              <w:t>10</w:t>
            </w:r>
          </w:p>
        </w:tc>
      </w:tr>
      <w:tr w14:paraId="57128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0" w:type="dxa"/>
            <w:vAlign w:val="center"/>
          </w:tcPr>
          <w:p w14:paraId="43A161A2">
            <w:pPr>
              <w:pStyle w:val="8"/>
              <w:numPr>
                <w:ilvl w:val="0"/>
                <w:numId w:val="1"/>
              </w:numPr>
              <w:spacing w:before="120" w:beforeLines="50" w:after="120" w:afterLines="50" w:line="240" w:lineRule="auto"/>
              <w:jc w:val="center"/>
              <w:rPr>
                <w:rFonts w:ascii="宋体" w:hAnsi="宋体" w:cs="等线"/>
                <w:szCs w:val="21"/>
              </w:rPr>
            </w:pPr>
          </w:p>
        </w:tc>
        <w:tc>
          <w:tcPr>
            <w:tcW w:w="1141" w:type="dxa"/>
            <w:vAlign w:val="center"/>
          </w:tcPr>
          <w:p w14:paraId="470779D5">
            <w:pPr>
              <w:spacing w:line="240" w:lineRule="auto"/>
              <w:jc w:val="center"/>
              <w:rPr>
                <w:rFonts w:hint="eastAsia" w:eastAsia="宋体" w:cs="等线"/>
                <w:szCs w:val="21"/>
                <w:lang w:eastAsia="zh-CN"/>
              </w:rPr>
            </w:pPr>
            <w:r>
              <w:rPr>
                <w:rFonts w:hint="eastAsia" w:cs="宋体"/>
              </w:rPr>
              <w:t>人员投入情况</w:t>
            </w:r>
          </w:p>
        </w:tc>
        <w:tc>
          <w:tcPr>
            <w:tcW w:w="7062" w:type="dxa"/>
            <w:vAlign w:val="center"/>
          </w:tcPr>
          <w:p w14:paraId="3CFD26F3">
            <w:pPr>
              <w:pStyle w:val="9"/>
              <w:tabs>
                <w:tab w:val="left" w:pos="329"/>
              </w:tabs>
              <w:snapToGrid w:val="0"/>
              <w:spacing w:line="288" w:lineRule="auto"/>
              <w:textAlignment w:val="baseline"/>
              <w:rPr>
                <w:rFonts w:cs="等线"/>
                <w:kern w:val="2"/>
                <w:sz w:val="21"/>
                <w:szCs w:val="21"/>
              </w:rPr>
            </w:pPr>
            <w:r>
              <w:rPr>
                <w:rFonts w:cs="等线"/>
                <w:kern w:val="2"/>
                <w:sz w:val="21"/>
                <w:szCs w:val="21"/>
              </w:rPr>
              <w:t xml:space="preserve">1、供应商拟派出技术负责人：（1）具有本科（或以上）学历，得2分；（2）具有人力资源和社会保障部或工业和信息化部（原信息产业部）颁发的通信专业技术人员职业资格证书（中级或以上通信工程师证书）或工业和信息化部或人力资源和社会保障部门颁发的中级或以上网络工程师证书，得2分。本项满分4分； </w:t>
            </w:r>
          </w:p>
          <w:p w14:paraId="5546F529">
            <w:pPr>
              <w:pStyle w:val="9"/>
              <w:tabs>
                <w:tab w:val="left" w:pos="329"/>
              </w:tabs>
              <w:snapToGrid w:val="0"/>
              <w:spacing w:line="288" w:lineRule="auto"/>
              <w:textAlignment w:val="baseline"/>
              <w:rPr>
                <w:rFonts w:cs="等线"/>
                <w:kern w:val="2"/>
                <w:sz w:val="21"/>
                <w:szCs w:val="21"/>
              </w:rPr>
            </w:pPr>
            <w:r>
              <w:rPr>
                <w:rFonts w:cs="等线"/>
                <w:kern w:val="2"/>
                <w:sz w:val="21"/>
                <w:szCs w:val="21"/>
              </w:rPr>
              <w:t xml:space="preserve">2、供应商拟派出技术实施人员：（1）具有本科（或以上）学历，得1分；（2）具有人力资源和社会保障部或工业和信息化部（原信息产业部）颁发的通信专业技术人员职业资格证书（中级或以上通信工程师证书）或工业和信息化部或人力资源和社会保障部门颁发的中级或以上网络工程师证书，得1分。本项满分2分；  </w:t>
            </w:r>
          </w:p>
          <w:p w14:paraId="51022EF6">
            <w:pPr>
              <w:pStyle w:val="9"/>
              <w:tabs>
                <w:tab w:val="left" w:pos="329"/>
              </w:tabs>
              <w:snapToGrid w:val="0"/>
              <w:spacing w:line="288" w:lineRule="auto"/>
              <w:textAlignment w:val="baseline"/>
              <w:rPr>
                <w:rFonts w:cs="等线"/>
                <w:kern w:val="2"/>
                <w:sz w:val="21"/>
                <w:szCs w:val="21"/>
              </w:rPr>
            </w:pPr>
            <w:r>
              <w:rPr>
                <w:rFonts w:cs="等线"/>
                <w:kern w:val="2"/>
                <w:sz w:val="21"/>
                <w:szCs w:val="21"/>
              </w:rPr>
              <w:t xml:space="preserve">3、供应商拟派出本项目维护人员，提供教育部认可的全日制本科或以上学历的实施人员，每提供1人得1分。本项满分4分。  </w:t>
            </w:r>
          </w:p>
          <w:p w14:paraId="0B320391">
            <w:pPr>
              <w:pStyle w:val="9"/>
              <w:tabs>
                <w:tab w:val="left" w:pos="329"/>
              </w:tabs>
              <w:snapToGrid w:val="0"/>
              <w:spacing w:line="288" w:lineRule="auto"/>
              <w:textAlignment w:val="baseline"/>
              <w:rPr>
                <w:rFonts w:cs="等线"/>
                <w:kern w:val="2"/>
                <w:sz w:val="21"/>
                <w:szCs w:val="21"/>
              </w:rPr>
            </w:pPr>
            <w:r>
              <w:rPr>
                <w:rFonts w:hint="eastAsia" w:cs="等线"/>
                <w:kern w:val="2"/>
                <w:sz w:val="21"/>
                <w:szCs w:val="21"/>
              </w:rPr>
              <w:t>备注：须提供供应商为以上拟派人员缴纳的自</w:t>
            </w:r>
            <w:r>
              <w:rPr>
                <w:rFonts w:cs="等线"/>
                <w:kern w:val="2"/>
                <w:sz w:val="21"/>
                <w:szCs w:val="21"/>
              </w:rPr>
              <w:t>202</w:t>
            </w:r>
            <w:r>
              <w:rPr>
                <w:rFonts w:hint="eastAsia" w:cs="等线"/>
                <w:kern w:val="2"/>
                <w:sz w:val="21"/>
                <w:szCs w:val="21"/>
                <w:lang w:val="en-US" w:eastAsia="zh-CN"/>
              </w:rPr>
              <w:t>4</w:t>
            </w:r>
            <w:r>
              <w:rPr>
                <w:rFonts w:cs="等线"/>
                <w:kern w:val="2"/>
                <w:sz w:val="21"/>
                <w:szCs w:val="21"/>
              </w:rPr>
              <w:t>年1月1日以来任意一个月的社保证明。分支机构投标的，可提供由总公司或总公司下属分支机构缴纳的社保证明。</w:t>
            </w:r>
          </w:p>
        </w:tc>
        <w:tc>
          <w:tcPr>
            <w:tcW w:w="849" w:type="dxa"/>
            <w:vAlign w:val="center"/>
          </w:tcPr>
          <w:p w14:paraId="7CA1AB47">
            <w:pPr>
              <w:spacing w:before="120" w:beforeLines="50" w:after="120" w:afterLines="50" w:line="240" w:lineRule="auto"/>
              <w:jc w:val="center"/>
              <w:rPr>
                <w:rFonts w:cs="@宋体"/>
                <w:szCs w:val="21"/>
              </w:rPr>
            </w:pPr>
            <w:r>
              <w:rPr>
                <w:rFonts w:hint="eastAsia" w:cs="@宋体"/>
                <w:szCs w:val="21"/>
              </w:rPr>
              <w:t>10</w:t>
            </w:r>
          </w:p>
        </w:tc>
      </w:tr>
      <w:tr w14:paraId="5BC2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0" w:type="dxa"/>
            <w:vAlign w:val="center"/>
          </w:tcPr>
          <w:p w14:paraId="69D7726D">
            <w:pPr>
              <w:pStyle w:val="8"/>
              <w:numPr>
                <w:ilvl w:val="0"/>
                <w:numId w:val="1"/>
              </w:numPr>
              <w:spacing w:before="120" w:beforeLines="50" w:after="120" w:afterLines="50" w:line="240" w:lineRule="auto"/>
              <w:jc w:val="center"/>
              <w:rPr>
                <w:rFonts w:ascii="宋体" w:hAnsi="宋体" w:cs="等线"/>
                <w:szCs w:val="21"/>
              </w:rPr>
            </w:pPr>
          </w:p>
        </w:tc>
        <w:tc>
          <w:tcPr>
            <w:tcW w:w="1141" w:type="dxa"/>
            <w:vAlign w:val="center"/>
          </w:tcPr>
          <w:p w14:paraId="207C895E">
            <w:pPr>
              <w:spacing w:line="240" w:lineRule="auto"/>
              <w:jc w:val="center"/>
              <w:rPr>
                <w:rFonts w:hint="eastAsia" w:eastAsia="宋体" w:cs="等线"/>
                <w:szCs w:val="21"/>
                <w:lang w:eastAsia="zh-CN"/>
              </w:rPr>
            </w:pPr>
            <w:r>
              <w:rPr>
                <w:rFonts w:hint="eastAsia" w:cs="宋体"/>
                <w:lang w:eastAsia="zh-Hans"/>
              </w:rPr>
              <w:t>服务优势</w:t>
            </w:r>
          </w:p>
        </w:tc>
        <w:tc>
          <w:tcPr>
            <w:tcW w:w="7062" w:type="dxa"/>
            <w:vAlign w:val="center"/>
          </w:tcPr>
          <w:p w14:paraId="733161D7">
            <w:pPr>
              <w:pStyle w:val="10"/>
              <w:adjustRightInd w:val="0"/>
              <w:snapToGrid w:val="0"/>
              <w:spacing w:line="288" w:lineRule="auto"/>
              <w:ind w:firstLine="0"/>
              <w:jc w:val="left"/>
              <w:rPr>
                <w:rFonts w:ascii="宋体" w:hAnsi="宋体" w:cs="等线"/>
                <w:kern w:val="2"/>
                <w:szCs w:val="21"/>
                <w:lang w:eastAsia="zh-CN"/>
              </w:rPr>
            </w:pPr>
            <w:r>
              <w:rPr>
                <w:rFonts w:hint="eastAsia" w:ascii="宋体" w:hAnsi="宋体" w:cs="等线"/>
                <w:kern w:val="2"/>
                <w:szCs w:val="21"/>
                <w:lang w:eastAsia="zh-CN"/>
              </w:rPr>
              <w:t>【可供选择点位】本项目前端设备需要安装在项目实施地附近的高点，确保形成对国有空闲地的良好覆盖效果。需提供满足高度要求的点位具体经纬度信息、高位杆塔资源现场照、高度组成等相关信息的清单明细、点位分布图。</w:t>
            </w:r>
          </w:p>
          <w:p w14:paraId="69674D0B">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1、提供</w:t>
            </w:r>
            <w:r>
              <w:rPr>
                <w:rFonts w:hint="eastAsia" w:ascii="宋体" w:hAnsi="宋体" w:cs="等线"/>
                <w:kern w:val="2"/>
                <w:szCs w:val="21"/>
                <w:lang w:val="en-US" w:eastAsia="zh-CN"/>
              </w:rPr>
              <w:t>3</w:t>
            </w:r>
            <w:r>
              <w:rPr>
                <w:rFonts w:ascii="宋体" w:hAnsi="宋体" w:cs="等线"/>
                <w:kern w:val="2"/>
                <w:szCs w:val="21"/>
                <w:lang w:eastAsia="zh-CN"/>
              </w:rPr>
              <w:t>0个（含）点位以上得</w:t>
            </w:r>
            <w:r>
              <w:rPr>
                <w:rFonts w:hint="eastAsia" w:ascii="宋体" w:hAnsi="宋体" w:cs="等线"/>
                <w:kern w:val="2"/>
                <w:szCs w:val="21"/>
                <w:lang w:val="en-US" w:eastAsia="zh-CN"/>
              </w:rPr>
              <w:t>10</w:t>
            </w:r>
            <w:r>
              <w:rPr>
                <w:rFonts w:ascii="宋体" w:hAnsi="宋体" w:cs="等线"/>
                <w:kern w:val="2"/>
                <w:szCs w:val="21"/>
                <w:lang w:eastAsia="zh-CN"/>
              </w:rPr>
              <w:t>分，最高得</w:t>
            </w:r>
            <w:r>
              <w:rPr>
                <w:rFonts w:hint="eastAsia" w:ascii="宋体" w:hAnsi="宋体" w:cs="等线"/>
                <w:kern w:val="2"/>
                <w:szCs w:val="21"/>
                <w:lang w:val="en-US" w:eastAsia="zh-CN"/>
              </w:rPr>
              <w:t>10</w:t>
            </w:r>
            <w:r>
              <w:rPr>
                <w:rFonts w:ascii="宋体" w:hAnsi="宋体" w:cs="等线"/>
                <w:kern w:val="2"/>
                <w:szCs w:val="21"/>
                <w:lang w:eastAsia="zh-CN"/>
              </w:rPr>
              <w:t xml:space="preserve">分； </w:t>
            </w:r>
          </w:p>
          <w:p w14:paraId="559C124A">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2、提供2</w:t>
            </w:r>
            <w:r>
              <w:rPr>
                <w:rFonts w:hint="eastAsia" w:ascii="宋体" w:hAnsi="宋体" w:cs="等线"/>
                <w:kern w:val="2"/>
                <w:szCs w:val="21"/>
                <w:lang w:val="en-US" w:eastAsia="zh-CN"/>
              </w:rPr>
              <w:t>0</w:t>
            </w:r>
            <w:r>
              <w:rPr>
                <w:rFonts w:ascii="宋体" w:hAnsi="宋体" w:cs="等线"/>
                <w:kern w:val="2"/>
                <w:szCs w:val="21"/>
                <w:lang w:eastAsia="zh-CN"/>
              </w:rPr>
              <w:t>个（含）~</w:t>
            </w:r>
            <w:r>
              <w:rPr>
                <w:rFonts w:hint="eastAsia" w:ascii="宋体" w:hAnsi="宋体" w:cs="等线"/>
                <w:kern w:val="2"/>
                <w:szCs w:val="21"/>
                <w:lang w:val="en-US" w:eastAsia="zh-CN"/>
              </w:rPr>
              <w:t>30</w:t>
            </w:r>
            <w:r>
              <w:rPr>
                <w:rFonts w:ascii="宋体" w:hAnsi="宋体" w:cs="等线"/>
                <w:kern w:val="2"/>
                <w:szCs w:val="21"/>
                <w:lang w:eastAsia="zh-CN"/>
              </w:rPr>
              <w:t>（不含）个点位得</w:t>
            </w:r>
            <w:r>
              <w:rPr>
                <w:rFonts w:hint="eastAsia" w:ascii="宋体" w:hAnsi="宋体" w:cs="等线"/>
                <w:kern w:val="2"/>
                <w:szCs w:val="21"/>
                <w:lang w:val="en-US" w:eastAsia="zh-CN"/>
              </w:rPr>
              <w:t>5</w:t>
            </w:r>
            <w:r>
              <w:rPr>
                <w:rFonts w:ascii="宋体" w:hAnsi="宋体" w:cs="等线"/>
                <w:kern w:val="2"/>
                <w:szCs w:val="21"/>
                <w:lang w:eastAsia="zh-CN"/>
              </w:rPr>
              <w:t>分；</w:t>
            </w:r>
          </w:p>
          <w:p w14:paraId="3F82CD33">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3、提供</w:t>
            </w:r>
            <w:r>
              <w:rPr>
                <w:rFonts w:hint="eastAsia" w:ascii="宋体" w:hAnsi="宋体" w:cs="等线"/>
                <w:kern w:val="2"/>
                <w:szCs w:val="21"/>
                <w:lang w:val="en-US" w:eastAsia="zh-CN"/>
              </w:rPr>
              <w:t>15</w:t>
            </w:r>
            <w:r>
              <w:rPr>
                <w:rFonts w:ascii="宋体" w:hAnsi="宋体" w:cs="等线"/>
                <w:kern w:val="2"/>
                <w:szCs w:val="21"/>
                <w:lang w:eastAsia="zh-CN"/>
              </w:rPr>
              <w:t>个（含）~2</w:t>
            </w:r>
            <w:r>
              <w:rPr>
                <w:rFonts w:hint="eastAsia" w:ascii="宋体" w:hAnsi="宋体" w:cs="等线"/>
                <w:kern w:val="2"/>
                <w:szCs w:val="21"/>
                <w:lang w:val="en-US" w:eastAsia="zh-CN"/>
              </w:rPr>
              <w:t>0</w:t>
            </w:r>
            <w:r>
              <w:rPr>
                <w:rFonts w:ascii="宋体" w:hAnsi="宋体" w:cs="等线"/>
                <w:kern w:val="2"/>
                <w:szCs w:val="21"/>
                <w:lang w:eastAsia="zh-CN"/>
              </w:rPr>
              <w:t>个（不含）点位得1分；</w:t>
            </w:r>
          </w:p>
          <w:p w14:paraId="03E22497">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4、提供</w:t>
            </w:r>
            <w:r>
              <w:rPr>
                <w:rFonts w:hint="eastAsia" w:ascii="宋体" w:hAnsi="宋体" w:cs="等线"/>
                <w:kern w:val="2"/>
                <w:szCs w:val="21"/>
                <w:lang w:val="en-US" w:eastAsia="zh-CN"/>
              </w:rPr>
              <w:t>15</w:t>
            </w:r>
            <w:r>
              <w:rPr>
                <w:rFonts w:ascii="宋体" w:hAnsi="宋体" w:cs="等线"/>
                <w:kern w:val="2"/>
                <w:szCs w:val="21"/>
                <w:lang w:eastAsia="zh-CN"/>
              </w:rPr>
              <w:t>个（不含）点位以下不得分。</w:t>
            </w:r>
          </w:p>
          <w:p w14:paraId="1D3E260B">
            <w:pPr>
              <w:pStyle w:val="10"/>
              <w:adjustRightInd w:val="0"/>
              <w:snapToGrid w:val="0"/>
              <w:spacing w:line="288" w:lineRule="auto"/>
              <w:ind w:firstLine="0"/>
              <w:jc w:val="left"/>
              <w:rPr>
                <w:rFonts w:ascii="宋体" w:hAnsi="宋体" w:cs="等线"/>
                <w:kern w:val="2"/>
                <w:szCs w:val="21"/>
                <w:lang w:eastAsia="zh-CN"/>
              </w:rPr>
            </w:pPr>
            <w:r>
              <w:rPr>
                <w:rFonts w:hint="eastAsia" w:ascii="宋体" w:hAnsi="宋体" w:cs="等线"/>
                <w:kern w:val="2"/>
                <w:szCs w:val="21"/>
                <w:lang w:eastAsia="zh-CN"/>
              </w:rPr>
              <w:t>备注：</w:t>
            </w:r>
            <w:r>
              <w:rPr>
                <w:rFonts w:ascii="宋体" w:hAnsi="宋体" w:cs="等线"/>
                <w:kern w:val="2"/>
                <w:szCs w:val="21"/>
                <w:lang w:eastAsia="zh-CN"/>
              </w:rPr>
              <w:t xml:space="preserve"> 1、点位高度指最高点于地面的高度差（可包含山体、建筑物等），提供满足高度要求的点位具体经纬度信息、高度组成等相关信息的清单明细、点位杆塔照片、分布图加盖公章；</w:t>
            </w:r>
          </w:p>
          <w:p w14:paraId="54FC3133">
            <w:pPr>
              <w:pStyle w:val="10"/>
              <w:adjustRightInd w:val="0"/>
              <w:snapToGrid w:val="0"/>
              <w:spacing w:line="288" w:lineRule="auto"/>
              <w:ind w:firstLine="0"/>
              <w:jc w:val="left"/>
              <w:rPr>
                <w:rFonts w:cs="等线"/>
                <w:szCs w:val="21"/>
              </w:rPr>
            </w:pPr>
            <w:r>
              <w:rPr>
                <w:rFonts w:ascii="宋体" w:hAnsi="宋体" w:cs="等线"/>
                <w:kern w:val="2"/>
                <w:szCs w:val="21"/>
                <w:lang w:eastAsia="zh-CN"/>
              </w:rPr>
              <w:t>2、投标人提供本项目所需高位杆塔资源的，须提供高位杆塔资源的自有产权承诺书或提供产权方针对本项目的使用授权书或租赁合同</w:t>
            </w:r>
            <w:r>
              <w:rPr>
                <w:rFonts w:hint="eastAsia" w:ascii="宋体" w:hAnsi="宋体" w:cs="等线"/>
                <w:kern w:val="2"/>
                <w:szCs w:val="21"/>
                <w:lang w:val="en-US" w:eastAsia="zh-CN"/>
              </w:rPr>
              <w:t>复印件</w:t>
            </w:r>
            <w:r>
              <w:rPr>
                <w:rFonts w:ascii="宋体" w:hAnsi="宋体" w:cs="等线"/>
                <w:kern w:val="2"/>
                <w:szCs w:val="21"/>
                <w:lang w:eastAsia="zh-CN"/>
              </w:rPr>
              <w:t>加盖公章。</w:t>
            </w:r>
          </w:p>
        </w:tc>
        <w:tc>
          <w:tcPr>
            <w:tcW w:w="849" w:type="dxa"/>
            <w:vAlign w:val="center"/>
          </w:tcPr>
          <w:p w14:paraId="084613C2">
            <w:pPr>
              <w:spacing w:before="120" w:beforeLines="50" w:after="120" w:afterLines="50" w:line="240" w:lineRule="auto"/>
              <w:jc w:val="center"/>
              <w:rPr>
                <w:rFonts w:cs="@宋体"/>
                <w:szCs w:val="21"/>
              </w:rPr>
            </w:pPr>
            <w:r>
              <w:rPr>
                <w:rFonts w:cs="@宋体"/>
                <w:szCs w:val="21"/>
              </w:rPr>
              <w:t>1</w:t>
            </w:r>
            <w:r>
              <w:rPr>
                <w:rFonts w:hint="eastAsia" w:cs="@宋体"/>
                <w:szCs w:val="21"/>
              </w:rPr>
              <w:t>0</w:t>
            </w:r>
          </w:p>
        </w:tc>
      </w:tr>
      <w:tr w14:paraId="2589F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0" w:type="dxa"/>
            <w:vAlign w:val="center"/>
          </w:tcPr>
          <w:p w14:paraId="558387D6">
            <w:pPr>
              <w:pStyle w:val="8"/>
              <w:numPr>
                <w:ilvl w:val="0"/>
                <w:numId w:val="1"/>
              </w:numPr>
              <w:spacing w:before="120" w:beforeLines="50" w:after="120" w:afterLines="50" w:line="240" w:lineRule="auto"/>
              <w:jc w:val="center"/>
              <w:rPr>
                <w:rFonts w:ascii="宋体" w:hAnsi="宋体" w:cs="等线"/>
                <w:szCs w:val="21"/>
              </w:rPr>
            </w:pPr>
          </w:p>
        </w:tc>
        <w:tc>
          <w:tcPr>
            <w:tcW w:w="1141" w:type="dxa"/>
            <w:vAlign w:val="center"/>
          </w:tcPr>
          <w:p w14:paraId="19C54335">
            <w:pPr>
              <w:adjustRightInd w:val="0"/>
              <w:snapToGrid w:val="0"/>
              <w:jc w:val="center"/>
              <w:rPr>
                <w:rFonts w:hint="eastAsia" w:eastAsia="宋体" w:cs="宋体"/>
                <w:lang w:eastAsia="zh-CN"/>
              </w:rPr>
            </w:pPr>
            <w:r>
              <w:rPr>
                <w:rFonts w:hint="eastAsia" w:cs="宋体"/>
              </w:rPr>
              <w:t>运维</w:t>
            </w:r>
            <w:r>
              <w:rPr>
                <w:rFonts w:hint="eastAsia" w:cs="宋体"/>
                <w:szCs w:val="21"/>
              </w:rPr>
              <w:t>服务</w:t>
            </w:r>
            <w:r>
              <w:rPr>
                <w:rFonts w:hint="eastAsia" w:cs="宋体"/>
              </w:rPr>
              <w:t>承诺</w:t>
            </w:r>
          </w:p>
        </w:tc>
        <w:tc>
          <w:tcPr>
            <w:tcW w:w="7062" w:type="dxa"/>
            <w:vAlign w:val="center"/>
          </w:tcPr>
          <w:p w14:paraId="290B79B6">
            <w:pPr>
              <w:pStyle w:val="10"/>
              <w:adjustRightInd w:val="0"/>
              <w:snapToGrid w:val="0"/>
              <w:spacing w:line="288" w:lineRule="auto"/>
              <w:ind w:firstLine="0"/>
              <w:jc w:val="left"/>
              <w:rPr>
                <w:rFonts w:ascii="宋体" w:hAnsi="宋体" w:cs="等线"/>
                <w:kern w:val="2"/>
                <w:szCs w:val="21"/>
                <w:lang w:eastAsia="zh-CN"/>
              </w:rPr>
            </w:pPr>
            <w:r>
              <w:rPr>
                <w:rFonts w:hint="eastAsia" w:ascii="宋体" w:hAnsi="宋体" w:cs="等线"/>
                <w:kern w:val="2"/>
                <w:szCs w:val="21"/>
                <w:lang w:eastAsia="zh-CN"/>
              </w:rPr>
              <w:t>【服务响应时间】</w:t>
            </w:r>
          </w:p>
          <w:p w14:paraId="7B3EA9A7">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1</w:t>
            </w:r>
            <w:r>
              <w:rPr>
                <w:rFonts w:hint="eastAsia" w:ascii="宋体" w:hAnsi="宋体" w:cs="等线"/>
                <w:kern w:val="2"/>
                <w:szCs w:val="21"/>
                <w:lang w:eastAsia="zh-CN"/>
              </w:rPr>
              <w:t>、</w:t>
            </w:r>
            <w:r>
              <w:rPr>
                <w:rFonts w:ascii="宋体" w:hAnsi="宋体" w:cs="等线"/>
                <w:kern w:val="2"/>
                <w:szCs w:val="21"/>
                <w:lang w:eastAsia="zh-CN"/>
              </w:rPr>
              <w:t>供应商承诺专业团队人员在接到相关需求后</w:t>
            </w:r>
            <w:r>
              <w:rPr>
                <w:rFonts w:hint="eastAsia" w:ascii="宋体" w:hAnsi="宋体" w:cs="等线"/>
                <w:kern w:val="2"/>
                <w:szCs w:val="21"/>
                <w:lang w:val="en-US" w:eastAsia="zh-CN"/>
              </w:rPr>
              <w:t>15</w:t>
            </w:r>
            <w:r>
              <w:rPr>
                <w:rFonts w:ascii="宋体" w:hAnsi="宋体" w:cs="等线"/>
                <w:kern w:val="2"/>
                <w:szCs w:val="21"/>
                <w:lang w:eastAsia="zh-CN"/>
              </w:rPr>
              <w:t>分钟内给予响应，</w:t>
            </w:r>
            <w:r>
              <w:rPr>
                <w:rFonts w:hint="eastAsia" w:ascii="宋体" w:hAnsi="宋体" w:cs="等线"/>
                <w:kern w:val="2"/>
                <w:szCs w:val="21"/>
                <w:lang w:val="en-US" w:eastAsia="zh-CN"/>
              </w:rPr>
              <w:t>6</w:t>
            </w:r>
            <w:r>
              <w:rPr>
                <w:rFonts w:ascii="宋体" w:hAnsi="宋体" w:cs="等线"/>
                <w:kern w:val="2"/>
                <w:szCs w:val="21"/>
                <w:lang w:eastAsia="zh-CN"/>
              </w:rPr>
              <w:t>小时内到达现场并给出处理意见，</w:t>
            </w:r>
            <w:r>
              <w:rPr>
                <w:rFonts w:hint="eastAsia" w:ascii="宋体" w:hAnsi="宋体" w:cs="等线"/>
                <w:kern w:val="2"/>
                <w:szCs w:val="21"/>
                <w:lang w:val="en-US" w:eastAsia="zh-CN"/>
              </w:rPr>
              <w:t>24</w:t>
            </w:r>
            <w:r>
              <w:rPr>
                <w:rFonts w:ascii="宋体" w:hAnsi="宋体" w:cs="等线"/>
                <w:kern w:val="2"/>
                <w:szCs w:val="21"/>
                <w:lang w:eastAsia="zh-CN"/>
              </w:rPr>
              <w:t>小时内处理完毕，得</w:t>
            </w:r>
            <w:r>
              <w:rPr>
                <w:rFonts w:hint="eastAsia" w:ascii="宋体" w:hAnsi="宋体" w:cs="等线"/>
                <w:kern w:val="2"/>
                <w:szCs w:val="21"/>
                <w:lang w:val="en-US" w:eastAsia="zh-CN"/>
              </w:rPr>
              <w:t>10</w:t>
            </w:r>
            <w:r>
              <w:rPr>
                <w:rFonts w:ascii="宋体" w:hAnsi="宋体" w:cs="等线"/>
                <w:kern w:val="2"/>
                <w:szCs w:val="21"/>
                <w:lang w:eastAsia="zh-CN"/>
              </w:rPr>
              <w:t>分；</w:t>
            </w:r>
          </w:p>
          <w:p w14:paraId="772D2DA1">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2</w:t>
            </w:r>
            <w:r>
              <w:rPr>
                <w:rFonts w:hint="eastAsia" w:ascii="宋体" w:hAnsi="宋体" w:cs="等线"/>
                <w:kern w:val="2"/>
                <w:szCs w:val="21"/>
                <w:lang w:eastAsia="zh-CN"/>
              </w:rPr>
              <w:t>、</w:t>
            </w:r>
            <w:r>
              <w:rPr>
                <w:rFonts w:ascii="宋体" w:hAnsi="宋体" w:cs="等线"/>
                <w:kern w:val="2"/>
                <w:szCs w:val="21"/>
                <w:lang w:eastAsia="zh-CN"/>
              </w:rPr>
              <w:t>供应商承诺专业团队人员在接到相关需求后</w:t>
            </w:r>
            <w:r>
              <w:rPr>
                <w:rFonts w:hint="eastAsia" w:ascii="宋体" w:hAnsi="宋体" w:cs="等线"/>
                <w:kern w:val="2"/>
                <w:szCs w:val="21"/>
                <w:lang w:val="en-US" w:eastAsia="zh-CN"/>
              </w:rPr>
              <w:t>25</w:t>
            </w:r>
            <w:r>
              <w:rPr>
                <w:rFonts w:ascii="宋体" w:hAnsi="宋体" w:cs="等线"/>
                <w:kern w:val="2"/>
                <w:szCs w:val="21"/>
                <w:lang w:eastAsia="zh-CN"/>
              </w:rPr>
              <w:t>分钟内给予响应，</w:t>
            </w:r>
            <w:r>
              <w:rPr>
                <w:rFonts w:hint="eastAsia" w:ascii="宋体" w:hAnsi="宋体" w:cs="等线"/>
                <w:kern w:val="2"/>
                <w:szCs w:val="21"/>
                <w:lang w:val="en-US" w:eastAsia="zh-CN"/>
              </w:rPr>
              <w:t>8</w:t>
            </w:r>
            <w:r>
              <w:rPr>
                <w:rFonts w:ascii="宋体" w:hAnsi="宋体" w:cs="等线"/>
                <w:kern w:val="2"/>
                <w:szCs w:val="21"/>
                <w:lang w:eastAsia="zh-CN"/>
              </w:rPr>
              <w:t>小时内到达现场并给出处理意见，</w:t>
            </w:r>
            <w:r>
              <w:rPr>
                <w:rFonts w:hint="eastAsia" w:ascii="宋体" w:hAnsi="宋体" w:cs="等线"/>
                <w:kern w:val="2"/>
                <w:szCs w:val="21"/>
                <w:lang w:val="en-US" w:eastAsia="zh-CN"/>
              </w:rPr>
              <w:t>24</w:t>
            </w:r>
            <w:r>
              <w:rPr>
                <w:rFonts w:ascii="宋体" w:hAnsi="宋体" w:cs="等线"/>
                <w:kern w:val="2"/>
                <w:szCs w:val="21"/>
                <w:lang w:eastAsia="zh-CN"/>
              </w:rPr>
              <w:t>小时内处理完毕，得</w:t>
            </w:r>
            <w:r>
              <w:rPr>
                <w:rFonts w:hint="eastAsia" w:ascii="宋体" w:hAnsi="宋体" w:cs="等线"/>
                <w:kern w:val="2"/>
                <w:szCs w:val="21"/>
                <w:lang w:val="en-US" w:eastAsia="zh-CN"/>
              </w:rPr>
              <w:t>7</w:t>
            </w:r>
            <w:r>
              <w:rPr>
                <w:rFonts w:ascii="宋体" w:hAnsi="宋体" w:cs="等线"/>
                <w:kern w:val="2"/>
                <w:szCs w:val="21"/>
                <w:lang w:eastAsia="zh-CN"/>
              </w:rPr>
              <w:t>分；</w:t>
            </w:r>
          </w:p>
          <w:p w14:paraId="391BCFB4">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3</w:t>
            </w:r>
            <w:r>
              <w:rPr>
                <w:rFonts w:hint="eastAsia" w:ascii="宋体" w:hAnsi="宋体" w:cs="等线"/>
                <w:kern w:val="2"/>
                <w:szCs w:val="21"/>
                <w:lang w:eastAsia="zh-CN"/>
              </w:rPr>
              <w:t>、</w:t>
            </w:r>
            <w:r>
              <w:rPr>
                <w:rFonts w:ascii="宋体" w:hAnsi="宋体" w:cs="等线"/>
                <w:kern w:val="2"/>
                <w:szCs w:val="21"/>
                <w:lang w:eastAsia="zh-CN"/>
              </w:rPr>
              <w:t>供应商承诺专业团队人员在接到相关需求后</w:t>
            </w:r>
            <w:r>
              <w:rPr>
                <w:rFonts w:hint="eastAsia" w:ascii="宋体" w:hAnsi="宋体" w:cs="等线"/>
                <w:kern w:val="2"/>
                <w:szCs w:val="21"/>
                <w:lang w:val="en-US" w:eastAsia="zh-CN"/>
              </w:rPr>
              <w:t>30</w:t>
            </w:r>
            <w:r>
              <w:rPr>
                <w:rFonts w:ascii="宋体" w:hAnsi="宋体" w:cs="等线"/>
                <w:kern w:val="2"/>
                <w:szCs w:val="21"/>
                <w:lang w:eastAsia="zh-CN"/>
              </w:rPr>
              <w:t>分钟内给予响应，</w:t>
            </w:r>
            <w:r>
              <w:rPr>
                <w:rFonts w:hint="eastAsia" w:ascii="宋体" w:hAnsi="宋体" w:cs="等线"/>
                <w:kern w:val="2"/>
                <w:szCs w:val="21"/>
                <w:lang w:val="en-US" w:eastAsia="zh-CN"/>
              </w:rPr>
              <w:t>10</w:t>
            </w:r>
            <w:r>
              <w:rPr>
                <w:rFonts w:ascii="宋体" w:hAnsi="宋体" w:cs="等线"/>
                <w:kern w:val="2"/>
                <w:szCs w:val="21"/>
                <w:lang w:eastAsia="zh-CN"/>
              </w:rPr>
              <w:t>小时内到达现场并给出处理意见，</w:t>
            </w:r>
            <w:r>
              <w:rPr>
                <w:rFonts w:hint="eastAsia" w:ascii="宋体" w:hAnsi="宋体" w:cs="等线"/>
                <w:kern w:val="2"/>
                <w:szCs w:val="21"/>
                <w:lang w:val="en-US" w:eastAsia="zh-CN"/>
              </w:rPr>
              <w:t>36</w:t>
            </w:r>
            <w:r>
              <w:rPr>
                <w:rFonts w:ascii="宋体" w:hAnsi="宋体" w:cs="等线"/>
                <w:kern w:val="2"/>
                <w:szCs w:val="21"/>
                <w:lang w:eastAsia="zh-CN"/>
              </w:rPr>
              <w:t>小时内处理完毕，得</w:t>
            </w:r>
            <w:r>
              <w:rPr>
                <w:rFonts w:hint="eastAsia" w:ascii="宋体" w:hAnsi="宋体" w:cs="等线"/>
                <w:kern w:val="2"/>
                <w:szCs w:val="21"/>
                <w:lang w:val="en-US" w:eastAsia="zh-CN"/>
              </w:rPr>
              <w:t>4</w:t>
            </w:r>
            <w:r>
              <w:rPr>
                <w:rFonts w:ascii="宋体" w:hAnsi="宋体" w:cs="等线"/>
                <w:kern w:val="2"/>
                <w:szCs w:val="21"/>
                <w:lang w:eastAsia="zh-CN"/>
              </w:rPr>
              <w:t>分；</w:t>
            </w:r>
          </w:p>
          <w:p w14:paraId="73DD9304">
            <w:pPr>
              <w:pStyle w:val="10"/>
              <w:adjustRightInd w:val="0"/>
              <w:snapToGrid w:val="0"/>
              <w:spacing w:line="288" w:lineRule="auto"/>
              <w:ind w:firstLine="0"/>
              <w:jc w:val="left"/>
              <w:rPr>
                <w:rFonts w:ascii="宋体" w:hAnsi="宋体" w:cs="等线"/>
                <w:kern w:val="2"/>
                <w:szCs w:val="21"/>
                <w:lang w:eastAsia="zh-CN"/>
              </w:rPr>
            </w:pPr>
            <w:r>
              <w:rPr>
                <w:rFonts w:ascii="宋体" w:hAnsi="宋体" w:cs="等线"/>
                <w:kern w:val="2"/>
                <w:szCs w:val="21"/>
                <w:lang w:eastAsia="zh-CN"/>
              </w:rPr>
              <w:t>4</w:t>
            </w:r>
            <w:r>
              <w:rPr>
                <w:rFonts w:hint="eastAsia" w:ascii="宋体" w:hAnsi="宋体" w:cs="等线"/>
                <w:kern w:val="2"/>
                <w:szCs w:val="21"/>
                <w:lang w:eastAsia="zh-CN"/>
              </w:rPr>
              <w:t>、</w:t>
            </w:r>
            <w:r>
              <w:rPr>
                <w:rFonts w:ascii="宋体" w:hAnsi="宋体" w:cs="等线"/>
                <w:kern w:val="2"/>
                <w:szCs w:val="21"/>
                <w:lang w:eastAsia="zh-CN"/>
              </w:rPr>
              <w:t>供应商承诺专业团队人员在接到相关需求后</w:t>
            </w:r>
            <w:r>
              <w:rPr>
                <w:rFonts w:hint="eastAsia" w:ascii="宋体" w:hAnsi="宋体" w:cs="等线"/>
                <w:kern w:val="2"/>
                <w:szCs w:val="21"/>
                <w:lang w:val="en-US" w:eastAsia="zh-CN"/>
              </w:rPr>
              <w:t>30</w:t>
            </w:r>
            <w:r>
              <w:rPr>
                <w:rFonts w:ascii="宋体" w:hAnsi="宋体" w:cs="等线"/>
                <w:kern w:val="2"/>
                <w:szCs w:val="21"/>
                <w:lang w:eastAsia="zh-CN"/>
              </w:rPr>
              <w:t>分钟内给予响应，</w:t>
            </w:r>
            <w:r>
              <w:rPr>
                <w:rFonts w:hint="eastAsia" w:ascii="宋体" w:hAnsi="宋体" w:cs="等线"/>
                <w:kern w:val="2"/>
                <w:szCs w:val="21"/>
                <w:lang w:val="en-US" w:eastAsia="zh-CN"/>
              </w:rPr>
              <w:t>12</w:t>
            </w:r>
            <w:r>
              <w:rPr>
                <w:rFonts w:ascii="宋体" w:hAnsi="宋体" w:cs="等线"/>
                <w:kern w:val="2"/>
                <w:szCs w:val="21"/>
                <w:lang w:eastAsia="zh-CN"/>
              </w:rPr>
              <w:t>小时内到达现场并给出处理意见，</w:t>
            </w:r>
            <w:r>
              <w:rPr>
                <w:rFonts w:hint="eastAsia" w:ascii="宋体" w:hAnsi="宋体" w:cs="等线"/>
                <w:kern w:val="2"/>
                <w:szCs w:val="21"/>
                <w:lang w:val="en-US" w:eastAsia="zh-CN"/>
              </w:rPr>
              <w:t>48</w:t>
            </w:r>
            <w:r>
              <w:rPr>
                <w:rFonts w:ascii="宋体" w:hAnsi="宋体" w:cs="等线"/>
                <w:kern w:val="2"/>
                <w:szCs w:val="21"/>
                <w:lang w:eastAsia="zh-CN"/>
              </w:rPr>
              <w:t>小时内处理完毕，得</w:t>
            </w:r>
            <w:r>
              <w:rPr>
                <w:rFonts w:hint="eastAsia" w:ascii="宋体" w:hAnsi="宋体" w:cs="等线"/>
                <w:kern w:val="2"/>
                <w:szCs w:val="21"/>
                <w:lang w:val="en-US" w:eastAsia="zh-CN"/>
              </w:rPr>
              <w:t>1</w:t>
            </w:r>
            <w:r>
              <w:rPr>
                <w:rFonts w:ascii="宋体" w:hAnsi="宋体" w:cs="等线"/>
                <w:kern w:val="2"/>
                <w:szCs w:val="21"/>
                <w:lang w:eastAsia="zh-CN"/>
              </w:rPr>
              <w:t>分</w:t>
            </w:r>
            <w:r>
              <w:rPr>
                <w:rFonts w:hint="eastAsia" w:ascii="宋体" w:hAnsi="宋体" w:cs="等线"/>
                <w:kern w:val="2"/>
                <w:szCs w:val="21"/>
                <w:lang w:eastAsia="zh-CN"/>
              </w:rPr>
              <w:t>，</w:t>
            </w:r>
            <w:r>
              <w:rPr>
                <w:rFonts w:ascii="宋体" w:hAnsi="宋体" w:cs="等线"/>
                <w:kern w:val="2"/>
                <w:szCs w:val="21"/>
                <w:lang w:eastAsia="zh-CN"/>
              </w:rPr>
              <w:t>低于此要求的承诺不得分。</w:t>
            </w:r>
          </w:p>
        </w:tc>
        <w:tc>
          <w:tcPr>
            <w:tcW w:w="849" w:type="dxa"/>
            <w:vAlign w:val="center"/>
          </w:tcPr>
          <w:p w14:paraId="5EE56861">
            <w:pPr>
              <w:spacing w:before="120" w:beforeLines="50" w:after="120" w:afterLines="50" w:line="240" w:lineRule="auto"/>
              <w:jc w:val="center"/>
              <w:rPr>
                <w:rFonts w:cs="@宋体"/>
                <w:szCs w:val="21"/>
              </w:rPr>
            </w:pPr>
            <w:r>
              <w:rPr>
                <w:rFonts w:hint="eastAsia" w:cs="@宋体"/>
                <w:szCs w:val="21"/>
              </w:rPr>
              <w:t>1</w:t>
            </w:r>
            <w:r>
              <w:rPr>
                <w:rFonts w:cs="@宋体"/>
                <w:szCs w:val="21"/>
              </w:rPr>
              <w:t>0</w:t>
            </w:r>
          </w:p>
        </w:tc>
      </w:tr>
      <w:tr w14:paraId="243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10" w:type="dxa"/>
            <w:vAlign w:val="center"/>
          </w:tcPr>
          <w:p w14:paraId="766AE17E">
            <w:pPr>
              <w:pStyle w:val="8"/>
              <w:numPr>
                <w:ilvl w:val="0"/>
                <w:numId w:val="1"/>
              </w:numPr>
              <w:spacing w:before="120" w:beforeLines="50" w:after="120" w:afterLines="50" w:line="240" w:lineRule="auto"/>
              <w:jc w:val="center"/>
              <w:rPr>
                <w:rFonts w:ascii="宋体" w:hAnsi="宋体" w:cs="等线"/>
                <w:szCs w:val="21"/>
              </w:rPr>
            </w:pPr>
          </w:p>
        </w:tc>
        <w:tc>
          <w:tcPr>
            <w:tcW w:w="1141" w:type="dxa"/>
            <w:vAlign w:val="center"/>
          </w:tcPr>
          <w:p w14:paraId="658E6DE1">
            <w:pPr>
              <w:spacing w:line="240" w:lineRule="auto"/>
              <w:jc w:val="center"/>
              <w:rPr>
                <w:rFonts w:hint="eastAsia" w:eastAsia="宋体" w:cs="宋体"/>
                <w:lang w:eastAsia="zh-CN"/>
              </w:rPr>
            </w:pPr>
            <w:r>
              <w:rPr>
                <w:rFonts w:hint="eastAsia" w:cs="宋体"/>
                <w:lang w:eastAsia="zh-Hans"/>
              </w:rPr>
              <w:t>诚信记录</w:t>
            </w:r>
          </w:p>
        </w:tc>
        <w:tc>
          <w:tcPr>
            <w:tcW w:w="7062" w:type="dxa"/>
            <w:vAlign w:val="center"/>
          </w:tcPr>
          <w:p w14:paraId="7FFCB6B7">
            <w:pPr>
              <w:pStyle w:val="10"/>
              <w:adjustRightInd w:val="0"/>
              <w:snapToGrid w:val="0"/>
              <w:spacing w:line="288" w:lineRule="auto"/>
              <w:ind w:firstLine="0"/>
              <w:jc w:val="left"/>
              <w:rPr>
                <w:rFonts w:ascii="宋体" w:hAnsi="宋体" w:cs="等线"/>
                <w:kern w:val="2"/>
                <w:szCs w:val="21"/>
                <w:lang w:eastAsia="zh-CN"/>
              </w:rPr>
            </w:pPr>
            <w:r>
              <w:rPr>
                <w:rFonts w:hint="eastAsia" w:ascii="宋体" w:hAnsi="宋体" w:cs="等线"/>
                <w:kern w:val="2"/>
                <w:szCs w:val="21"/>
                <w:lang w:eastAsia="zh-CN"/>
              </w:rPr>
              <w:t>根据《关于加强珠海市政府采购供应商诚信管理有关事项的通知》（珠财采通〔</w:t>
            </w:r>
            <w:r>
              <w:rPr>
                <w:rFonts w:ascii="宋体" w:hAnsi="宋体" w:cs="等线"/>
                <w:kern w:val="2"/>
                <w:szCs w:val="21"/>
                <w:lang w:eastAsia="zh-CN"/>
              </w:rPr>
              <w:t>2022〕20号）要求，对供应商诚信记录得分进行评分，计算方式如下：</w:t>
            </w:r>
          </w:p>
          <w:p w14:paraId="2B56AE87">
            <w:pPr>
              <w:pStyle w:val="10"/>
              <w:adjustRightInd w:val="0"/>
              <w:snapToGrid w:val="0"/>
              <w:spacing w:line="288" w:lineRule="auto"/>
              <w:ind w:firstLine="0"/>
              <w:jc w:val="left"/>
              <w:rPr>
                <w:rFonts w:ascii="宋体" w:hAnsi="宋体" w:cs="等线"/>
                <w:kern w:val="2"/>
                <w:szCs w:val="21"/>
                <w:lang w:eastAsia="zh-CN"/>
              </w:rPr>
            </w:pPr>
            <w:r>
              <w:rPr>
                <w:rFonts w:hint="eastAsia" w:ascii="宋体" w:hAnsi="宋体" w:cs="等线"/>
                <w:kern w:val="2"/>
                <w:szCs w:val="21"/>
                <w:lang w:eastAsia="zh-CN"/>
              </w:rPr>
              <w:t>评审因素得分</w:t>
            </w:r>
            <w:r>
              <w:rPr>
                <w:rFonts w:ascii="宋体" w:hAnsi="宋体" w:cs="等线"/>
                <w:kern w:val="2"/>
                <w:szCs w:val="21"/>
                <w:lang w:eastAsia="zh-CN"/>
              </w:rPr>
              <w:t>=诚信记录得分×5%</w:t>
            </w:r>
          </w:p>
          <w:p w14:paraId="511803B2">
            <w:pPr>
              <w:pStyle w:val="10"/>
              <w:adjustRightInd w:val="0"/>
              <w:snapToGrid w:val="0"/>
              <w:spacing w:line="288" w:lineRule="auto"/>
              <w:ind w:firstLine="0"/>
              <w:jc w:val="left"/>
              <w:rPr>
                <w:rFonts w:ascii="宋体" w:hAnsi="宋体" w:cs="等线"/>
                <w:kern w:val="2"/>
                <w:szCs w:val="21"/>
                <w:lang w:eastAsia="zh-CN"/>
              </w:rPr>
            </w:pPr>
            <w:r>
              <w:rPr>
                <w:rFonts w:hint="eastAsia" w:ascii="宋体" w:hAnsi="宋体" w:cs="等线"/>
                <w:kern w:val="2"/>
                <w:szCs w:val="21"/>
                <w:lang w:eastAsia="zh-CN"/>
              </w:rPr>
              <w:t>注：以采购代理机构在评审活动开始前，通过广东政府采购网“其他监管检查公告”栏和珠海市财政局网站“信用财政”栏查询投标（响应）供应商诚信状况，提供给评审委员会，由评审委员会根据招标采购文件的规定进行评审。如系统中查询不到相关供应商扣分记录的，视为该供应商年度记录得分为</w:t>
            </w:r>
            <w:r>
              <w:rPr>
                <w:rFonts w:ascii="宋体" w:hAnsi="宋体" w:cs="等线"/>
                <w:kern w:val="2"/>
                <w:szCs w:val="21"/>
                <w:lang w:eastAsia="zh-CN"/>
              </w:rPr>
              <w:t>100分。</w:t>
            </w:r>
          </w:p>
        </w:tc>
        <w:tc>
          <w:tcPr>
            <w:tcW w:w="849" w:type="dxa"/>
            <w:vAlign w:val="center"/>
          </w:tcPr>
          <w:p w14:paraId="073DE94A">
            <w:pPr>
              <w:spacing w:before="120" w:beforeLines="50" w:after="120" w:afterLines="50" w:line="240" w:lineRule="auto"/>
              <w:jc w:val="center"/>
              <w:rPr>
                <w:rFonts w:cs="@宋体"/>
                <w:szCs w:val="21"/>
              </w:rPr>
            </w:pPr>
            <w:r>
              <w:rPr>
                <w:rFonts w:hint="eastAsia" w:cs="@宋体"/>
                <w:szCs w:val="21"/>
              </w:rPr>
              <w:t>5</w:t>
            </w:r>
          </w:p>
        </w:tc>
      </w:tr>
      <w:bookmarkEnd w:id="2"/>
    </w:tbl>
    <w:p w14:paraId="71BDADC4">
      <w:pPr>
        <w:ind w:firstLine="0" w:firstLineChars="0"/>
        <w:jc w:val="left"/>
        <w:outlineLvl w:val="3"/>
        <w:rPr>
          <w:rFonts w:cs="Futura-Heavy"/>
          <w:b/>
          <w:bCs/>
          <w:kern w:val="0"/>
          <w:szCs w:val="21"/>
        </w:rPr>
      </w:pPr>
      <w:bookmarkStart w:id="3" w:name="_Toc6322231"/>
      <w:bookmarkStart w:id="4" w:name="_Toc67046847"/>
      <w:r>
        <w:rPr>
          <w:rFonts w:hint="eastAsia" w:cs="Futura-Heavy"/>
          <w:b/>
          <w:bCs/>
          <w:kern w:val="0"/>
          <w:szCs w:val="21"/>
        </w:rPr>
        <w:t>技术评分细则表（40分）</w:t>
      </w:r>
      <w:bookmarkEnd w:id="3"/>
      <w:bookmarkEnd w:id="4"/>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42"/>
        <w:gridCol w:w="7099"/>
        <w:gridCol w:w="869"/>
      </w:tblGrid>
      <w:tr w14:paraId="34AE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852" w:type="dxa"/>
            <w:vAlign w:val="center"/>
          </w:tcPr>
          <w:p w14:paraId="1CC74AF3">
            <w:pPr>
              <w:spacing w:before="120" w:beforeLines="50" w:after="120" w:afterLines="50" w:line="240" w:lineRule="auto"/>
              <w:jc w:val="center"/>
              <w:rPr>
                <w:rFonts w:cs="等线"/>
                <w:b/>
                <w:szCs w:val="21"/>
              </w:rPr>
            </w:pPr>
            <w:bookmarkStart w:id="5" w:name="_Hlk89442205"/>
            <w:r>
              <w:rPr>
                <w:rFonts w:hint="eastAsia" w:cs="等线"/>
                <w:b/>
                <w:szCs w:val="21"/>
              </w:rPr>
              <w:t>序号</w:t>
            </w:r>
          </w:p>
        </w:tc>
        <w:tc>
          <w:tcPr>
            <w:tcW w:w="1142" w:type="dxa"/>
            <w:vAlign w:val="center"/>
          </w:tcPr>
          <w:p w14:paraId="251D7913">
            <w:pPr>
              <w:spacing w:before="120" w:beforeLines="50" w:after="120" w:afterLines="50" w:line="240" w:lineRule="auto"/>
              <w:jc w:val="center"/>
              <w:rPr>
                <w:rFonts w:cs="等线"/>
                <w:b/>
                <w:szCs w:val="21"/>
              </w:rPr>
            </w:pPr>
            <w:r>
              <w:rPr>
                <w:rFonts w:hint="eastAsia" w:cs="等线"/>
                <w:b/>
                <w:szCs w:val="21"/>
              </w:rPr>
              <w:t>评审因素</w:t>
            </w:r>
          </w:p>
        </w:tc>
        <w:tc>
          <w:tcPr>
            <w:tcW w:w="7099" w:type="dxa"/>
            <w:vAlign w:val="center"/>
          </w:tcPr>
          <w:p w14:paraId="1577A1BD">
            <w:pPr>
              <w:spacing w:before="120" w:beforeLines="50" w:after="120" w:afterLines="50" w:line="240" w:lineRule="auto"/>
              <w:jc w:val="center"/>
              <w:rPr>
                <w:rFonts w:cs="等线"/>
                <w:b/>
                <w:szCs w:val="21"/>
              </w:rPr>
            </w:pPr>
            <w:r>
              <w:rPr>
                <w:rFonts w:hint="eastAsia" w:cs="等线"/>
                <w:b/>
                <w:szCs w:val="21"/>
              </w:rPr>
              <w:t>评审标准</w:t>
            </w:r>
          </w:p>
        </w:tc>
        <w:tc>
          <w:tcPr>
            <w:tcW w:w="869" w:type="dxa"/>
            <w:vAlign w:val="center"/>
          </w:tcPr>
          <w:p w14:paraId="5F804FC7">
            <w:pPr>
              <w:spacing w:before="120" w:beforeLines="50" w:after="120" w:afterLines="50" w:line="240" w:lineRule="auto"/>
              <w:jc w:val="center"/>
              <w:rPr>
                <w:rFonts w:cs="等线"/>
                <w:b/>
                <w:szCs w:val="21"/>
              </w:rPr>
            </w:pPr>
            <w:r>
              <w:rPr>
                <w:rFonts w:hint="eastAsia" w:cs="等线"/>
                <w:b/>
                <w:szCs w:val="21"/>
              </w:rPr>
              <w:t>分值（分）</w:t>
            </w:r>
          </w:p>
        </w:tc>
      </w:tr>
      <w:tr w14:paraId="6170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852" w:type="dxa"/>
            <w:vAlign w:val="center"/>
          </w:tcPr>
          <w:p w14:paraId="261EFCFE">
            <w:pPr>
              <w:pStyle w:val="11"/>
              <w:widowControl w:val="0"/>
              <w:numPr>
                <w:ilvl w:val="0"/>
                <w:numId w:val="2"/>
              </w:numPr>
              <w:spacing w:before="120" w:beforeLines="50" w:after="120" w:afterLines="50" w:line="240" w:lineRule="auto"/>
              <w:ind w:firstLineChars="0"/>
              <w:jc w:val="center"/>
              <w:rPr>
                <w:rFonts w:ascii="宋体" w:hAnsi="宋体" w:eastAsia="宋体" w:cs="等线"/>
                <w:sz w:val="21"/>
                <w:szCs w:val="21"/>
              </w:rPr>
            </w:pPr>
          </w:p>
        </w:tc>
        <w:tc>
          <w:tcPr>
            <w:tcW w:w="1142" w:type="dxa"/>
            <w:vAlign w:val="center"/>
          </w:tcPr>
          <w:p w14:paraId="243E3D0F">
            <w:pPr>
              <w:spacing w:line="240" w:lineRule="auto"/>
              <w:jc w:val="center"/>
              <w:rPr>
                <w:rFonts w:cs="Wingdings"/>
                <w:highlight w:val="none"/>
              </w:rPr>
            </w:pPr>
            <w:r>
              <w:rPr>
                <w:rFonts w:hint="eastAsia" w:cs="Wingdings"/>
                <w:highlight w:val="none"/>
              </w:rPr>
              <w:t>重要技术条款响应情况</w:t>
            </w:r>
          </w:p>
        </w:tc>
        <w:tc>
          <w:tcPr>
            <w:tcW w:w="7099" w:type="dxa"/>
            <w:vAlign w:val="center"/>
          </w:tcPr>
          <w:p w14:paraId="5F838EF8">
            <w:pPr>
              <w:adjustRightInd w:val="0"/>
              <w:snapToGrid w:val="0"/>
              <w:spacing w:line="288" w:lineRule="auto"/>
              <w:jc w:val="left"/>
              <w:rPr>
                <w:rFonts w:cs="Wingdings"/>
                <w:highlight w:val="none"/>
              </w:rPr>
            </w:pPr>
            <w:r>
              <w:rPr>
                <w:rFonts w:hint="eastAsia" w:cs="Wingdings"/>
                <w:highlight w:val="none"/>
              </w:rPr>
              <w:t>根据</w:t>
            </w:r>
            <w:r>
              <w:rPr>
                <w:rFonts w:ascii="宋体" w:hAnsi="宋体" w:cs="等线"/>
                <w:kern w:val="2"/>
                <w:szCs w:val="21"/>
                <w:highlight w:val="none"/>
                <w:lang w:eastAsia="zh-CN"/>
              </w:rPr>
              <w:t>供应商</w:t>
            </w:r>
            <w:r>
              <w:rPr>
                <w:rFonts w:hint="eastAsia" w:cs="Wingdings"/>
                <w:highlight w:val="none"/>
              </w:rPr>
              <w:t>对</w:t>
            </w:r>
            <w:r>
              <w:rPr>
                <w:rFonts w:hint="eastAsia" w:cs="Wingdings"/>
                <w:highlight w:val="none"/>
                <w:lang w:val="en-US" w:eastAsia="zh-CN"/>
              </w:rPr>
              <w:t>项目需求书</w:t>
            </w:r>
            <w:r>
              <w:rPr>
                <w:rFonts w:hint="eastAsia" w:cs="Wingdings"/>
                <w:highlight w:val="none"/>
              </w:rPr>
              <w:t>中标注“▲”条款的响应情况进行综合评分，完全满足或优于</w:t>
            </w:r>
            <w:r>
              <w:rPr>
                <w:rFonts w:hint="eastAsia" w:cs="Wingdings"/>
                <w:highlight w:val="none"/>
                <w:lang w:val="en-US" w:eastAsia="zh-CN"/>
              </w:rPr>
              <w:t>项目需求书</w:t>
            </w:r>
            <w:r>
              <w:rPr>
                <w:rFonts w:hint="eastAsia" w:cs="Wingdings"/>
                <w:highlight w:val="none"/>
              </w:rPr>
              <w:t>要求的，得</w:t>
            </w:r>
            <w:r>
              <w:rPr>
                <w:rFonts w:cs="Wingdings"/>
                <w:highlight w:val="none"/>
              </w:rPr>
              <w:t>5分；每有一项负偏离或未响应扣1分，扣完为止。（5条）</w:t>
            </w:r>
          </w:p>
          <w:p w14:paraId="6C1BE14F">
            <w:pPr>
              <w:adjustRightInd w:val="0"/>
              <w:snapToGrid w:val="0"/>
              <w:spacing w:line="288" w:lineRule="auto"/>
              <w:jc w:val="left"/>
              <w:rPr>
                <w:rFonts w:cs="Wingdings"/>
                <w:highlight w:val="none"/>
              </w:rPr>
            </w:pPr>
            <w:r>
              <w:rPr>
                <w:rFonts w:hint="eastAsia" w:cs="Wingdings"/>
                <w:highlight w:val="none"/>
              </w:rPr>
              <w:t>注：如采购需求中有明确要求提供证明材料的，则以采购需求要求的为准；如采购需求中无明确要求提供证明材料的，则以投标文件中的《</w:t>
            </w:r>
            <w:r>
              <w:rPr>
                <w:rFonts w:hint="eastAsia" w:ascii="宋体" w:hAnsi="宋体" w:eastAsia="宋体" w:cs="Wingdings"/>
                <w:b w:val="0"/>
                <w:sz w:val="21"/>
                <w:szCs w:val="24"/>
                <w:highlight w:val="none"/>
              </w:rPr>
              <w:t>技术和服务要求响应表</w:t>
            </w:r>
            <w:r>
              <w:rPr>
                <w:rFonts w:hint="eastAsia" w:cs="Wingdings"/>
                <w:highlight w:val="none"/>
              </w:rPr>
              <w:t>》中的响应情况填写内容为准，参数不满足的视为负偏离。</w:t>
            </w:r>
          </w:p>
        </w:tc>
        <w:tc>
          <w:tcPr>
            <w:tcW w:w="869" w:type="dxa"/>
            <w:vAlign w:val="center"/>
          </w:tcPr>
          <w:p w14:paraId="4F9802DF">
            <w:pPr>
              <w:spacing w:before="120" w:beforeLines="50" w:after="120" w:afterLines="50" w:line="240" w:lineRule="auto"/>
              <w:jc w:val="center"/>
              <w:rPr>
                <w:szCs w:val="21"/>
              </w:rPr>
            </w:pPr>
            <w:r>
              <w:rPr>
                <w:rFonts w:hint="eastAsia"/>
                <w:szCs w:val="21"/>
              </w:rPr>
              <w:t>5</w:t>
            </w:r>
          </w:p>
        </w:tc>
      </w:tr>
      <w:tr w14:paraId="4189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 w:type="dxa"/>
            <w:vAlign w:val="center"/>
          </w:tcPr>
          <w:p w14:paraId="632DB3BC">
            <w:pPr>
              <w:pStyle w:val="11"/>
              <w:widowControl w:val="0"/>
              <w:numPr>
                <w:ilvl w:val="0"/>
                <w:numId w:val="2"/>
              </w:numPr>
              <w:spacing w:before="120" w:beforeLines="50" w:after="120" w:afterLines="50" w:line="240" w:lineRule="auto"/>
              <w:ind w:firstLineChars="0"/>
              <w:jc w:val="center"/>
              <w:rPr>
                <w:rFonts w:ascii="宋体" w:hAnsi="宋体" w:eastAsia="宋体" w:cs="等线"/>
                <w:sz w:val="21"/>
                <w:szCs w:val="21"/>
              </w:rPr>
            </w:pPr>
          </w:p>
        </w:tc>
        <w:tc>
          <w:tcPr>
            <w:tcW w:w="1142" w:type="dxa"/>
            <w:vAlign w:val="center"/>
          </w:tcPr>
          <w:p w14:paraId="0D6014AC">
            <w:pPr>
              <w:spacing w:line="240" w:lineRule="auto"/>
              <w:jc w:val="center"/>
              <w:rPr>
                <w:rFonts w:cs="Wingdings"/>
                <w:szCs w:val="21"/>
              </w:rPr>
            </w:pPr>
            <w:r>
              <w:rPr>
                <w:rFonts w:hint="eastAsia" w:cs="Wingdings"/>
              </w:rPr>
              <w:t>技术方案</w:t>
            </w:r>
          </w:p>
        </w:tc>
        <w:tc>
          <w:tcPr>
            <w:tcW w:w="7099" w:type="dxa"/>
            <w:vAlign w:val="center"/>
          </w:tcPr>
          <w:p w14:paraId="6286D409">
            <w:pPr>
              <w:adjustRightInd w:val="0"/>
              <w:snapToGrid w:val="0"/>
              <w:spacing w:line="288" w:lineRule="auto"/>
              <w:jc w:val="left"/>
              <w:rPr>
                <w:rFonts w:cs="Wingdings"/>
              </w:rPr>
            </w:pPr>
            <w:r>
              <w:rPr>
                <w:rFonts w:hint="eastAsia" w:cs="Wingdings"/>
              </w:rPr>
              <w:t>根据供应商针对本项目所提供的技术方案作为评审依据。</w:t>
            </w:r>
          </w:p>
          <w:p w14:paraId="0DB96944">
            <w:pPr>
              <w:adjustRightInd w:val="0"/>
              <w:snapToGrid w:val="0"/>
              <w:spacing w:line="288" w:lineRule="auto"/>
              <w:jc w:val="left"/>
              <w:rPr>
                <w:rFonts w:cs="Wingdings"/>
              </w:rPr>
            </w:pPr>
            <w:r>
              <w:rPr>
                <w:rFonts w:cs="Wingdings"/>
              </w:rPr>
              <w:t>1、对项目目标及需求分析理解透彻，技术方案先进、合理，充分满足项目需求得10分；</w:t>
            </w:r>
          </w:p>
          <w:p w14:paraId="2A063A12">
            <w:pPr>
              <w:adjustRightInd w:val="0"/>
              <w:snapToGrid w:val="0"/>
              <w:spacing w:line="288" w:lineRule="auto"/>
              <w:jc w:val="left"/>
              <w:rPr>
                <w:rFonts w:cs="Wingdings"/>
              </w:rPr>
            </w:pPr>
            <w:r>
              <w:rPr>
                <w:rFonts w:cs="Wingdings"/>
              </w:rPr>
              <w:t>2、对项目目标及需求分析较为透彻，技术方案较合理，基本满足项目需求得7分；</w:t>
            </w:r>
          </w:p>
          <w:p w14:paraId="0A700A6B">
            <w:pPr>
              <w:adjustRightInd w:val="0"/>
              <w:snapToGrid w:val="0"/>
              <w:spacing w:line="288" w:lineRule="auto"/>
              <w:jc w:val="left"/>
              <w:rPr>
                <w:rFonts w:cs="Wingdings"/>
              </w:rPr>
            </w:pPr>
            <w:r>
              <w:rPr>
                <w:rFonts w:cs="Wingdings"/>
              </w:rPr>
              <w:t>3、对项目目标及需求分析理解一般，技术方案可行，基本满足项目要求得4分。</w:t>
            </w:r>
          </w:p>
          <w:p w14:paraId="568F0BB1">
            <w:pPr>
              <w:rPr>
                <w:rFonts w:cs="Wingdings"/>
              </w:rPr>
            </w:pPr>
            <w:r>
              <w:rPr>
                <w:rFonts w:cs="Wingdings"/>
              </w:rPr>
              <w:t>4、对项目目标及需求分析理解错误，技术方案可行性较差，无法满足项目要求或不提供方案得0分。</w:t>
            </w:r>
          </w:p>
        </w:tc>
        <w:tc>
          <w:tcPr>
            <w:tcW w:w="869" w:type="dxa"/>
            <w:vAlign w:val="center"/>
          </w:tcPr>
          <w:p w14:paraId="70A87D79">
            <w:pPr>
              <w:spacing w:before="120" w:beforeLines="50" w:after="120" w:afterLines="50" w:line="240" w:lineRule="auto"/>
              <w:jc w:val="center"/>
              <w:rPr>
                <w:szCs w:val="21"/>
              </w:rPr>
            </w:pPr>
            <w:r>
              <w:rPr>
                <w:szCs w:val="21"/>
              </w:rPr>
              <w:t>10</w:t>
            </w:r>
          </w:p>
        </w:tc>
      </w:tr>
      <w:tr w14:paraId="72925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 w:type="dxa"/>
            <w:vAlign w:val="center"/>
          </w:tcPr>
          <w:p w14:paraId="55E09100">
            <w:pPr>
              <w:pStyle w:val="11"/>
              <w:widowControl w:val="0"/>
              <w:numPr>
                <w:ilvl w:val="0"/>
                <w:numId w:val="2"/>
              </w:numPr>
              <w:spacing w:before="120" w:beforeLines="50" w:after="120" w:afterLines="50" w:line="240" w:lineRule="auto"/>
              <w:ind w:firstLineChars="0"/>
              <w:jc w:val="center"/>
              <w:rPr>
                <w:rFonts w:ascii="宋体" w:hAnsi="宋体" w:eastAsia="宋体" w:cs="等线"/>
                <w:sz w:val="21"/>
                <w:szCs w:val="21"/>
              </w:rPr>
            </w:pPr>
          </w:p>
        </w:tc>
        <w:tc>
          <w:tcPr>
            <w:tcW w:w="1142" w:type="dxa"/>
            <w:vAlign w:val="center"/>
          </w:tcPr>
          <w:p w14:paraId="2AAC0904">
            <w:pPr>
              <w:spacing w:line="240" w:lineRule="auto"/>
              <w:jc w:val="center"/>
              <w:rPr>
                <w:szCs w:val="21"/>
              </w:rPr>
            </w:pPr>
            <w:r>
              <w:rPr>
                <w:rFonts w:hint="eastAsia" w:cs="Wingdings"/>
              </w:rPr>
              <w:t>运维服务方案</w:t>
            </w:r>
          </w:p>
        </w:tc>
        <w:tc>
          <w:tcPr>
            <w:tcW w:w="7099" w:type="dxa"/>
            <w:vAlign w:val="center"/>
          </w:tcPr>
          <w:p w14:paraId="6F5F9451">
            <w:pPr>
              <w:adjustRightInd w:val="0"/>
              <w:snapToGrid w:val="0"/>
              <w:spacing w:line="288" w:lineRule="auto"/>
              <w:jc w:val="left"/>
              <w:rPr>
                <w:rFonts w:cs="Wingdings"/>
              </w:rPr>
            </w:pPr>
            <w:r>
              <w:rPr>
                <w:rFonts w:hint="eastAsia" w:cs="Wingdings"/>
              </w:rPr>
              <w:t>根据供应商的运维服务方案（包括但不限于：定期检查措施、质量保障措施、</w:t>
            </w:r>
            <w:r>
              <w:rPr>
                <w:rFonts w:hint="eastAsia" w:cs="Wingdings"/>
                <w:highlight w:val="none"/>
              </w:rPr>
              <w:t>应急响应措施</w:t>
            </w:r>
            <w:r>
              <w:rPr>
                <w:rFonts w:hint="eastAsia" w:cs="Wingdings"/>
              </w:rPr>
              <w:t>等）进行评分：</w:t>
            </w:r>
          </w:p>
          <w:p w14:paraId="340E113E">
            <w:pPr>
              <w:adjustRightInd w:val="0"/>
              <w:snapToGrid w:val="0"/>
              <w:spacing w:line="288" w:lineRule="auto"/>
              <w:jc w:val="left"/>
              <w:rPr>
                <w:rFonts w:cs="Wingdings"/>
              </w:rPr>
            </w:pPr>
            <w:r>
              <w:rPr>
                <w:rFonts w:cs="Wingdings"/>
              </w:rPr>
              <w:t>1、运维服务方案详细完善，质量保障措施可行性和针对性强，应急响应和定期检查措施科学合理的，得10分；</w:t>
            </w:r>
          </w:p>
          <w:p w14:paraId="203AD393">
            <w:pPr>
              <w:adjustRightInd w:val="0"/>
              <w:snapToGrid w:val="0"/>
              <w:spacing w:line="288" w:lineRule="auto"/>
              <w:jc w:val="left"/>
              <w:rPr>
                <w:rFonts w:cs="Wingdings"/>
              </w:rPr>
            </w:pPr>
            <w:r>
              <w:rPr>
                <w:rFonts w:cs="Wingdings"/>
              </w:rPr>
              <w:t>2、运维服务方案完整，质量保障措施具备可行性和针对性，应急响应和定期检查措施合理的，得7分；</w:t>
            </w:r>
          </w:p>
          <w:p w14:paraId="4957926C">
            <w:pPr>
              <w:adjustRightInd w:val="0"/>
              <w:snapToGrid w:val="0"/>
              <w:spacing w:line="288" w:lineRule="auto"/>
              <w:jc w:val="left"/>
              <w:rPr>
                <w:rFonts w:cs="Wingdings"/>
              </w:rPr>
            </w:pPr>
            <w:r>
              <w:rPr>
                <w:rFonts w:cs="Wingdings"/>
              </w:rPr>
              <w:t>3、运维服务方案完整性一般，质量保障措施可行性一般，应急响应和定期检查措施较合理，得4分；</w:t>
            </w:r>
          </w:p>
          <w:p w14:paraId="592914D1">
            <w:pPr>
              <w:rPr>
                <w:rFonts w:cs="Wingdings"/>
              </w:rPr>
            </w:pPr>
            <w:r>
              <w:rPr>
                <w:rFonts w:cs="Wingdings"/>
              </w:rPr>
              <w:t>4、运维服务方案不够完整，质量保障措施缺乏可行性，应急响应和定期检查措施难以满足采购需求或未提供方案的，得0分。</w:t>
            </w:r>
          </w:p>
        </w:tc>
        <w:tc>
          <w:tcPr>
            <w:tcW w:w="869" w:type="dxa"/>
            <w:vAlign w:val="center"/>
          </w:tcPr>
          <w:p w14:paraId="4B343BE1">
            <w:pPr>
              <w:spacing w:before="120" w:beforeLines="50" w:after="120" w:afterLines="50" w:line="240" w:lineRule="auto"/>
              <w:jc w:val="center"/>
              <w:rPr>
                <w:rFonts w:cs="等线"/>
                <w:szCs w:val="21"/>
              </w:rPr>
            </w:pPr>
            <w:r>
              <w:rPr>
                <w:rFonts w:hint="eastAsia" w:cs="等线"/>
                <w:szCs w:val="21"/>
              </w:rPr>
              <w:t>10</w:t>
            </w:r>
          </w:p>
        </w:tc>
      </w:tr>
      <w:tr w14:paraId="7A430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 w:type="dxa"/>
            <w:vAlign w:val="center"/>
          </w:tcPr>
          <w:p w14:paraId="0827CA78">
            <w:pPr>
              <w:pStyle w:val="11"/>
              <w:widowControl w:val="0"/>
              <w:numPr>
                <w:ilvl w:val="0"/>
                <w:numId w:val="2"/>
              </w:numPr>
              <w:spacing w:before="120" w:beforeLines="50" w:after="120" w:afterLines="50" w:line="240" w:lineRule="auto"/>
              <w:ind w:firstLineChars="0"/>
              <w:jc w:val="center"/>
              <w:rPr>
                <w:rFonts w:ascii="宋体" w:hAnsi="宋体" w:eastAsia="宋体" w:cs="等线"/>
                <w:sz w:val="21"/>
                <w:szCs w:val="21"/>
              </w:rPr>
            </w:pPr>
          </w:p>
        </w:tc>
        <w:tc>
          <w:tcPr>
            <w:tcW w:w="1142" w:type="dxa"/>
            <w:vAlign w:val="center"/>
          </w:tcPr>
          <w:p w14:paraId="45EB6E45">
            <w:pPr>
              <w:spacing w:line="240" w:lineRule="auto"/>
              <w:jc w:val="center"/>
              <w:rPr>
                <w:szCs w:val="21"/>
              </w:rPr>
            </w:pPr>
            <w:r>
              <w:rPr>
                <w:rFonts w:hint="eastAsia" w:cs="Wingdings"/>
              </w:rPr>
              <w:t>应急安全保障方案</w:t>
            </w:r>
          </w:p>
        </w:tc>
        <w:tc>
          <w:tcPr>
            <w:tcW w:w="7099" w:type="dxa"/>
            <w:vAlign w:val="center"/>
          </w:tcPr>
          <w:p w14:paraId="23E90851">
            <w:pPr>
              <w:adjustRightInd w:val="0"/>
              <w:snapToGrid w:val="0"/>
              <w:spacing w:line="288" w:lineRule="auto"/>
              <w:jc w:val="left"/>
              <w:rPr>
                <w:rFonts w:cs="Wingdings"/>
              </w:rPr>
            </w:pPr>
            <w:r>
              <w:rPr>
                <w:rFonts w:hint="eastAsia" w:cs="Wingdings"/>
              </w:rPr>
              <w:t>根据供应商应急安全保障方案（包括但不限于前端视频监控系统及后端云平台信息安全保障方案等）的科学性、合理性、可操作性等情况进行评审和比较。</w:t>
            </w:r>
          </w:p>
          <w:p w14:paraId="2863F1D1">
            <w:pPr>
              <w:adjustRightInd w:val="0"/>
              <w:snapToGrid w:val="0"/>
              <w:spacing w:line="288" w:lineRule="auto"/>
              <w:jc w:val="left"/>
              <w:rPr>
                <w:rFonts w:cs="Wingdings"/>
              </w:rPr>
            </w:pPr>
            <w:r>
              <w:rPr>
                <w:rFonts w:cs="Wingdings"/>
              </w:rPr>
              <w:t>1、应急方案科学、合理，非常完善，可操作性强，得10分；</w:t>
            </w:r>
          </w:p>
          <w:p w14:paraId="606B099B">
            <w:pPr>
              <w:adjustRightInd w:val="0"/>
              <w:snapToGrid w:val="0"/>
              <w:spacing w:line="288" w:lineRule="auto"/>
              <w:jc w:val="left"/>
              <w:rPr>
                <w:rFonts w:cs="Wingdings"/>
              </w:rPr>
            </w:pPr>
            <w:r>
              <w:rPr>
                <w:rFonts w:cs="Wingdings"/>
              </w:rPr>
              <w:t>2、应急方案较科学、合理，基本完善，可操作性一般，得7分；</w:t>
            </w:r>
          </w:p>
          <w:p w14:paraId="3A3875CA">
            <w:pPr>
              <w:adjustRightInd w:val="0"/>
              <w:snapToGrid w:val="0"/>
              <w:spacing w:line="288" w:lineRule="auto"/>
              <w:jc w:val="left"/>
              <w:rPr>
                <w:rFonts w:cs="Wingdings"/>
              </w:rPr>
            </w:pPr>
            <w:r>
              <w:rPr>
                <w:rFonts w:cs="Wingdings"/>
              </w:rPr>
              <w:t>3、应急方案科学性、合理性较差，完善程度一般，可操作性一般，得4分；</w:t>
            </w:r>
          </w:p>
          <w:p w14:paraId="544EDCBB">
            <w:pPr>
              <w:adjustRightInd w:val="0"/>
              <w:snapToGrid w:val="0"/>
              <w:rPr>
                <w:rFonts w:cs="Wingdings"/>
              </w:rPr>
            </w:pPr>
            <w:r>
              <w:rPr>
                <w:rFonts w:cs="Wingdings"/>
              </w:rPr>
              <w:t>4、应急方案整体的科学性及合理性较差或不具备可操作性或未提供方案的，得0分。</w:t>
            </w:r>
          </w:p>
        </w:tc>
        <w:tc>
          <w:tcPr>
            <w:tcW w:w="869" w:type="dxa"/>
            <w:vAlign w:val="center"/>
          </w:tcPr>
          <w:p w14:paraId="62BFDF7E">
            <w:pPr>
              <w:spacing w:before="120" w:beforeLines="50" w:after="120" w:afterLines="50" w:line="240" w:lineRule="auto"/>
              <w:jc w:val="center"/>
              <w:rPr>
                <w:rFonts w:cs="等线"/>
                <w:szCs w:val="21"/>
              </w:rPr>
            </w:pPr>
            <w:r>
              <w:rPr>
                <w:rFonts w:cs="等线"/>
                <w:szCs w:val="21"/>
              </w:rPr>
              <w:t>10</w:t>
            </w:r>
          </w:p>
        </w:tc>
      </w:tr>
      <w:tr w14:paraId="15BC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852" w:type="dxa"/>
            <w:vAlign w:val="center"/>
          </w:tcPr>
          <w:p w14:paraId="5C67D9FE">
            <w:pPr>
              <w:pStyle w:val="11"/>
              <w:widowControl w:val="0"/>
              <w:numPr>
                <w:ilvl w:val="0"/>
                <w:numId w:val="2"/>
              </w:numPr>
              <w:spacing w:before="120" w:beforeLines="50" w:after="120" w:afterLines="50" w:line="240" w:lineRule="auto"/>
              <w:ind w:firstLineChars="0"/>
              <w:jc w:val="center"/>
              <w:rPr>
                <w:rFonts w:ascii="宋体" w:hAnsi="宋体" w:eastAsia="宋体" w:cs="等线"/>
                <w:sz w:val="21"/>
                <w:szCs w:val="21"/>
              </w:rPr>
            </w:pPr>
          </w:p>
        </w:tc>
        <w:tc>
          <w:tcPr>
            <w:tcW w:w="1142" w:type="dxa"/>
            <w:vAlign w:val="center"/>
          </w:tcPr>
          <w:p w14:paraId="3DA227BB">
            <w:pPr>
              <w:spacing w:line="240" w:lineRule="auto"/>
              <w:jc w:val="center"/>
              <w:rPr>
                <w:rFonts w:cs="Wingdings"/>
              </w:rPr>
            </w:pPr>
            <w:r>
              <w:rPr>
                <w:rFonts w:hint="eastAsia" w:cs="Wingdings"/>
              </w:rPr>
              <w:t>项目交付能力</w:t>
            </w:r>
          </w:p>
        </w:tc>
        <w:tc>
          <w:tcPr>
            <w:tcW w:w="7099" w:type="dxa"/>
            <w:vAlign w:val="center"/>
          </w:tcPr>
          <w:p w14:paraId="7354FF4B">
            <w:pPr>
              <w:adjustRightInd w:val="0"/>
              <w:snapToGrid w:val="0"/>
              <w:spacing w:line="288" w:lineRule="auto"/>
              <w:jc w:val="left"/>
              <w:rPr>
                <w:rFonts w:cs="Wingdings"/>
                <w:highlight w:val="none"/>
              </w:rPr>
            </w:pPr>
            <w:r>
              <w:rPr>
                <w:rFonts w:hint="eastAsia" w:cs="Wingdings"/>
                <w:highlight w:val="none"/>
              </w:rPr>
              <w:t>根据项目要求，供应商承诺的项目交付周期，将按照承诺时间进行综合评定，其中：</w:t>
            </w:r>
            <w:r>
              <w:rPr>
                <w:rFonts w:cs="Wingdings"/>
                <w:highlight w:val="none"/>
              </w:rPr>
              <w:t xml:space="preserve"> </w:t>
            </w:r>
          </w:p>
          <w:p w14:paraId="57EC4B38">
            <w:pPr>
              <w:adjustRightInd w:val="0"/>
              <w:snapToGrid w:val="0"/>
              <w:spacing w:line="288" w:lineRule="auto"/>
              <w:jc w:val="left"/>
              <w:rPr>
                <w:rFonts w:cs="Wingdings"/>
                <w:highlight w:val="none"/>
              </w:rPr>
            </w:pPr>
            <w:r>
              <w:rPr>
                <w:rFonts w:cs="Wingdings"/>
                <w:highlight w:val="none"/>
              </w:rPr>
              <w:t>1、完全满足</w:t>
            </w:r>
            <w:r>
              <w:rPr>
                <w:rFonts w:hint="default" w:cs="Wingdings"/>
                <w:highlight w:val="none"/>
                <w:lang w:val="en-US" w:eastAsia="zh-CN"/>
              </w:rPr>
              <w:t>项目需求书</w:t>
            </w:r>
            <w:r>
              <w:rPr>
                <w:rFonts w:cs="Wingdings"/>
                <w:highlight w:val="none"/>
              </w:rPr>
              <w:t>要求且承诺</w:t>
            </w:r>
            <w:r>
              <w:rPr>
                <w:rFonts w:hint="eastAsia" w:cs="Wingdings"/>
                <w:highlight w:val="none"/>
                <w:lang w:eastAsia="zh-CN"/>
              </w:rPr>
              <w:t>2</w:t>
            </w:r>
            <w:r>
              <w:rPr>
                <w:rFonts w:hint="eastAsia" w:cs="Wingdings"/>
                <w:highlight w:val="none"/>
                <w:lang w:val="en-US" w:eastAsia="zh-CN"/>
              </w:rPr>
              <w:t>0</w:t>
            </w:r>
            <w:r>
              <w:rPr>
                <w:rFonts w:cs="Wingdings"/>
                <w:highlight w:val="none"/>
              </w:rPr>
              <w:t>天内（含</w:t>
            </w:r>
            <w:r>
              <w:rPr>
                <w:rFonts w:hint="eastAsia" w:cs="Wingdings"/>
                <w:highlight w:val="none"/>
                <w:lang w:eastAsia="zh-CN"/>
              </w:rPr>
              <w:t>2</w:t>
            </w:r>
            <w:r>
              <w:rPr>
                <w:rFonts w:hint="eastAsia" w:cs="Wingdings"/>
                <w:highlight w:val="none"/>
                <w:lang w:val="en-US" w:eastAsia="zh-CN"/>
              </w:rPr>
              <w:t>0</w:t>
            </w:r>
            <w:r>
              <w:rPr>
                <w:rFonts w:cs="Wingdings"/>
                <w:highlight w:val="none"/>
              </w:rPr>
              <w:t>天）</w:t>
            </w:r>
            <w:r>
              <w:rPr>
                <w:rFonts w:hint="eastAsia" w:cs="Wingdings"/>
                <w:highlight w:val="none"/>
                <w:lang w:val="en-US" w:eastAsia="zh-CN"/>
              </w:rPr>
              <w:t>交付使用</w:t>
            </w:r>
            <w:r>
              <w:rPr>
                <w:rFonts w:cs="Wingdings"/>
                <w:highlight w:val="none"/>
              </w:rPr>
              <w:t>整体监控</w:t>
            </w:r>
            <w:r>
              <w:rPr>
                <w:rFonts w:hint="eastAsia" w:cs="Wingdings"/>
                <w:highlight w:val="none"/>
                <w:lang w:eastAsia="zh-CN"/>
              </w:rPr>
              <w:t>安装调试</w:t>
            </w:r>
            <w:r>
              <w:rPr>
                <w:rFonts w:cs="Wingdings"/>
                <w:highlight w:val="none"/>
              </w:rPr>
              <w:t>服务的，得5分；</w:t>
            </w:r>
          </w:p>
          <w:p w14:paraId="20E82BAB">
            <w:pPr>
              <w:adjustRightInd w:val="0"/>
              <w:snapToGrid w:val="0"/>
              <w:spacing w:line="288" w:lineRule="auto"/>
              <w:jc w:val="left"/>
              <w:rPr>
                <w:rFonts w:cs="Wingdings"/>
                <w:highlight w:val="none"/>
              </w:rPr>
            </w:pPr>
            <w:r>
              <w:rPr>
                <w:rFonts w:cs="Wingdings"/>
                <w:highlight w:val="none"/>
              </w:rPr>
              <w:t>2、完全满足</w:t>
            </w:r>
            <w:r>
              <w:rPr>
                <w:rFonts w:hint="default" w:ascii="宋体" w:hAnsi="宋体" w:eastAsia="宋体" w:cs="Wingdings"/>
                <w:highlight w:val="none"/>
                <w:lang w:val="en-US" w:eastAsia="zh-CN"/>
              </w:rPr>
              <w:t>项目需求书</w:t>
            </w:r>
            <w:r>
              <w:rPr>
                <w:rFonts w:cs="Wingdings"/>
                <w:highlight w:val="none"/>
              </w:rPr>
              <w:t>要求且承诺</w:t>
            </w:r>
            <w:r>
              <w:rPr>
                <w:rFonts w:hint="eastAsia" w:cs="Wingdings"/>
                <w:highlight w:val="none"/>
                <w:lang w:eastAsia="zh-CN"/>
              </w:rPr>
              <w:t>25</w:t>
            </w:r>
            <w:r>
              <w:rPr>
                <w:rFonts w:cs="Wingdings"/>
                <w:highlight w:val="none"/>
              </w:rPr>
              <w:t>天内（含2</w:t>
            </w:r>
            <w:r>
              <w:rPr>
                <w:rFonts w:hint="eastAsia" w:cs="Wingdings"/>
                <w:highlight w:val="none"/>
                <w:lang w:eastAsia="zh-CN"/>
              </w:rPr>
              <w:t>5</w:t>
            </w:r>
            <w:r>
              <w:rPr>
                <w:rFonts w:cs="Wingdings"/>
                <w:highlight w:val="none"/>
              </w:rPr>
              <w:t>天）</w:t>
            </w:r>
            <w:r>
              <w:rPr>
                <w:rFonts w:hint="eastAsia" w:cs="Wingdings"/>
                <w:highlight w:val="none"/>
                <w:lang w:val="en-US" w:eastAsia="zh-CN"/>
              </w:rPr>
              <w:t>交付使用</w:t>
            </w:r>
            <w:r>
              <w:rPr>
                <w:rFonts w:cs="Wingdings"/>
                <w:highlight w:val="none"/>
              </w:rPr>
              <w:t>整体监控</w:t>
            </w:r>
            <w:r>
              <w:rPr>
                <w:rFonts w:hint="eastAsia" w:cs="Wingdings"/>
                <w:highlight w:val="none"/>
                <w:lang w:eastAsia="zh-CN"/>
              </w:rPr>
              <w:t>安装调试</w:t>
            </w:r>
            <w:r>
              <w:rPr>
                <w:rFonts w:cs="Wingdings"/>
                <w:highlight w:val="none"/>
              </w:rPr>
              <w:t xml:space="preserve">服务的，得3分； </w:t>
            </w:r>
          </w:p>
          <w:p w14:paraId="3354DE01">
            <w:pPr>
              <w:adjustRightInd w:val="0"/>
              <w:snapToGrid w:val="0"/>
              <w:spacing w:line="288" w:lineRule="auto"/>
              <w:jc w:val="left"/>
              <w:rPr>
                <w:rFonts w:cs="Wingdings"/>
                <w:highlight w:val="none"/>
              </w:rPr>
            </w:pPr>
            <w:r>
              <w:rPr>
                <w:rFonts w:cs="Wingdings"/>
                <w:highlight w:val="none"/>
              </w:rPr>
              <w:t>3、完全满足</w:t>
            </w:r>
            <w:r>
              <w:rPr>
                <w:rFonts w:hint="default" w:ascii="宋体" w:hAnsi="宋体" w:eastAsia="宋体" w:cs="Wingdings"/>
                <w:highlight w:val="none"/>
                <w:lang w:val="en-US" w:eastAsia="zh-CN"/>
              </w:rPr>
              <w:t>项目需求书</w:t>
            </w:r>
            <w:r>
              <w:rPr>
                <w:rFonts w:cs="Wingdings"/>
                <w:highlight w:val="none"/>
              </w:rPr>
              <w:t>要求且承诺</w:t>
            </w:r>
            <w:r>
              <w:rPr>
                <w:rFonts w:hint="eastAsia" w:cs="Wingdings"/>
                <w:highlight w:val="none"/>
                <w:lang w:eastAsia="zh-CN"/>
              </w:rPr>
              <w:t>3</w:t>
            </w:r>
            <w:r>
              <w:rPr>
                <w:rFonts w:hint="eastAsia" w:cs="Wingdings"/>
                <w:highlight w:val="none"/>
                <w:lang w:val="en-US" w:eastAsia="zh-CN"/>
              </w:rPr>
              <w:t>0</w:t>
            </w:r>
            <w:r>
              <w:rPr>
                <w:rFonts w:cs="Wingdings"/>
                <w:highlight w:val="none"/>
              </w:rPr>
              <w:t>天（含</w:t>
            </w:r>
            <w:r>
              <w:rPr>
                <w:rFonts w:hint="eastAsia" w:cs="Wingdings"/>
                <w:highlight w:val="none"/>
                <w:lang w:eastAsia="zh-CN"/>
              </w:rPr>
              <w:t>3</w:t>
            </w:r>
            <w:r>
              <w:rPr>
                <w:rFonts w:hint="eastAsia" w:cs="Wingdings"/>
                <w:highlight w:val="none"/>
                <w:lang w:val="en-US" w:eastAsia="zh-CN"/>
              </w:rPr>
              <w:t>0</w:t>
            </w:r>
            <w:r>
              <w:rPr>
                <w:rFonts w:cs="Wingdings"/>
                <w:highlight w:val="none"/>
              </w:rPr>
              <w:t>天）</w:t>
            </w:r>
            <w:r>
              <w:rPr>
                <w:rFonts w:hint="eastAsia" w:cs="Wingdings"/>
                <w:highlight w:val="none"/>
                <w:lang w:val="en-US" w:eastAsia="zh-CN"/>
              </w:rPr>
              <w:t>交付使用</w:t>
            </w:r>
            <w:r>
              <w:rPr>
                <w:rFonts w:cs="Wingdings"/>
                <w:highlight w:val="none"/>
              </w:rPr>
              <w:t>整体监控</w:t>
            </w:r>
            <w:r>
              <w:rPr>
                <w:rFonts w:hint="eastAsia" w:cs="Wingdings"/>
                <w:highlight w:val="none"/>
                <w:lang w:eastAsia="zh-CN"/>
              </w:rPr>
              <w:t>安装调试</w:t>
            </w:r>
            <w:r>
              <w:rPr>
                <w:rFonts w:cs="Wingdings"/>
                <w:highlight w:val="none"/>
              </w:rPr>
              <w:t>服务的，得1分。</w:t>
            </w:r>
          </w:p>
          <w:p w14:paraId="4B3087FD">
            <w:pPr>
              <w:adjustRightInd w:val="0"/>
              <w:snapToGrid w:val="0"/>
              <w:spacing w:line="288" w:lineRule="auto"/>
              <w:jc w:val="left"/>
              <w:rPr>
                <w:rFonts w:cs="Wingdings"/>
              </w:rPr>
            </w:pPr>
            <w:r>
              <w:rPr>
                <w:rFonts w:cs="Wingdings"/>
                <w:highlight w:val="none"/>
              </w:rPr>
              <w:t>4、承诺提供项目整体监控</w:t>
            </w:r>
            <w:r>
              <w:rPr>
                <w:rFonts w:hint="eastAsia" w:cs="Wingdings"/>
                <w:highlight w:val="none"/>
                <w:lang w:eastAsia="zh-CN"/>
              </w:rPr>
              <w:t>安装调试</w:t>
            </w:r>
            <w:r>
              <w:rPr>
                <w:rFonts w:cs="Wingdings"/>
                <w:highlight w:val="none"/>
              </w:rPr>
              <w:t>服务超过</w:t>
            </w:r>
            <w:r>
              <w:rPr>
                <w:rFonts w:hint="eastAsia" w:cs="Wingdings"/>
                <w:highlight w:val="none"/>
                <w:lang w:eastAsia="zh-CN"/>
              </w:rPr>
              <w:t>3</w:t>
            </w:r>
            <w:r>
              <w:rPr>
                <w:rFonts w:hint="eastAsia" w:cs="Wingdings"/>
                <w:highlight w:val="none"/>
                <w:lang w:val="en-US" w:eastAsia="zh-CN"/>
              </w:rPr>
              <w:t>0</w:t>
            </w:r>
            <w:r>
              <w:rPr>
                <w:rFonts w:cs="Wingdings"/>
                <w:highlight w:val="none"/>
              </w:rPr>
              <w:t>天或未提供承诺的，得0分。</w:t>
            </w:r>
          </w:p>
        </w:tc>
        <w:tc>
          <w:tcPr>
            <w:tcW w:w="869" w:type="dxa"/>
            <w:vAlign w:val="center"/>
          </w:tcPr>
          <w:p w14:paraId="640BA21E">
            <w:pPr>
              <w:spacing w:before="120" w:beforeLines="50" w:after="120" w:afterLines="50" w:line="240" w:lineRule="auto"/>
              <w:jc w:val="center"/>
              <w:rPr>
                <w:rFonts w:cs="等线"/>
                <w:szCs w:val="21"/>
              </w:rPr>
            </w:pPr>
            <w:r>
              <w:rPr>
                <w:rFonts w:hint="eastAsia" w:cs="等线"/>
                <w:szCs w:val="21"/>
              </w:rPr>
              <w:t>5</w:t>
            </w:r>
          </w:p>
        </w:tc>
      </w:tr>
      <w:bookmarkEnd w:id="5"/>
    </w:tbl>
    <w:p w14:paraId="68F7E311">
      <w:pPr>
        <w:ind w:firstLine="0" w:firstLineChars="0"/>
        <w:jc w:val="left"/>
        <w:outlineLvl w:val="3"/>
        <w:rPr>
          <w:rFonts w:cs="Futura-Heavy"/>
          <w:b/>
          <w:bCs/>
          <w:kern w:val="0"/>
          <w:szCs w:val="21"/>
        </w:rPr>
      </w:pPr>
      <w:bookmarkStart w:id="6" w:name="_Toc67046849"/>
      <w:r>
        <w:rPr>
          <w:rFonts w:hint="eastAsia" w:cs="Futura-Heavy"/>
          <w:b/>
          <w:bCs/>
          <w:kern w:val="0"/>
          <w:szCs w:val="21"/>
        </w:rPr>
        <w:t>价格</w:t>
      </w:r>
      <w:r>
        <w:rPr>
          <w:rFonts w:cs="Futura-Heavy"/>
          <w:b/>
          <w:bCs/>
          <w:kern w:val="0"/>
          <w:szCs w:val="21"/>
        </w:rPr>
        <w:t>评分细则</w:t>
      </w:r>
      <w:r>
        <w:rPr>
          <w:rFonts w:hint="eastAsia" w:cs="Futura-Heavy"/>
          <w:b/>
          <w:bCs/>
          <w:kern w:val="0"/>
          <w:szCs w:val="21"/>
        </w:rPr>
        <w:t>表（1</w:t>
      </w:r>
      <w:r>
        <w:rPr>
          <w:rFonts w:cs="Futura-Heavy"/>
          <w:b/>
          <w:bCs/>
          <w:kern w:val="0"/>
          <w:szCs w:val="21"/>
        </w:rPr>
        <w:t>5</w:t>
      </w:r>
      <w:r>
        <w:rPr>
          <w:rFonts w:hint="eastAsia" w:cs="Futura-Heavy"/>
          <w:b/>
          <w:bCs/>
          <w:kern w:val="0"/>
          <w:szCs w:val="21"/>
        </w:rPr>
        <w:t>分）</w:t>
      </w:r>
      <w:bookmarkEnd w:id="6"/>
    </w:p>
    <w:tbl>
      <w:tblPr>
        <w:tblStyle w:val="6"/>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152"/>
        <w:gridCol w:w="7097"/>
        <w:gridCol w:w="869"/>
      </w:tblGrid>
      <w:tr w14:paraId="1D377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44" w:type="dxa"/>
            <w:vAlign w:val="center"/>
          </w:tcPr>
          <w:p w14:paraId="156B34EA">
            <w:pPr>
              <w:spacing w:before="120" w:beforeLines="50" w:after="120" w:afterLines="50" w:line="240" w:lineRule="auto"/>
              <w:jc w:val="center"/>
              <w:rPr>
                <w:rFonts w:cs="@文鼎CS中黑"/>
                <w:b/>
                <w:bCs/>
                <w:szCs w:val="21"/>
              </w:rPr>
            </w:pPr>
            <w:r>
              <w:rPr>
                <w:rFonts w:hint="eastAsia" w:cs="@文鼎CS中黑"/>
                <w:b/>
                <w:bCs/>
                <w:szCs w:val="21"/>
              </w:rPr>
              <w:t>序号</w:t>
            </w:r>
          </w:p>
        </w:tc>
        <w:tc>
          <w:tcPr>
            <w:tcW w:w="1152" w:type="dxa"/>
            <w:vAlign w:val="center"/>
          </w:tcPr>
          <w:p w14:paraId="3C5EBFC1">
            <w:pPr>
              <w:spacing w:before="120" w:beforeLines="50" w:after="120" w:afterLines="50" w:line="240" w:lineRule="auto"/>
              <w:jc w:val="center"/>
              <w:rPr>
                <w:rFonts w:cs="等线"/>
                <w:b/>
              </w:rPr>
            </w:pPr>
            <w:r>
              <w:rPr>
                <w:rFonts w:hint="eastAsia" w:cs="等线"/>
                <w:b/>
              </w:rPr>
              <w:t>评审因素</w:t>
            </w:r>
          </w:p>
        </w:tc>
        <w:tc>
          <w:tcPr>
            <w:tcW w:w="7097" w:type="dxa"/>
            <w:vAlign w:val="center"/>
          </w:tcPr>
          <w:p w14:paraId="1F6DB8C1">
            <w:pPr>
              <w:spacing w:before="120" w:beforeLines="50" w:after="120" w:afterLines="50" w:line="240" w:lineRule="auto"/>
              <w:jc w:val="center"/>
              <w:rPr>
                <w:rFonts w:cs="等线"/>
                <w:b/>
              </w:rPr>
            </w:pPr>
            <w:r>
              <w:rPr>
                <w:rFonts w:hint="eastAsia" w:cs="等线"/>
                <w:b/>
              </w:rPr>
              <w:t>评审标准</w:t>
            </w:r>
          </w:p>
        </w:tc>
        <w:tc>
          <w:tcPr>
            <w:tcW w:w="869" w:type="dxa"/>
            <w:vAlign w:val="center"/>
          </w:tcPr>
          <w:p w14:paraId="1B8D0938">
            <w:pPr>
              <w:spacing w:before="120" w:beforeLines="50" w:after="120" w:afterLines="50" w:line="240" w:lineRule="auto"/>
              <w:jc w:val="center"/>
              <w:rPr>
                <w:szCs w:val="21"/>
              </w:rPr>
            </w:pPr>
            <w:r>
              <w:rPr>
                <w:rFonts w:hint="eastAsia" w:cs="@文鼎CS中黑"/>
                <w:b/>
                <w:bCs/>
                <w:szCs w:val="21"/>
              </w:rPr>
              <w:t>分值（分）</w:t>
            </w:r>
          </w:p>
        </w:tc>
      </w:tr>
      <w:tr w14:paraId="52F57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jc w:val="center"/>
        </w:trPr>
        <w:tc>
          <w:tcPr>
            <w:tcW w:w="844" w:type="dxa"/>
            <w:tcBorders>
              <w:bottom w:val="single" w:color="auto" w:sz="4" w:space="0"/>
            </w:tcBorders>
            <w:vAlign w:val="center"/>
          </w:tcPr>
          <w:p w14:paraId="3D8E350C">
            <w:pPr>
              <w:spacing w:before="120" w:beforeLines="50" w:after="120" w:afterLines="50" w:line="240" w:lineRule="auto"/>
              <w:jc w:val="center"/>
              <w:rPr>
                <w:rFonts w:cs="Courier New"/>
                <w:szCs w:val="21"/>
              </w:rPr>
            </w:pPr>
            <w:r>
              <w:rPr>
                <w:rFonts w:hint="eastAsia" w:cs="Courier New"/>
                <w:szCs w:val="21"/>
              </w:rPr>
              <w:t>1</w:t>
            </w:r>
          </w:p>
        </w:tc>
        <w:tc>
          <w:tcPr>
            <w:tcW w:w="1152" w:type="dxa"/>
            <w:tcBorders>
              <w:bottom w:val="single" w:color="auto" w:sz="4" w:space="0"/>
            </w:tcBorders>
            <w:vAlign w:val="center"/>
          </w:tcPr>
          <w:p w14:paraId="23B54D6A">
            <w:pPr>
              <w:spacing w:before="120" w:beforeLines="50" w:after="120" w:afterLines="50" w:line="240" w:lineRule="auto"/>
              <w:jc w:val="center"/>
              <w:rPr>
                <w:rFonts w:cs="Courier New"/>
                <w:szCs w:val="21"/>
              </w:rPr>
            </w:pPr>
            <w:r>
              <w:rPr>
                <w:rFonts w:hint="eastAsia" w:cs="Courier New"/>
                <w:szCs w:val="21"/>
              </w:rPr>
              <w:t>价格</w:t>
            </w:r>
          </w:p>
        </w:tc>
        <w:tc>
          <w:tcPr>
            <w:tcW w:w="7097" w:type="dxa"/>
            <w:tcBorders>
              <w:bottom w:val="single" w:color="auto" w:sz="4" w:space="0"/>
            </w:tcBorders>
            <w:vAlign w:val="center"/>
          </w:tcPr>
          <w:p w14:paraId="110EF0FD">
            <w:pPr>
              <w:spacing w:before="120" w:beforeLines="50" w:after="120" w:afterLines="50" w:line="240" w:lineRule="auto"/>
              <w:jc w:val="left"/>
              <w:rPr>
                <w:bCs/>
                <w:szCs w:val="21"/>
              </w:rPr>
            </w:pPr>
            <w:r>
              <w:rPr>
                <w:rFonts w:hint="eastAsia"/>
                <w:bCs/>
                <w:szCs w:val="21"/>
                <w:lang w:val="en-US" w:eastAsia="zh-CN"/>
              </w:rPr>
              <w:t>投标</w:t>
            </w:r>
            <w:r>
              <w:rPr>
                <w:rFonts w:hint="eastAsia"/>
                <w:bCs/>
                <w:szCs w:val="21"/>
              </w:rPr>
              <w:t>报价得分＝(评</w:t>
            </w:r>
            <w:r>
              <w:rPr>
                <w:rFonts w:hint="default" w:ascii="宋体" w:hAnsi="宋体" w:eastAsia="宋体" w:cs="Times New Roman"/>
                <w:bCs/>
                <w:sz w:val="21"/>
                <w:szCs w:val="21"/>
              </w:rPr>
              <w:t>标</w:t>
            </w:r>
            <w:r>
              <w:rPr>
                <w:rFonts w:hint="eastAsia"/>
                <w:bCs/>
                <w:szCs w:val="21"/>
              </w:rPr>
              <w:t>基准价/评标价)</w:t>
            </w:r>
            <w:r>
              <w:rPr>
                <w:rFonts w:hint="eastAsia" w:ascii="宋体" w:hAnsi="宋体" w:eastAsia="宋体" w:cs="Times New Roman"/>
                <w:bCs/>
                <w:sz w:val="21"/>
                <w:szCs w:val="21"/>
              </w:rPr>
              <w:t>×1</w:t>
            </w:r>
            <w:r>
              <w:rPr>
                <w:rFonts w:hint="eastAsia" w:ascii="宋体" w:hAnsi="宋体" w:eastAsia="宋体" w:cs="Times New Roman"/>
                <w:bCs/>
                <w:sz w:val="21"/>
                <w:szCs w:val="21"/>
                <w:lang w:val="en-US" w:eastAsia="zh-CN"/>
              </w:rPr>
              <w:t>5</w:t>
            </w:r>
            <w:r>
              <w:rPr>
                <w:rFonts w:hint="eastAsia" w:ascii="宋体" w:hAnsi="宋体" w:eastAsia="宋体" w:cs="Times New Roman"/>
                <w:bCs/>
                <w:sz w:val="21"/>
                <w:szCs w:val="21"/>
              </w:rPr>
              <w:t>%×100</w:t>
            </w:r>
          </w:p>
          <w:p w14:paraId="6A210CCE">
            <w:pPr>
              <w:spacing w:before="120" w:beforeLines="50" w:after="120" w:afterLines="50" w:line="240" w:lineRule="auto"/>
              <w:jc w:val="left"/>
              <w:rPr>
                <w:rFonts w:hint="default"/>
                <w:bCs/>
                <w:szCs w:val="21"/>
              </w:rPr>
            </w:pPr>
            <w:r>
              <w:rPr>
                <w:rFonts w:hint="default"/>
                <w:bCs/>
                <w:szCs w:val="21"/>
              </w:rPr>
              <w:t>评标基准价为满足项目需求书要求的最低评标价，其价格得分为满分。</w:t>
            </w:r>
          </w:p>
          <w:p w14:paraId="384F6D49">
            <w:pPr>
              <w:spacing w:before="120" w:beforeLines="50" w:after="120" w:afterLines="50" w:line="240" w:lineRule="auto"/>
              <w:jc w:val="left"/>
              <w:rPr>
                <w:rFonts w:cs="Wingdings"/>
                <w:kern w:val="0"/>
                <w:szCs w:val="21"/>
              </w:rPr>
            </w:pPr>
            <w:r>
              <w:rPr>
                <w:rFonts w:hint="default"/>
                <w:bCs/>
                <w:szCs w:val="21"/>
              </w:rPr>
              <w:t>评标价为在报价基础上作算术修正后的价格，无算术修正情况下，报价即为评标价。</w:t>
            </w:r>
          </w:p>
        </w:tc>
        <w:tc>
          <w:tcPr>
            <w:tcW w:w="869" w:type="dxa"/>
            <w:tcBorders>
              <w:bottom w:val="single" w:color="auto" w:sz="4" w:space="0"/>
            </w:tcBorders>
            <w:vAlign w:val="center"/>
          </w:tcPr>
          <w:p w14:paraId="2DE5AE5B">
            <w:pPr>
              <w:spacing w:before="120" w:beforeLines="50" w:after="120" w:afterLines="50" w:line="240" w:lineRule="auto"/>
              <w:jc w:val="center"/>
              <w:rPr>
                <w:szCs w:val="21"/>
              </w:rPr>
            </w:pPr>
            <w:r>
              <w:rPr>
                <w:szCs w:val="21"/>
              </w:rPr>
              <w:t>15</w:t>
            </w:r>
          </w:p>
        </w:tc>
      </w:tr>
    </w:tbl>
    <w:p w14:paraId="390092C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体">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utura-Heavy">
    <w:altName w:val="Segoe Print"/>
    <w:panose1 w:val="00000000000000000000"/>
    <w:charset w:val="00"/>
    <w:family w:val="swiss"/>
    <w:pitch w:val="default"/>
    <w:sig w:usb0="00000000" w:usb1="00000000" w:usb2="00000000" w:usb3="00000000" w:csb0="000001FB"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宋体">
    <w:panose1 w:val="02010600030101010101"/>
    <w:charset w:val="86"/>
    <w:family w:val="auto"/>
    <w:pitch w:val="default"/>
    <w:sig w:usb0="00000203" w:usb1="288F0000" w:usb2="00000006" w:usb3="00000000" w:csb0="00040001" w:csb1="00000000"/>
  </w:font>
  <w:font w:name="@文鼎CS中黑">
    <w:altName w:val="黑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D7526"/>
    <w:multiLevelType w:val="multilevel"/>
    <w:tmpl w:val="291D7526"/>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1B47AAE"/>
    <w:multiLevelType w:val="multilevel"/>
    <w:tmpl w:val="31B47AAE"/>
    <w:lvl w:ilvl="0" w:tentative="0">
      <w:start w:val="1"/>
      <w:numFmt w:val="decimal"/>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A5640E"/>
    <w:rsid w:val="001747B4"/>
    <w:rsid w:val="00F45CAF"/>
    <w:rsid w:val="02AA6CEC"/>
    <w:rsid w:val="037D2915"/>
    <w:rsid w:val="04623E3F"/>
    <w:rsid w:val="052B1309"/>
    <w:rsid w:val="06476C06"/>
    <w:rsid w:val="08C565F2"/>
    <w:rsid w:val="09842C00"/>
    <w:rsid w:val="0A814349"/>
    <w:rsid w:val="0ADD11E0"/>
    <w:rsid w:val="0B3F6B61"/>
    <w:rsid w:val="0BB6447A"/>
    <w:rsid w:val="0F2069B5"/>
    <w:rsid w:val="13680283"/>
    <w:rsid w:val="19B52BBD"/>
    <w:rsid w:val="19B777E0"/>
    <w:rsid w:val="1AA5640E"/>
    <w:rsid w:val="1E103013"/>
    <w:rsid w:val="1E4D180B"/>
    <w:rsid w:val="1ED94129"/>
    <w:rsid w:val="1EE61241"/>
    <w:rsid w:val="215B63C6"/>
    <w:rsid w:val="216060D1"/>
    <w:rsid w:val="23AD66B9"/>
    <w:rsid w:val="275F707F"/>
    <w:rsid w:val="28786808"/>
    <w:rsid w:val="2B575927"/>
    <w:rsid w:val="2D3A4195"/>
    <w:rsid w:val="2D3C390E"/>
    <w:rsid w:val="2D974861"/>
    <w:rsid w:val="30C67313"/>
    <w:rsid w:val="3232786A"/>
    <w:rsid w:val="32F12F03"/>
    <w:rsid w:val="33922CA9"/>
    <w:rsid w:val="33B77665"/>
    <w:rsid w:val="342C2EA8"/>
    <w:rsid w:val="3B7E370A"/>
    <w:rsid w:val="3CC13DBB"/>
    <w:rsid w:val="3E0363C5"/>
    <w:rsid w:val="3E0E07CE"/>
    <w:rsid w:val="426B59C4"/>
    <w:rsid w:val="42B86984"/>
    <w:rsid w:val="45B94D73"/>
    <w:rsid w:val="45EA5542"/>
    <w:rsid w:val="4AF62480"/>
    <w:rsid w:val="4C8A4BBB"/>
    <w:rsid w:val="4E8251DC"/>
    <w:rsid w:val="501317C3"/>
    <w:rsid w:val="50763B0A"/>
    <w:rsid w:val="50E955CA"/>
    <w:rsid w:val="51A038C5"/>
    <w:rsid w:val="52152B39"/>
    <w:rsid w:val="5DDB4B89"/>
    <w:rsid w:val="5FA7097C"/>
    <w:rsid w:val="60704980"/>
    <w:rsid w:val="60B146B2"/>
    <w:rsid w:val="62FA30B9"/>
    <w:rsid w:val="63623C1B"/>
    <w:rsid w:val="6388273F"/>
    <w:rsid w:val="63C21967"/>
    <w:rsid w:val="645D7336"/>
    <w:rsid w:val="646D53D2"/>
    <w:rsid w:val="656E29F6"/>
    <w:rsid w:val="66452A5A"/>
    <w:rsid w:val="68991C3F"/>
    <w:rsid w:val="6A516D7C"/>
    <w:rsid w:val="6EBC693B"/>
    <w:rsid w:val="6F9B5FA9"/>
    <w:rsid w:val="703807D3"/>
    <w:rsid w:val="73333915"/>
    <w:rsid w:val="744E5F5D"/>
    <w:rsid w:val="74B72109"/>
    <w:rsid w:val="78F80E09"/>
    <w:rsid w:val="7A4A4FAE"/>
    <w:rsid w:val="7A8D479E"/>
    <w:rsid w:val="7B557CE3"/>
    <w:rsid w:val="7DE85F90"/>
    <w:rsid w:val="7E0A24D6"/>
    <w:rsid w:val="7E664D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jc w:val="both"/>
    </w:pPr>
    <w:rPr>
      <w:rFonts w:ascii="宋体" w:hAnsi="宋体"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qFormat/>
    <w:uiPriority w:val="0"/>
    <w:pPr>
      <w:adjustRightInd w:val="0"/>
      <w:snapToGrid w:val="0"/>
      <w:ind w:firstLine="420" w:firstLineChars="200"/>
    </w:pPr>
  </w:style>
  <w:style w:type="paragraph" w:styleId="4">
    <w:name w:val="Body Text Indent 2"/>
    <w:qFormat/>
    <w:uiPriority w:val="0"/>
    <w:pPr>
      <w:widowControl w:val="0"/>
      <w:spacing w:line="480" w:lineRule="exact"/>
      <w:ind w:left="810" w:firstLine="675"/>
      <w:jc w:val="both"/>
    </w:pPr>
    <w:rPr>
      <w:rFonts w:ascii="Calibri" w:hAnsi="Calibri" w:eastAsia="仿宋_GB2312" w:cs="Times New Roman"/>
      <w:kern w:val="2"/>
      <w:sz w:val="30"/>
      <w:szCs w:val="20"/>
      <w:lang w:val="en-US" w:eastAsia="zh-CN" w:bidi="ar-SA"/>
    </w:rPr>
  </w:style>
  <w:style w:type="paragraph" w:styleId="5">
    <w:name w:val="Body Text First Indent 2"/>
    <w:basedOn w:val="3"/>
    <w:qFormat/>
    <w:uiPriority w:val="99"/>
    <w:pPr>
      <w:adjustRightInd/>
      <w:snapToGrid/>
      <w:spacing w:after="120" w:line="240" w:lineRule="auto"/>
      <w:ind w:left="420" w:leftChars="200"/>
    </w:pPr>
  </w:style>
  <w:style w:type="paragraph" w:styleId="8">
    <w:name w:val="List Paragraph"/>
    <w:basedOn w:val="1"/>
    <w:qFormat/>
    <w:uiPriority w:val="99"/>
    <w:pPr>
      <w:suppressAutoHyphens/>
      <w:ind w:firstLine="420"/>
    </w:pPr>
    <w:rPr>
      <w:rFonts w:ascii="华文中宋" w:hAnsi="华文中宋"/>
      <w:kern w:val="1"/>
      <w:szCs w:val="22"/>
      <w:lang w:eastAsia="ar-SA"/>
    </w:rPr>
  </w:style>
  <w:style w:type="paragraph" w:customStyle="1" w:styleId="9">
    <w:name w:val="Table Paragraph"/>
    <w:basedOn w:val="1"/>
    <w:qFormat/>
    <w:uiPriority w:val="0"/>
    <w:pPr>
      <w:autoSpaceDE w:val="0"/>
      <w:autoSpaceDN w:val="0"/>
      <w:adjustRightInd w:val="0"/>
      <w:jc w:val="left"/>
    </w:pPr>
    <w:rPr>
      <w:kern w:val="0"/>
      <w:sz w:val="24"/>
    </w:rPr>
  </w:style>
  <w:style w:type="paragraph" w:customStyle="1" w:styleId="10">
    <w:name w:val="_Style 46"/>
    <w:basedOn w:val="1"/>
    <w:next w:val="8"/>
    <w:qFormat/>
    <w:uiPriority w:val="1"/>
    <w:pPr>
      <w:suppressAutoHyphens/>
      <w:ind w:firstLine="420"/>
    </w:pPr>
    <w:rPr>
      <w:rFonts w:ascii="华文中宋" w:hAnsi="华文中宋"/>
      <w:kern w:val="1"/>
      <w:szCs w:val="22"/>
      <w:lang w:eastAsia="ar-SA"/>
    </w:rPr>
  </w:style>
  <w:style w:type="paragraph" w:customStyle="1" w:styleId="11">
    <w:name w:val="_Style 3"/>
    <w:basedOn w:val="1"/>
    <w:next w:val="8"/>
    <w:qFormat/>
    <w:uiPriority w:val="1"/>
    <w:pPr>
      <w:spacing w:line="240" w:lineRule="atLeast"/>
      <w:ind w:firstLine="420" w:firstLineChars="200"/>
      <w:jc w:val="left"/>
    </w:pPr>
    <w:rPr>
      <w:rFonts w:ascii="仿宋体" w:hAnsi="仿宋体" w:eastAsia="Arial" w:cs="Arial"/>
      <w:kern w:val="0"/>
      <w:sz w:val="24"/>
    </w:rPr>
  </w:style>
  <w:style w:type="paragraph" w:customStyle="1" w:styleId="12">
    <w:name w:val="p0"/>
    <w:basedOn w:val="1"/>
    <w:qFormat/>
    <w:uiPriority w:val="0"/>
    <w:pPr>
      <w:widowControl/>
      <w:jc w:val="left"/>
    </w:pPr>
    <w:rPr>
      <w:kern w:val="0"/>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2918</Words>
  <Characters>2994</Characters>
  <Lines>0</Lines>
  <Paragraphs>0</Paragraphs>
  <TotalTime>1</TotalTime>
  <ScaleCrop>false</ScaleCrop>
  <LinksUpToDate>false</LinksUpToDate>
  <CharactersWithSpaces>3008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2024-11-27T07:32:00Z</dcterms:created>
  <dc:creator>^_^</dc:creator>
  <cp:lastModifiedBy>WPS_1731308337</cp:lastModifiedBy>
  <dcterms:modified xsi:type="dcterms:W3CDTF">2024-12-05T15:05:53Z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067D084EC6A24681942ED7067FF6B58C</vt:lpwstr>
  </property>
</Properties>
</file>