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拟扶持企业名单</w:t>
      </w:r>
    </w:p>
    <w:tbl>
      <w:tblPr>
        <w:tblStyle w:val="2"/>
        <w:tblW w:w="874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7186"/>
      </w:tblGrid>
      <w:tr>
        <w:trPr>
          <w:trHeight w:val="482" w:hRule="atLeast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珠海市瑞丰汇邦资产管理有限公司</w:t>
            </w:r>
          </w:p>
        </w:tc>
      </w:tr>
    </w:tbl>
    <w:p>
      <w:pPr>
        <w:wordWrap w:val="0"/>
        <w:spacing w:line="579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mM5Njc2NDkyM2JkNTk0MGVmMjZmYjhjMDM2NDcifQ=="/>
  </w:docVars>
  <w:rsids>
    <w:rsidRoot w:val="1EB20D28"/>
    <w:rsid w:val="1EB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2024-12-06T08:01:00Z</dcterms:created>
  <dc:creator>凯瑟绿</dc:creator>
  <cp:lastModifiedBy>凯瑟绿</cp:lastModifiedBy>
  <dcterms:modified xsi:type="dcterms:W3CDTF">2024-12-06T08:01:32Z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2AA3C426329641BD9CA4072132B28F0D_11</vt:lpwstr>
  </property>
</Properties>
</file>