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1436"/>
        <w:gridCol w:w="893"/>
        <w:gridCol w:w="6055"/>
      </w:tblGrid>
      <w:tr w14:paraId="7F1C4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  <w:jc w:val="center"/>
        </w:trPr>
        <w:tc>
          <w:tcPr>
            <w:tcW w:w="8990" w:type="dxa"/>
            <w:gridSpan w:val="4"/>
            <w:vAlign w:val="center"/>
          </w:tcPr>
          <w:p w14:paraId="07AC7BF6">
            <w:pPr>
              <w:adjustRightInd w:val="0"/>
              <w:snapToGrid w:val="0"/>
              <w:ind w:right="-42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</w:rPr>
              <w:t>评分细则</w:t>
            </w:r>
          </w:p>
        </w:tc>
      </w:tr>
      <w:tr w14:paraId="5E01D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90" w:type="dxa"/>
            <w:gridSpan w:val="4"/>
            <w:vAlign w:val="center"/>
          </w:tcPr>
          <w:p w14:paraId="7B00852C">
            <w:pPr>
              <w:adjustRightInd w:val="0"/>
              <w:snapToGrid w:val="0"/>
              <w:ind w:right="-42"/>
              <w:jc w:val="left"/>
              <w:rPr>
                <w:rFonts w:hint="eastAsia" w:ascii="仿宋" w:hAnsi="仿宋" w:eastAsia="PMingLiU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一、技术指标评分细则</w:t>
            </w:r>
            <w:r>
              <w:rPr>
                <w:rFonts w:hint="eastAsia" w:ascii="仿宋" w:hAnsi="仿宋" w:eastAsia="PMingLiU" w:cs="仿宋"/>
                <w:b/>
                <w:bCs/>
                <w:sz w:val="24"/>
              </w:rPr>
              <w:t>（60</w:t>
            </w:r>
            <w:r>
              <w:rPr>
                <w:rFonts w:hint="eastAsia" w:ascii="仿宋" w:hAnsi="仿宋" w:eastAsia="宋体" w:cs="仿宋"/>
                <w:b/>
                <w:bCs/>
                <w:sz w:val="24"/>
              </w:rPr>
              <w:t>分</w:t>
            </w:r>
            <w:r>
              <w:rPr>
                <w:rFonts w:hint="eastAsia" w:ascii="仿宋" w:hAnsi="仿宋" w:eastAsia="PMingLiU" w:cs="仿宋"/>
                <w:b/>
                <w:bCs/>
                <w:sz w:val="24"/>
              </w:rPr>
              <w:t>）</w:t>
            </w:r>
          </w:p>
        </w:tc>
      </w:tr>
      <w:tr w14:paraId="44FF6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06" w:type="dxa"/>
            <w:vAlign w:val="center"/>
          </w:tcPr>
          <w:p w14:paraId="06DAD08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36" w:type="dxa"/>
            <w:vAlign w:val="center"/>
          </w:tcPr>
          <w:p w14:paraId="137EE58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评审内容</w:t>
            </w:r>
          </w:p>
        </w:tc>
        <w:tc>
          <w:tcPr>
            <w:tcW w:w="893" w:type="dxa"/>
            <w:vAlign w:val="center"/>
          </w:tcPr>
          <w:p w14:paraId="0638F42B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分项分值</w:t>
            </w:r>
          </w:p>
        </w:tc>
        <w:tc>
          <w:tcPr>
            <w:tcW w:w="6055" w:type="dxa"/>
            <w:vAlign w:val="center"/>
          </w:tcPr>
          <w:p w14:paraId="51FBD3F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评分细则及分值范围</w:t>
            </w:r>
          </w:p>
        </w:tc>
      </w:tr>
      <w:tr w14:paraId="2F1B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6" w:hRule="atLeast"/>
          <w:jc w:val="center"/>
        </w:trPr>
        <w:tc>
          <w:tcPr>
            <w:tcW w:w="606" w:type="dxa"/>
            <w:vAlign w:val="center"/>
          </w:tcPr>
          <w:p w14:paraId="1485E0A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1</w:t>
            </w:r>
          </w:p>
        </w:tc>
        <w:tc>
          <w:tcPr>
            <w:tcW w:w="1436" w:type="dxa"/>
            <w:vAlign w:val="center"/>
          </w:tcPr>
          <w:p w14:paraId="6F081E7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对项目的理解和认识</w:t>
            </w:r>
          </w:p>
        </w:tc>
        <w:tc>
          <w:tcPr>
            <w:tcW w:w="893" w:type="dxa"/>
            <w:vAlign w:val="center"/>
          </w:tcPr>
          <w:p w14:paraId="2586879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</w:t>
            </w:r>
          </w:p>
        </w:tc>
        <w:tc>
          <w:tcPr>
            <w:tcW w:w="6055" w:type="dxa"/>
            <w:vAlign w:val="center"/>
          </w:tcPr>
          <w:p w14:paraId="350D6296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根据投标人对本项目的理解及认识程度，对项目重点、难点分析、应对措施及合理化建议等进行综合评审： </w:t>
            </w:r>
          </w:p>
          <w:p w14:paraId="5D8BD215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1.内容清晰，对项目的理解及认识充分，重点、难点把握准确，应对措施及合理化建议针对性及可操作性强，能完全满足采购需求的，得20分；</w:t>
            </w:r>
          </w:p>
          <w:p w14:paraId="5807554E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2.内容较为清晰，对项目的理解及认识较充分，重点、难点把握较准确，应对措施及合理化建议针对性及可操作性较强，比较能满足采购需求的，得15分； </w:t>
            </w:r>
          </w:p>
          <w:p w14:paraId="2C607DD5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3.内容基本准确，对项目的理解及认识一般，重点、难点把握准确性基本到位，应对措施及合理化建议针对性及可操作性基本满足采购需求的，得10分； </w:t>
            </w:r>
          </w:p>
          <w:p w14:paraId="0CC82ED2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4.内容不准确的，对项目的理解及重点、难点把握准确性差的，应对措施及合理化建议针对性及可操作性不够到位，不能满足采购需求的，得5分。  </w:t>
            </w:r>
          </w:p>
          <w:p w14:paraId="76B8EAFA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5.没有提供方案或提供的方案与本项目无关的，得0分。</w:t>
            </w:r>
          </w:p>
        </w:tc>
      </w:tr>
      <w:tr w14:paraId="22863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06" w:type="dxa"/>
            <w:vAlign w:val="center"/>
          </w:tcPr>
          <w:p w14:paraId="4CBC646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</w:t>
            </w:r>
          </w:p>
        </w:tc>
        <w:tc>
          <w:tcPr>
            <w:tcW w:w="1436" w:type="dxa"/>
            <w:vAlign w:val="center"/>
          </w:tcPr>
          <w:p w14:paraId="72642D3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服务方案</w:t>
            </w:r>
          </w:p>
        </w:tc>
        <w:tc>
          <w:tcPr>
            <w:tcW w:w="893" w:type="dxa"/>
            <w:vAlign w:val="center"/>
          </w:tcPr>
          <w:p w14:paraId="08285FF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20</w:t>
            </w:r>
          </w:p>
        </w:tc>
        <w:tc>
          <w:tcPr>
            <w:tcW w:w="6055" w:type="dxa"/>
            <w:vAlign w:val="center"/>
          </w:tcPr>
          <w:p w14:paraId="0FF75D3B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根据投标人提供的</w:t>
            </w:r>
            <w:r>
              <w:rPr>
                <w:rFonts w:hint="eastAsia" w:ascii="仿宋" w:hAnsi="仿宋" w:eastAsia="仿宋" w:cs="仿宋"/>
                <w:sz w:val="24"/>
              </w:rPr>
              <w:t>整体服务方案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进行综合评审，内容包括但不限于：1、相关内容策划方案；2.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年度主视觉设计；3.文创设计方案。</w:t>
            </w:r>
          </w:p>
          <w:p w14:paraId="1FC05EA0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1.项目实施方案内容清晰详尽，全面、科学、合理，可操作性强，满足项目需要能完全满足或优于采购需求的，得20分；  </w:t>
            </w:r>
          </w:p>
          <w:p w14:paraId="31FAF0D3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2.项目实施方案内容较为清晰详尽，合理，可行，比较能满足采购需求的，得15分；  </w:t>
            </w:r>
          </w:p>
          <w:p w14:paraId="02F59A2F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3.项目实施方案内容基本清晰详尽，基本合理，可行，基本满足采购需求的，得10分；  </w:t>
            </w:r>
          </w:p>
          <w:p w14:paraId="2328B426">
            <w:pPr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4.项目实施方案内容过于简单，方案不够合理，可行性差，不能满足采购需求的，得5分； </w:t>
            </w:r>
          </w:p>
          <w:p w14:paraId="6B93DCB0">
            <w:pPr>
              <w:adjustRightInd w:val="0"/>
              <w:snapToGrid w:val="0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5.没有提供方案或提供的方案与本项目无关的，得0分。</w:t>
            </w:r>
          </w:p>
        </w:tc>
      </w:tr>
      <w:tr w14:paraId="689C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606" w:type="dxa"/>
            <w:vAlign w:val="center"/>
          </w:tcPr>
          <w:p w14:paraId="11DF58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</w:t>
            </w:r>
          </w:p>
        </w:tc>
        <w:tc>
          <w:tcPr>
            <w:tcW w:w="1436" w:type="dxa"/>
            <w:vAlign w:val="center"/>
          </w:tcPr>
          <w:p w14:paraId="404E8AF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项目实施计划及服务管理体系</w:t>
            </w:r>
          </w:p>
        </w:tc>
        <w:tc>
          <w:tcPr>
            <w:tcW w:w="893" w:type="dxa"/>
            <w:vAlign w:val="center"/>
          </w:tcPr>
          <w:p w14:paraId="2035AD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20</w:t>
            </w:r>
          </w:p>
        </w:tc>
        <w:tc>
          <w:tcPr>
            <w:tcW w:w="6055" w:type="dxa"/>
            <w:vAlign w:val="center"/>
          </w:tcPr>
          <w:p w14:paraId="464623B6">
            <w:pPr>
              <w:adjustRightInd w:val="0"/>
              <w:snapToGrid w:val="0"/>
              <w:rPr>
                <w:rFonts w:hint="eastAsia" w:ascii="仿宋" w:hAnsi="仿宋" w:eastAsia="仿宋" w:cs="仿宋"/>
                <w:color w:val="0000FF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1、实施内容详细，工序安排合理有序，可操作性强，进度保障、质量保障、文创成果制作及运输保障措施具有科学性和可行性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的，服务管理体系完整，得20分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</w:t>
            </w:r>
          </w:p>
          <w:p w14:paraId="0BD4D490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ascii="仿宋" w:hAnsi="仿宋" w:eastAsia="仿宋" w:cs="仿宋"/>
                <w:kern w:val="0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、实施内容较详细，工序安排较合理有序，可操作性较强，进度保障、质量保障、文创成果制作及运输保障措施较有科学性和可行性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的，服务管理体系较完整，得15分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</w:t>
            </w:r>
          </w:p>
          <w:p w14:paraId="7EEB4AD0">
            <w:pPr>
              <w:adjustRightInd w:val="0"/>
              <w:snapToGrid w:val="0"/>
            </w:pPr>
            <w:r>
              <w:rPr>
                <w:rFonts w:ascii="仿宋" w:hAnsi="仿宋" w:eastAsia="仿宋" w:cs="仿宋"/>
                <w:kern w:val="0"/>
                <w:sz w:val="24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、实施内容一般，工序安排一般，可操作性一般，进度保障、质量保障、文创成果制作及运输保障措施一般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的，服务管理体系完整程度一般，得10分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</w:t>
            </w:r>
          </w:p>
          <w:p w14:paraId="23A1F7BD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4、实施内容过于简单，工序安排不合理，可操作性较弱，进度保障、质量保障、文创成果制作及运输保障措施较差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的，服务管理体系完整程度低，得5分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；</w:t>
            </w:r>
          </w:p>
          <w:p w14:paraId="17A9CFF9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5、实施内容不可行的，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得0分</w:t>
            </w:r>
            <w:r>
              <w:rPr>
                <w:rFonts w:hint="eastAsia" w:ascii="仿宋" w:hAnsi="仿宋" w:eastAsia="仿宋" w:cs="仿宋"/>
                <w:sz w:val="24"/>
              </w:rPr>
              <w:t>。</w:t>
            </w:r>
          </w:p>
        </w:tc>
      </w:tr>
      <w:tr w14:paraId="4C406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990" w:type="dxa"/>
            <w:gridSpan w:val="4"/>
            <w:vAlign w:val="center"/>
          </w:tcPr>
          <w:p w14:paraId="5046EEB4">
            <w:pPr>
              <w:adjustRightInd w:val="0"/>
              <w:snapToGrid w:val="0"/>
              <w:rPr>
                <w:rFonts w:hint="eastAsia" w:ascii="仿宋" w:hAnsi="仿宋" w:eastAsia="PMingLiU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二、商务指标评分细则</w:t>
            </w:r>
            <w:r>
              <w:rPr>
                <w:rFonts w:hint="eastAsia" w:ascii="仿宋" w:hAnsi="仿宋" w:eastAsia="PMingLiU" w:cs="仿宋"/>
                <w:b/>
                <w:bCs/>
                <w:sz w:val="24"/>
              </w:rPr>
              <w:t>（30</w:t>
            </w:r>
            <w:r>
              <w:rPr>
                <w:rFonts w:hint="eastAsia" w:ascii="仿宋" w:hAnsi="仿宋" w:eastAsia="宋体" w:cs="仿宋"/>
                <w:b/>
                <w:bCs/>
                <w:sz w:val="24"/>
              </w:rPr>
              <w:t>分</w:t>
            </w:r>
            <w:r>
              <w:rPr>
                <w:rFonts w:hint="eastAsia" w:ascii="仿宋" w:hAnsi="仿宋" w:eastAsia="PMingLiU" w:cs="仿宋"/>
                <w:b/>
                <w:bCs/>
                <w:sz w:val="24"/>
              </w:rPr>
              <w:t>）</w:t>
            </w:r>
          </w:p>
        </w:tc>
      </w:tr>
      <w:tr w14:paraId="44C7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606" w:type="dxa"/>
            <w:vAlign w:val="center"/>
          </w:tcPr>
          <w:p w14:paraId="5CE6A45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序号</w:t>
            </w:r>
          </w:p>
        </w:tc>
        <w:tc>
          <w:tcPr>
            <w:tcW w:w="1436" w:type="dxa"/>
            <w:vAlign w:val="center"/>
          </w:tcPr>
          <w:p w14:paraId="173B35E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评审内容</w:t>
            </w:r>
          </w:p>
        </w:tc>
        <w:tc>
          <w:tcPr>
            <w:tcW w:w="893" w:type="dxa"/>
            <w:vAlign w:val="center"/>
          </w:tcPr>
          <w:p w14:paraId="558EF33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分项分值</w:t>
            </w:r>
          </w:p>
        </w:tc>
        <w:tc>
          <w:tcPr>
            <w:tcW w:w="6055" w:type="dxa"/>
            <w:vAlign w:val="center"/>
          </w:tcPr>
          <w:p w14:paraId="681691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评分细则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</w:rPr>
              <w:t>及分值范围</w:t>
            </w:r>
          </w:p>
        </w:tc>
      </w:tr>
      <w:tr w14:paraId="31DD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606" w:type="dxa"/>
            <w:vAlign w:val="center"/>
          </w:tcPr>
          <w:p w14:paraId="346F90E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</w:t>
            </w:r>
          </w:p>
        </w:tc>
        <w:tc>
          <w:tcPr>
            <w:tcW w:w="1436" w:type="dxa"/>
            <w:vAlign w:val="center"/>
          </w:tcPr>
          <w:p w14:paraId="3716926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同类项目</w:t>
            </w:r>
          </w:p>
          <w:p w14:paraId="77FB8B3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业绩</w:t>
            </w:r>
          </w:p>
        </w:tc>
        <w:tc>
          <w:tcPr>
            <w:tcW w:w="893" w:type="dxa"/>
            <w:vAlign w:val="center"/>
          </w:tcPr>
          <w:p w14:paraId="08191C0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6055" w:type="dxa"/>
            <w:vAlign w:val="center"/>
          </w:tcPr>
          <w:p w14:paraId="4655A218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供应商自202</w:t>
            </w:r>
            <w:r>
              <w:rPr>
                <w:rFonts w:hint="eastAsia" w:ascii="仿宋" w:hAnsi="仿宋" w:eastAsia="PMingLiU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年1月1日（以合同签订时间为准）以来，承接现已完成的具有文创设计、平面设计等相关业绩的，一项得3分，最多计5项业绩，满分15分。</w:t>
            </w:r>
          </w:p>
          <w:p w14:paraId="5E38533A">
            <w:pPr>
              <w:adjustRightInd w:val="0"/>
              <w:snapToGrid w:val="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注：投标文件中提供相关业绩合同关键页复印件并加盖公章。未提供有效证明材料的不得分。 </w:t>
            </w:r>
          </w:p>
        </w:tc>
      </w:tr>
      <w:tr w14:paraId="523A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  <w:jc w:val="center"/>
        </w:trPr>
        <w:tc>
          <w:tcPr>
            <w:tcW w:w="606" w:type="dxa"/>
            <w:vAlign w:val="center"/>
          </w:tcPr>
          <w:p w14:paraId="20BA0C6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</w:p>
        </w:tc>
        <w:tc>
          <w:tcPr>
            <w:tcW w:w="1436" w:type="dxa"/>
            <w:vAlign w:val="center"/>
          </w:tcPr>
          <w:p w14:paraId="1C7B5471">
            <w:pPr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2633849">
            <w:pPr>
              <w:adjustRightInd w:val="0"/>
              <w:snapToGrid w:val="0"/>
              <w:jc w:val="center"/>
              <w:rPr>
                <w:rFonts w:hint="eastAsia" w:ascii="仿宋" w:hAnsi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项目投入团队情况</w:t>
            </w:r>
          </w:p>
        </w:tc>
        <w:tc>
          <w:tcPr>
            <w:tcW w:w="893" w:type="dxa"/>
            <w:vAlign w:val="center"/>
          </w:tcPr>
          <w:p w14:paraId="73731C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15</w:t>
            </w:r>
          </w:p>
        </w:tc>
        <w:tc>
          <w:tcPr>
            <w:tcW w:w="6055" w:type="dxa"/>
            <w:vAlign w:val="center"/>
          </w:tcPr>
          <w:p w14:paraId="22087FF6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根据投标人拟投入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团队人员</w:t>
            </w:r>
            <w:r>
              <w:rPr>
                <w:rFonts w:ascii="仿宋" w:hAnsi="仿宋" w:eastAsia="仿宋" w:cs="仿宋"/>
                <w:sz w:val="24"/>
                <w:szCs w:val="24"/>
              </w:rPr>
              <w:t>在文创设计、平面设计从业时间及数量进行评分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,最多计算5个有效成员，满分为15分。</w:t>
            </w:r>
          </w:p>
          <w:p w14:paraId="3B21B471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ascii="仿宋" w:hAnsi="仿宋" w:eastAsia="仿宋" w:cs="仿宋"/>
                <w:sz w:val="24"/>
                <w:szCs w:val="24"/>
              </w:rPr>
              <w:t>1、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项目团队人员</w:t>
            </w:r>
            <w:r>
              <w:rPr>
                <w:rFonts w:ascii="仿宋" w:hAnsi="仿宋" w:eastAsia="仿宋" w:cs="仿宋"/>
                <w:sz w:val="24"/>
                <w:szCs w:val="24"/>
              </w:rPr>
              <w:t>从业时间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≥10年</w:t>
            </w:r>
            <w:r>
              <w:rPr>
                <w:rFonts w:ascii="仿宋" w:hAnsi="仿宋" w:eastAsia="仿宋" w:cs="仿宋"/>
                <w:sz w:val="24"/>
                <w:szCs w:val="24"/>
              </w:rPr>
              <w:t>，每有一个得3分；</w:t>
            </w:r>
          </w:p>
          <w:p w14:paraId="1714361C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2</w:t>
            </w:r>
            <w:r>
              <w:rPr>
                <w:rFonts w:ascii="仿宋" w:hAnsi="仿宋" w:eastAsia="仿宋" w:cs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项目团队人员</w:t>
            </w:r>
            <w:r>
              <w:rPr>
                <w:rFonts w:ascii="仿宋" w:hAnsi="仿宋" w:eastAsia="仿宋" w:cs="仿宋"/>
                <w:sz w:val="24"/>
                <w:szCs w:val="24"/>
              </w:rPr>
              <w:t>从业时间在10-5年之间的，每有一个得2分；</w:t>
            </w:r>
          </w:p>
          <w:p w14:paraId="7D6C8897">
            <w:pPr>
              <w:adjustRightInd w:val="0"/>
              <w:snapToGrid w:val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3.项目团队人员</w:t>
            </w:r>
            <w:r>
              <w:rPr>
                <w:rFonts w:ascii="仿宋" w:hAnsi="仿宋" w:eastAsia="仿宋" w:cs="仿宋"/>
                <w:sz w:val="24"/>
                <w:szCs w:val="24"/>
              </w:rPr>
              <w:t>从业时间在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5-3</w:t>
            </w:r>
            <w:r>
              <w:rPr>
                <w:rFonts w:ascii="仿宋" w:hAnsi="仿宋" w:eastAsia="仿宋" w:cs="仿宋"/>
                <w:sz w:val="24"/>
                <w:szCs w:val="24"/>
              </w:rPr>
              <w:t>年之间的，每有一个得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ascii="仿宋" w:hAnsi="仿宋" w:eastAsia="仿宋" w:cs="仿宋"/>
                <w:sz w:val="24"/>
                <w:szCs w:val="24"/>
              </w:rPr>
              <w:t>分；</w:t>
            </w:r>
          </w:p>
          <w:p w14:paraId="47C10071">
            <w:pPr>
              <w:adjustRightInd w:val="0"/>
              <w:snapToGrid w:val="0"/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注：须提供劳动合同、证明材料或其他可以证明从业时间的资料，否则不计分。</w:t>
            </w:r>
          </w:p>
        </w:tc>
      </w:tr>
      <w:tr w14:paraId="3C1B1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990" w:type="dxa"/>
            <w:gridSpan w:val="4"/>
            <w:vAlign w:val="center"/>
          </w:tcPr>
          <w:p w14:paraId="33A42B3A">
            <w:pPr>
              <w:adjustRightInd w:val="0"/>
              <w:snapToGrid w:val="0"/>
              <w:jc w:val="left"/>
              <w:rPr>
                <w:rFonts w:hint="eastAsia" w:ascii="仿宋" w:hAnsi="仿宋" w:eastAsia="PMingLiU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三、经济指标评分细则</w:t>
            </w:r>
            <w:r>
              <w:rPr>
                <w:rFonts w:hint="eastAsia" w:ascii="仿宋" w:hAnsi="仿宋" w:eastAsia="PMingLiU" w:cs="仿宋"/>
                <w:b/>
                <w:bCs/>
                <w:sz w:val="24"/>
              </w:rPr>
              <w:t>（10</w:t>
            </w:r>
            <w:r>
              <w:rPr>
                <w:rFonts w:hint="eastAsia" w:ascii="仿宋" w:hAnsi="仿宋" w:eastAsia="宋体" w:cs="仿宋"/>
                <w:b/>
                <w:bCs/>
                <w:sz w:val="24"/>
              </w:rPr>
              <w:t>分</w:t>
            </w:r>
            <w:r>
              <w:rPr>
                <w:rFonts w:hint="eastAsia" w:ascii="仿宋" w:hAnsi="仿宋" w:eastAsia="PMingLiU" w:cs="仿宋"/>
                <w:b/>
                <w:bCs/>
                <w:sz w:val="24"/>
              </w:rPr>
              <w:t>）</w:t>
            </w:r>
          </w:p>
        </w:tc>
      </w:tr>
      <w:tr w14:paraId="61DB2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606" w:type="dxa"/>
            <w:vAlign w:val="center"/>
          </w:tcPr>
          <w:p w14:paraId="76B0FD8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8384" w:type="dxa"/>
            <w:gridSpan w:val="3"/>
            <w:vAlign w:val="center"/>
          </w:tcPr>
          <w:p w14:paraId="7EFA4DA6">
            <w:pPr>
              <w:pStyle w:val="6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各投标人的投标报价得分按以下公式进行计算：</w:t>
            </w:r>
          </w:p>
          <w:p w14:paraId="6381C905">
            <w:pPr>
              <w:pStyle w:val="6"/>
              <w:keepLines/>
              <w:widowControl/>
              <w:tabs>
                <w:tab w:val="left" w:pos="716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投标报价得分= (评标基准价/评标价)×10%×100</w:t>
            </w:r>
          </w:p>
          <w:p w14:paraId="0509BE6E">
            <w:pPr>
              <w:pStyle w:val="6"/>
              <w:keepLines/>
              <w:widowControl/>
              <w:tabs>
                <w:tab w:val="left" w:pos="0"/>
              </w:tabs>
              <w:adjustRightInd w:val="0"/>
              <w:snapToGrid w:val="0"/>
              <w:spacing w:line="240" w:lineRule="auto"/>
              <w:ind w:left="0" w:firstLine="0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评标基准价为满足项目需求书要求最低的评标价，其价格分为满分。若投标报价高于预算（845,000.00元），则其投标文件按无效投标文件处理。</w:t>
            </w:r>
          </w:p>
        </w:tc>
      </w:tr>
    </w:tbl>
    <w:p w14:paraId="307B886C">
      <w:pPr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注：如“总分”相同，报价价格低的投标单位中标。</w:t>
      </w:r>
    </w:p>
    <w:p w14:paraId="0E2D6A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9D4A3F"/>
    <w:multiLevelType w:val="multilevel"/>
    <w:tmpl w:val="3E9D4A3F"/>
    <w:lvl w:ilvl="0" w:tentative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isLgl/>
      <w:suff w:val="space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isLgl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isLgl/>
      <w:suff w:val="space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isLgl/>
      <w:suff w:val="space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isLgl/>
      <w:suff w:val="space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zZmY3NTBlNmY0NDAzM2UwOWFiNzE3OGQ3ZjViNzIifQ=="/>
  </w:docVars>
  <w:rsids>
    <w:rsidRoot w:val="004B7DF8"/>
    <w:rsid w:val="00013361"/>
    <w:rsid w:val="0017298E"/>
    <w:rsid w:val="001F2DEC"/>
    <w:rsid w:val="00237056"/>
    <w:rsid w:val="00296EE7"/>
    <w:rsid w:val="002D1EE3"/>
    <w:rsid w:val="0031260C"/>
    <w:rsid w:val="00437466"/>
    <w:rsid w:val="00491ECB"/>
    <w:rsid w:val="004B5B75"/>
    <w:rsid w:val="004B7DF8"/>
    <w:rsid w:val="005F1466"/>
    <w:rsid w:val="00606EB8"/>
    <w:rsid w:val="00664A6B"/>
    <w:rsid w:val="00692873"/>
    <w:rsid w:val="00732A60"/>
    <w:rsid w:val="007346ED"/>
    <w:rsid w:val="007872F3"/>
    <w:rsid w:val="007C724B"/>
    <w:rsid w:val="007D4C67"/>
    <w:rsid w:val="00A546D2"/>
    <w:rsid w:val="00A67507"/>
    <w:rsid w:val="00AC06E0"/>
    <w:rsid w:val="00AE15B1"/>
    <w:rsid w:val="00C84092"/>
    <w:rsid w:val="00CF21C1"/>
    <w:rsid w:val="00D1239B"/>
    <w:rsid w:val="00E1531A"/>
    <w:rsid w:val="00E850BE"/>
    <w:rsid w:val="00E97EC7"/>
    <w:rsid w:val="00EB0A7E"/>
    <w:rsid w:val="00EC0C35"/>
    <w:rsid w:val="00F62696"/>
    <w:rsid w:val="00FE6C9F"/>
    <w:rsid w:val="032064E7"/>
    <w:rsid w:val="04B51BB4"/>
    <w:rsid w:val="06A54B05"/>
    <w:rsid w:val="098F36B8"/>
    <w:rsid w:val="0A8D7762"/>
    <w:rsid w:val="0AFF4C18"/>
    <w:rsid w:val="0B9E129E"/>
    <w:rsid w:val="0E1350E0"/>
    <w:rsid w:val="0E5E1D97"/>
    <w:rsid w:val="0EAA02A6"/>
    <w:rsid w:val="0EEF3023"/>
    <w:rsid w:val="10DA0CDF"/>
    <w:rsid w:val="17FB2DE1"/>
    <w:rsid w:val="1B8C2C48"/>
    <w:rsid w:val="1EEB314A"/>
    <w:rsid w:val="22767668"/>
    <w:rsid w:val="26F95156"/>
    <w:rsid w:val="2CF86522"/>
    <w:rsid w:val="2D740868"/>
    <w:rsid w:val="2F3E427B"/>
    <w:rsid w:val="32065C10"/>
    <w:rsid w:val="36CF0417"/>
    <w:rsid w:val="379044E4"/>
    <w:rsid w:val="3AA20EF1"/>
    <w:rsid w:val="3F613441"/>
    <w:rsid w:val="3FB47C70"/>
    <w:rsid w:val="3FDD1B45"/>
    <w:rsid w:val="40D51E47"/>
    <w:rsid w:val="44346C91"/>
    <w:rsid w:val="46D16B71"/>
    <w:rsid w:val="496D041F"/>
    <w:rsid w:val="4D046F69"/>
    <w:rsid w:val="4D795AE4"/>
    <w:rsid w:val="4F275AD4"/>
    <w:rsid w:val="508A7B4A"/>
    <w:rsid w:val="54F07372"/>
    <w:rsid w:val="551268DF"/>
    <w:rsid w:val="55C35200"/>
    <w:rsid w:val="57BD59E1"/>
    <w:rsid w:val="5BE622DD"/>
    <w:rsid w:val="619B1FAD"/>
    <w:rsid w:val="628902BF"/>
    <w:rsid w:val="636933AB"/>
    <w:rsid w:val="688F6C5F"/>
    <w:rsid w:val="6B671DD3"/>
    <w:rsid w:val="701C77FC"/>
    <w:rsid w:val="75B15BA4"/>
    <w:rsid w:val="76A05D5E"/>
    <w:rsid w:val="79EC602F"/>
    <w:rsid w:val="79FA1179"/>
    <w:rsid w:val="7AC041E2"/>
    <w:rsid w:val="7CDC6547"/>
    <w:rsid w:val="7EDA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tabs>
        <w:tab w:val="left" w:pos="567"/>
      </w:tabs>
      <w:spacing w:line="500" w:lineRule="exact"/>
      <w:ind w:left="567" w:hanging="567"/>
      <w:jc w:val="center"/>
      <w:outlineLvl w:val="1"/>
    </w:pPr>
    <w:rPr>
      <w:rFonts w:ascii="Arial" w:hAnsi="Arial" w:eastAsia="仿宋_GB2312" w:cs="Times New Roman"/>
      <w:b/>
      <w:bCs/>
      <w:sz w:val="28"/>
      <w:szCs w:val="32"/>
    </w:rPr>
  </w:style>
  <w:style w:type="paragraph" w:styleId="4">
    <w:name w:val="heading 3"/>
    <w:basedOn w:val="1"/>
    <w:next w:val="1"/>
    <w:qFormat/>
    <w:uiPriority w:val="1"/>
    <w:pPr>
      <w:keepNext/>
      <w:keepLines/>
      <w:numPr>
        <w:ilvl w:val="2"/>
        <w:numId w:val="1"/>
      </w:numPr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Body Text Indent 2"/>
    <w:basedOn w:val="1"/>
    <w:link w:val="13"/>
    <w:qFormat/>
    <w:uiPriority w:val="0"/>
    <w:pPr>
      <w:spacing w:line="480" w:lineRule="exact"/>
      <w:ind w:left="810" w:firstLine="675"/>
    </w:pPr>
    <w:rPr>
      <w:rFonts w:ascii="Times New Roman" w:hAnsi="Times New Roman" w:eastAsia="仿宋_GB2312" w:cs="Times New Roman"/>
      <w:sz w:val="30"/>
      <w:szCs w:val="20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"/>
    <w:basedOn w:val="10"/>
    <w:link w:val="8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正文文本缩进 2 字符"/>
    <w:basedOn w:val="10"/>
    <w:link w:val="6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paragraph" w:customStyle="1" w:styleId="15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_Style 3"/>
    <w:basedOn w:val="1"/>
    <w:qFormat/>
    <w:uiPriority w:val="34"/>
    <w:pPr>
      <w:ind w:firstLine="420" w:firstLineChars="200"/>
    </w:pPr>
  </w:style>
  <w:style w:type="paragraph" w:customStyle="1" w:styleId="17">
    <w:name w:val="Revision"/>
    <w:hidden/>
    <w:unhideWhenUsed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1561</Words>
  <Characters>1618</Characters>
  <Lines>12</Lines>
  <Paragraphs>3</Paragraphs>
  <TotalTime>2</TotalTime>
  <ScaleCrop>false</ScaleCrop>
  <LinksUpToDate>false</LinksUpToDate>
  <CharactersWithSpaces>1633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2023-11-23T04:06:00Z</dcterms:created>
  <dc:creator>乐乐</dc:creator>
  <cp:lastModifiedBy>星亮</cp:lastModifiedBy>
  <cp:lastPrinted>2023-12-28T04:42:00Z</cp:lastPrinted>
  <dcterms:modified xsi:type="dcterms:W3CDTF">2024-12-20T06:41:21Z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C11818AAEDE44660A80F516E0C350837_13</vt:lpwstr>
  </property>
</Properties>
</file>