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sz w:val="24"/>
        </w:rPr>
        <w:t>附件1</w:t>
      </w:r>
    </w:p>
    <w:p>
      <w:pPr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横琴粤澳深度合作区业主自有产权景观照明设施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管理情况考核表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81"/>
        <w:gridCol w:w="2835"/>
        <w:gridCol w:w="1982"/>
        <w:gridCol w:w="890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考核内容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检查标准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扣分标准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扣分值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扣分依据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管理情况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安排专人管理景观照明设施，并向合作区城市规划和建设局报备，确保联系畅通。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未报备，扣5分；联系不畅通，扣2分/次。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电缆线路无严重缺陷和损伤，各元件器和导线连接可靠、无缺损。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每发现一项不符合，扣2分/次。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保持设备清洁、安全。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脏乱每处扣1分。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亮灯保障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认真做好规定亮灯时段的亮灯保障，不发生不亮、断亮等情况。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未按要求亮灯，扣20分/次。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配合情况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服从集中控制统一指挥，不擅自对设备和线路进行断开及违规操作。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擅自操作造成不良影响的，扣5分/次。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考核总扣分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考核总得分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备注：</w:t>
      </w:r>
    </w:p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1、遇不可抗力或政府行为造成未按规定亮灯的，不扣分。</w:t>
      </w:r>
    </w:p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2、景观照明设施的业主自有产权人有以下行为的，其行为期间的考核结果分按0分处理：</w:t>
      </w:r>
    </w:p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（1）违反《城市照明管理规定》，在景观照明中有过度照明等超能耗标准行为；</w:t>
      </w:r>
    </w:p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（2）擅自迁移、拆除景观照明或在景观照明设施上架设线缆、安置其它非景观照明设施或者接用电源；</w:t>
      </w:r>
    </w:p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（3）发生景观照明安全事故的； </w:t>
      </w:r>
    </w:p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（4）其它可能影响景观照明设施正常运行的行为。</w:t>
      </w:r>
    </w:p>
    <w:p>
      <w:pPr>
        <w:widowControl/>
        <w:ind w:firstLine="480"/>
        <w:jc w:val="left"/>
        <w:rPr>
          <w:rFonts w:ascii="仿宋" w:hAnsi="仿宋" w:eastAsia="仿宋" w:cs="仿宋_GB2312"/>
          <w:sz w:val="24"/>
        </w:rPr>
      </w:pPr>
    </w:p>
    <w:p>
      <w:pPr>
        <w:widowControl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被考核单位（盖章）：                         考核单位：          </w:t>
      </w:r>
    </w:p>
    <w:p>
      <w:pPr>
        <w:widowControl/>
        <w:jc w:val="left"/>
        <w:rPr>
          <w:rFonts w:ascii="仿宋" w:hAnsi="仿宋" w:eastAsia="仿宋" w:cs="仿宋_GB2312"/>
          <w:sz w:val="24"/>
        </w:rPr>
      </w:pPr>
    </w:p>
    <w:p>
      <w:pPr>
        <w:widowControl/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负责人（签字）：                             经办人（签字）：</w:t>
      </w:r>
    </w:p>
    <w:p>
      <w:pPr>
        <w:jc w:val="lef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 xml:space="preserve">   </w:t>
      </w:r>
    </w:p>
    <w:p>
      <w:pPr>
        <w:jc w:val="left"/>
      </w:pPr>
      <w:r>
        <w:rPr>
          <w:rFonts w:hint="eastAsia" w:ascii="仿宋" w:hAnsi="仿宋" w:eastAsia="仿宋" w:cs="仿宋_GB2312"/>
          <w:sz w:val="24"/>
        </w:rPr>
        <w:t>年    月    日      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2025-01-13T01:06:31Z</dcterms:created>
  <dc:creator>MAXHUB</dc:creator>
  <cp:lastModifiedBy>张亦超:公文起草</cp:lastModifiedBy>
  <dcterms:modified xsi:type="dcterms:W3CDTF">2025-01-13T01:06:43Z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0FDF98F065CA460C84627BFE8CA5AEB0</vt:lpwstr>
  </property>
</Properties>
</file>