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jc w:val="both"/>
        <w:rPr>
          <w:rFonts w:hint="eastAsia" w:ascii="Times New Roman" w:hAnsi="Times New Roman" w:eastAsia="方正小标宋简体" w:cs="Times New Roman"/>
          <w:kern w:val="0"/>
          <w:sz w:val="44"/>
          <w:szCs w:val="44"/>
        </w:rPr>
      </w:pPr>
    </w:p>
    <w:p>
      <w:pPr>
        <w:pStyle w:val="2"/>
        <w:rPr>
          <w:rFonts w:hint="eastAsia" w:ascii="Times New Roman" w:hAnsi="Times New Roman" w:eastAsia="方正小标宋简体" w:cs="Times New Roman"/>
          <w:kern w:val="0"/>
          <w:sz w:val="44"/>
          <w:szCs w:val="44"/>
        </w:rPr>
      </w:pPr>
    </w:p>
    <w:p>
      <w:pPr>
        <w:pStyle w:val="2"/>
        <w:rPr>
          <w:rFonts w:hint="eastAsia" w:ascii="Times New Roman" w:hAnsi="Times New Roman" w:eastAsia="方正小标宋简体" w:cs="Times New Roman"/>
          <w:kern w:val="0"/>
          <w:sz w:val="44"/>
          <w:szCs w:val="44"/>
        </w:rPr>
      </w:pPr>
    </w:p>
    <w:p>
      <w:pPr>
        <w:adjustRightInd/>
        <w:snapToGrid/>
        <w:spacing w:line="360" w:lineRule="auto"/>
        <w:ind w:firstLine="0" w:firstLineChars="0"/>
        <w:jc w:val="center"/>
        <w:rPr>
          <w:rFonts w:hint="eastAsia" w:ascii="Times New Roman" w:hAnsi="Times New Roman" w:eastAsia="方正小标宋简体" w:cs="Times New Roman"/>
          <w:kern w:val="0"/>
          <w:sz w:val="44"/>
          <w:szCs w:val="44"/>
        </w:rPr>
      </w:pPr>
      <w:r>
        <w:rPr>
          <w:rFonts w:hint="eastAsia" w:ascii="Times New Roman" w:hAnsi="Times New Roman" w:eastAsia="方正小标宋简体" w:cs="Times New Roman"/>
          <w:kern w:val="0"/>
          <w:sz w:val="44"/>
          <w:szCs w:val="44"/>
        </w:rPr>
        <w:t>横琴粤澳深度合作区环境空气质量功能</w:t>
      </w:r>
    </w:p>
    <w:p>
      <w:pPr>
        <w:adjustRightInd/>
        <w:snapToGrid/>
        <w:spacing w:line="360" w:lineRule="auto"/>
        <w:ind w:firstLine="0" w:firstLineChars="0"/>
        <w:jc w:val="center"/>
        <w:rPr>
          <w:rFonts w:hint="eastAsia" w:ascii="Times New Roman" w:hAnsi="Times New Roman" w:eastAsia="方正小标宋简体" w:cs="Times New Roman"/>
          <w:kern w:val="0"/>
          <w:sz w:val="44"/>
          <w:szCs w:val="44"/>
        </w:rPr>
      </w:pPr>
      <w:r>
        <w:rPr>
          <w:rFonts w:hint="eastAsia" w:ascii="Times New Roman" w:hAnsi="Times New Roman" w:eastAsia="方正小标宋简体" w:cs="Times New Roman"/>
          <w:kern w:val="0"/>
          <w:sz w:val="44"/>
          <w:szCs w:val="44"/>
        </w:rPr>
        <w:t>区划方案</w:t>
      </w:r>
    </w:p>
    <w:p>
      <w:pPr>
        <w:pStyle w:val="2"/>
        <w:rPr>
          <w:rFonts w:hint="eastAsia" w:ascii="Times New Roman" w:hAnsi="Times New Roman" w:eastAsia="方正小标宋简体" w:cs="Times New Roman"/>
          <w:kern w:val="0"/>
          <w:sz w:val="40"/>
          <w:szCs w:val="40"/>
        </w:rPr>
      </w:pPr>
    </w:p>
    <w:p>
      <w:pPr>
        <w:pStyle w:val="2"/>
        <w:rPr>
          <w:rFonts w:hint="eastAsia" w:ascii="Times New Roman" w:hAnsi="Times New Roman" w:eastAsia="方正小标宋简体" w:cs="Times New Roman"/>
          <w:kern w:val="0"/>
          <w:sz w:val="40"/>
          <w:szCs w:val="40"/>
        </w:rPr>
      </w:pPr>
    </w:p>
    <w:p>
      <w:pPr>
        <w:pStyle w:val="2"/>
        <w:rPr>
          <w:rFonts w:hint="eastAsia" w:ascii="Times New Roman" w:hAnsi="Times New Roman" w:eastAsia="方正小标宋简体" w:cs="Times New Roman"/>
          <w:kern w:val="0"/>
          <w:sz w:val="40"/>
          <w:szCs w:val="40"/>
        </w:rPr>
      </w:pPr>
    </w:p>
    <w:p>
      <w:pPr>
        <w:pStyle w:val="2"/>
        <w:rPr>
          <w:rFonts w:hint="eastAsia" w:ascii="Times New Roman" w:hAnsi="Times New Roman" w:eastAsia="方正小标宋简体" w:cs="Times New Roman"/>
          <w:kern w:val="0"/>
          <w:sz w:val="40"/>
          <w:szCs w:val="40"/>
        </w:rPr>
      </w:pPr>
    </w:p>
    <w:p>
      <w:pPr>
        <w:pStyle w:val="2"/>
        <w:rPr>
          <w:rFonts w:hint="eastAsia" w:ascii="Times New Roman" w:hAnsi="Times New Roman" w:eastAsia="方正小标宋简体" w:cs="Times New Roman"/>
          <w:kern w:val="0"/>
          <w:sz w:val="40"/>
          <w:szCs w:val="40"/>
        </w:rPr>
      </w:pPr>
    </w:p>
    <w:p>
      <w:pPr>
        <w:pStyle w:val="2"/>
        <w:rPr>
          <w:rFonts w:hint="eastAsia" w:ascii="Times New Roman" w:hAnsi="Times New Roman" w:eastAsia="方正小标宋简体" w:cs="Times New Roman"/>
          <w:kern w:val="0"/>
          <w:sz w:val="40"/>
          <w:szCs w:val="40"/>
        </w:rPr>
      </w:pPr>
    </w:p>
    <w:p>
      <w:pPr>
        <w:pStyle w:val="2"/>
        <w:rPr>
          <w:rFonts w:hint="eastAsia" w:ascii="Times New Roman" w:hAnsi="Times New Roman" w:eastAsia="方正小标宋简体" w:cs="Times New Roman"/>
          <w:kern w:val="0"/>
          <w:sz w:val="40"/>
          <w:szCs w:val="40"/>
        </w:rPr>
      </w:pPr>
    </w:p>
    <w:p>
      <w:pPr>
        <w:pStyle w:val="2"/>
        <w:rPr>
          <w:rFonts w:hint="eastAsia" w:ascii="Times New Roman" w:hAnsi="Times New Roman" w:eastAsia="方正小标宋简体" w:cs="Times New Roman"/>
          <w:kern w:val="0"/>
          <w:sz w:val="40"/>
          <w:szCs w:val="40"/>
        </w:rPr>
      </w:pPr>
    </w:p>
    <w:p>
      <w:pPr>
        <w:pStyle w:val="2"/>
        <w:rPr>
          <w:rFonts w:hint="eastAsia" w:ascii="Times New Roman" w:hAnsi="Times New Roman" w:eastAsia="方正小标宋简体" w:cs="Times New Roman"/>
          <w:kern w:val="0"/>
          <w:sz w:val="40"/>
          <w:szCs w:val="40"/>
        </w:rPr>
      </w:pPr>
    </w:p>
    <w:p>
      <w:pPr>
        <w:pStyle w:val="2"/>
        <w:rPr>
          <w:rFonts w:hint="eastAsia" w:ascii="Times New Roman" w:hAnsi="Times New Roman" w:eastAsia="方正小标宋简体" w:cs="Times New Roman"/>
          <w:kern w:val="0"/>
          <w:sz w:val="40"/>
          <w:szCs w:val="40"/>
        </w:rPr>
      </w:pPr>
    </w:p>
    <w:p>
      <w:pPr>
        <w:adjustRightInd/>
        <w:snapToGrid/>
        <w:spacing w:line="360" w:lineRule="auto"/>
        <w:ind w:firstLine="0" w:firstLineChars="0"/>
        <w:jc w:val="center"/>
        <w:rPr>
          <w:rFonts w:hint="eastAsia" w:ascii="Times New Roman" w:hAnsi="Times New Roman" w:eastAsia="黑体" w:cs="Times New Roman"/>
          <w:kern w:val="0"/>
          <w:sz w:val="32"/>
          <w:szCs w:val="32"/>
          <w:lang w:val="en-US" w:eastAsia="zh-CN"/>
        </w:rPr>
      </w:pPr>
    </w:p>
    <w:p>
      <w:pPr>
        <w:adjustRightInd/>
        <w:snapToGrid/>
        <w:spacing w:line="360" w:lineRule="auto"/>
        <w:ind w:firstLine="0" w:firstLineChars="0"/>
        <w:jc w:val="center"/>
        <w:rPr>
          <w:rFonts w:hint="eastAsia" w:ascii="Times New Roman" w:hAnsi="Times New Roman" w:eastAsia="黑体" w:cs="Times New Roman"/>
          <w:kern w:val="0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Times New Roman" w:hAnsi="Times New Roman" w:eastAsia="黑体" w:cs="Times New Roman"/>
          <w:kern w:val="0"/>
          <w:sz w:val="32"/>
          <w:szCs w:val="32"/>
          <w:lang w:val="en-US" w:eastAsia="zh-CN"/>
        </w:rPr>
        <w:t>2025年2月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为改善环境空气质量，有效防治大气污染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，促进经济社会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高质量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发展，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结合我区城市发展现状与规划情况，对环境空气质量功能区进行划分。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720" w:firstLineChars="200"/>
        <w:textAlignment w:val="auto"/>
        <w:rPr>
          <w:rFonts w:hint="default" w:ascii="Times New Roman" w:hAnsi="Times New Roman" w:eastAsia="黑体" w:cs="Times New Roman"/>
          <w:kern w:val="0"/>
          <w:sz w:val="36"/>
          <w:szCs w:val="36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0"/>
          <w:sz w:val="36"/>
          <w:szCs w:val="36"/>
          <w:lang w:val="en-US" w:eastAsia="zh-CN" w:bidi="ar-SA"/>
        </w:rPr>
        <w:t>适用范围</w:t>
      </w:r>
    </w:p>
    <w:p>
      <w:pPr>
        <w:adjustRightInd/>
        <w:snapToGrid/>
        <w:spacing w:line="60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本方案适用于横琴粤澳深度合作区行政辖区全陆域范围，规划陆域总面积82.11平方公里。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720" w:firstLineChars="200"/>
        <w:textAlignment w:val="auto"/>
        <w:rPr>
          <w:rFonts w:hint="default" w:ascii="Times New Roman" w:hAnsi="Times New Roman" w:eastAsia="黑体" w:cs="Times New Roman"/>
          <w:kern w:val="0"/>
          <w:sz w:val="36"/>
          <w:szCs w:val="36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kern w:val="0"/>
          <w:sz w:val="36"/>
          <w:szCs w:val="36"/>
          <w:lang w:val="en-US" w:eastAsia="zh-CN" w:bidi="ar-SA"/>
        </w:rPr>
        <w:t>区划</w:t>
      </w:r>
      <w:r>
        <w:rPr>
          <w:rFonts w:hint="default" w:ascii="Times New Roman" w:hAnsi="Times New Roman" w:eastAsia="黑体" w:cs="Times New Roman"/>
          <w:kern w:val="0"/>
          <w:sz w:val="36"/>
          <w:szCs w:val="36"/>
          <w:lang w:val="en-US" w:eastAsia="zh-CN" w:bidi="ar-SA"/>
        </w:rPr>
        <w:t>原则</w:t>
      </w:r>
    </w:p>
    <w:p>
      <w:pPr>
        <w:adjustRightInd/>
        <w:snapToGrid/>
        <w:spacing w:line="600" w:lineRule="exact"/>
        <w:ind w:firstLine="640" w:firstLineChars="200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（一）明确区划单元地理边界，充分利用现行行政区界或自然分界线。</w:t>
      </w:r>
    </w:p>
    <w:p>
      <w:pPr>
        <w:adjustRightInd/>
        <w:snapToGrid/>
        <w:spacing w:line="600" w:lineRule="exact"/>
        <w:ind w:firstLine="640" w:firstLineChars="200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（二）既要考虑环境空气质量现状，又要兼顾城市发展规划。</w:t>
      </w:r>
    </w:p>
    <w:p>
      <w:pPr>
        <w:adjustRightInd/>
        <w:snapToGrid/>
        <w:spacing w:line="600" w:lineRule="exact"/>
        <w:ind w:firstLine="640" w:firstLineChars="200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（三）不随意降低原已划定的功能区的类别。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720" w:firstLineChars="200"/>
        <w:textAlignment w:val="auto"/>
        <w:rPr>
          <w:rFonts w:hint="default" w:ascii="Times New Roman" w:hAnsi="Times New Roman" w:eastAsia="黑体" w:cs="Times New Roman"/>
          <w:kern w:val="0"/>
          <w:sz w:val="36"/>
          <w:szCs w:val="36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kern w:val="0"/>
          <w:sz w:val="36"/>
          <w:szCs w:val="36"/>
          <w:lang w:val="en-US" w:eastAsia="zh-CN" w:bidi="ar-SA"/>
        </w:rPr>
        <w:t>区划方法与适用标准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根据《环境空气质量标准》（GB3095-2012），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将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环境空气功能区分为一类环境空气质量功能区（一类区）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二类环境空气质量功能区（二类区）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一类区：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为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自然保护区、风景名胜区和其他需要特殊保护的区域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二类区：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为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居住区、商业交通居民混合区、文化区、工业区和农村地区。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环境空气质量要求按国家《环境空气质量标准》（GB3095-2012）及其修改单的规定执行，一类区执行环境空气质量一级标准，二类区执行环境空气质量二级标准。</w:t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720" w:firstLineChars="200"/>
        <w:textAlignment w:val="auto"/>
        <w:rPr>
          <w:rFonts w:hint="default" w:ascii="Times New Roman" w:hAnsi="Times New Roman" w:eastAsia="黑体" w:cs="Times New Roman"/>
          <w:kern w:val="0"/>
          <w:sz w:val="36"/>
          <w:szCs w:val="36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kern w:val="0"/>
          <w:sz w:val="36"/>
          <w:szCs w:val="36"/>
          <w:lang w:val="en-US" w:eastAsia="zh-CN" w:bidi="ar-SA"/>
        </w:rPr>
        <w:t>区划方案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本次区划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不划定一类区，将全区行政辖区陆域范围划为二类区，面积为82.11平方公里。具体划分结果详见附件。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ind w:firstLine="720" w:firstLineChars="200"/>
        <w:textAlignment w:val="auto"/>
        <w:rPr>
          <w:rFonts w:hint="default" w:ascii="Times New Roman" w:hAnsi="Times New Roman" w:eastAsia="黑体" w:cs="Times New Roman"/>
          <w:kern w:val="0"/>
          <w:sz w:val="36"/>
          <w:szCs w:val="36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kern w:val="0"/>
          <w:sz w:val="36"/>
          <w:szCs w:val="36"/>
          <w:lang w:val="en-US" w:eastAsia="zh-CN" w:bidi="ar-SA"/>
        </w:rPr>
        <w:t>附注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本区划文本和附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件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不作为定界依据。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本区划由横琴粤澳深度合作区城市规划和建设局负责解释。</w:t>
      </w:r>
    </w:p>
    <w:p>
      <w:pPr>
        <w:pStyle w:val="2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附件：1.横琴粤澳深度合作区环境空气质量功能区划表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1600" w:firstLineChars="5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2.横琴粤澳深度合作区环境空气质量功能区划图</w:t>
      </w:r>
      <w:bookmarkStart w:id="0" w:name="_GoBack"/>
      <w:bookmarkEnd w:id="0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0" w:firstLineChars="0"/>
        <w:jc w:val="left"/>
        <w:rPr>
          <w:rFonts w:hint="default" w:ascii="Times New Roman" w:hAnsi="Times New Roman" w:eastAsia="黑体" w:cs="Times New Roman"/>
          <w:b/>
          <w:bCs/>
          <w:kern w:val="2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黑体" w:cs="Times New Roman"/>
          <w:b/>
          <w:bCs/>
          <w:kern w:val="2"/>
          <w:sz w:val="24"/>
          <w:szCs w:val="24"/>
          <w:lang w:val="en-US" w:eastAsia="zh-CN" w:bidi="ar"/>
        </w:rPr>
        <w:t>附件</w:t>
      </w:r>
      <w:r>
        <w:rPr>
          <w:rFonts w:hint="default" w:ascii="Times New Roman" w:hAnsi="Times New Roman" w:eastAsia="黑体" w:cs="Times New Roman"/>
          <w:b/>
          <w:bCs/>
          <w:kern w:val="2"/>
          <w:sz w:val="24"/>
          <w:szCs w:val="24"/>
          <w:lang w:val="en-US" w:eastAsia="zh-CN" w:bidi="ar"/>
        </w:rPr>
        <w:t xml:space="preserve">1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0" w:firstLineChars="0"/>
        <w:jc w:val="center"/>
        <w:rPr>
          <w:rFonts w:hint="default" w:ascii="Times New Roman" w:hAnsi="Times New Roman" w:eastAsia="黑体" w:cs="Times New Roman"/>
          <w:b/>
          <w:bCs/>
          <w:sz w:val="24"/>
          <w:szCs w:val="24"/>
          <w:lang w:val="en-US"/>
        </w:rPr>
      </w:pPr>
      <w:r>
        <w:rPr>
          <w:rFonts w:hint="default" w:ascii="Times New Roman" w:hAnsi="Times New Roman" w:eastAsia="黑体" w:cs="Times New Roman"/>
          <w:b/>
          <w:bCs/>
          <w:kern w:val="2"/>
          <w:sz w:val="24"/>
          <w:szCs w:val="24"/>
          <w:lang w:val="en-US" w:eastAsia="zh-CN" w:bidi="ar"/>
        </w:rPr>
        <w:t>横琴粤澳深度合作区环境空气质量功能区</w:t>
      </w:r>
      <w:r>
        <w:rPr>
          <w:rFonts w:hint="eastAsia" w:ascii="Times New Roman" w:hAnsi="Times New Roman" w:eastAsia="黑体" w:cs="Times New Roman"/>
          <w:b/>
          <w:bCs/>
          <w:kern w:val="2"/>
          <w:sz w:val="24"/>
          <w:szCs w:val="24"/>
          <w:lang w:val="en-US" w:eastAsia="zh-CN" w:bidi="ar"/>
        </w:rPr>
        <w:t>划表</w:t>
      </w:r>
    </w:p>
    <w:tbl>
      <w:tblPr>
        <w:tblStyle w:val="7"/>
        <w:tblW w:w="1301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7"/>
        <w:gridCol w:w="2460"/>
        <w:gridCol w:w="4924"/>
        <w:gridCol w:w="25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  <w:jc w:val="center"/>
        </w:trPr>
        <w:tc>
          <w:tcPr>
            <w:tcW w:w="3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default" w:ascii="Times New Roman" w:hAnsi="Times New Roman" w:eastAsia="黑体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kern w:val="2"/>
                <w:sz w:val="24"/>
                <w:szCs w:val="24"/>
                <w:lang w:val="en-US" w:eastAsia="zh-CN" w:bidi="ar"/>
              </w:rPr>
              <w:t>功能区类别</w:t>
            </w:r>
          </w:p>
        </w:tc>
        <w:tc>
          <w:tcPr>
            <w:tcW w:w="24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default" w:ascii="Times New Roman" w:hAnsi="Times New Roman" w:eastAsia="黑体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kern w:val="2"/>
                <w:sz w:val="24"/>
                <w:szCs w:val="24"/>
                <w:lang w:val="en-US" w:eastAsia="zh-CN" w:bidi="ar"/>
              </w:rPr>
              <w:t>区域范围</w:t>
            </w:r>
          </w:p>
        </w:tc>
        <w:tc>
          <w:tcPr>
            <w:tcW w:w="4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default" w:ascii="Times New Roman" w:hAnsi="Times New Roman" w:eastAsia="黑体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kern w:val="2"/>
                <w:sz w:val="24"/>
                <w:szCs w:val="24"/>
                <w:lang w:val="en-US" w:eastAsia="zh-CN" w:bidi="ar"/>
              </w:rPr>
              <w:t>区域主要功能</w:t>
            </w:r>
          </w:p>
        </w:tc>
        <w:tc>
          <w:tcPr>
            <w:tcW w:w="25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default" w:ascii="Times New Roman" w:hAnsi="Times New Roman" w:eastAsia="黑体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kern w:val="2"/>
                <w:sz w:val="24"/>
                <w:szCs w:val="24"/>
                <w:lang w:val="en-US" w:eastAsia="zh-CN" w:bidi="ar"/>
              </w:rPr>
              <w:t>面积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default" w:ascii="Times New Roman" w:hAnsi="Times New Roman" w:eastAsia="黑体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kern w:val="2"/>
                <w:sz w:val="24"/>
                <w:szCs w:val="24"/>
                <w:lang w:val="en-US" w:eastAsia="zh-CN" w:bidi="ar"/>
              </w:rPr>
              <w:t>（</w:t>
            </w:r>
            <w:r>
              <w:rPr>
                <w:rFonts w:hint="eastAsia" w:ascii="Times New Roman" w:hAnsi="Times New Roman" w:eastAsia="黑体" w:cs="Times New Roman"/>
                <w:b/>
                <w:bCs/>
                <w:kern w:val="2"/>
                <w:sz w:val="24"/>
                <w:szCs w:val="24"/>
                <w:lang w:val="en-US" w:eastAsia="zh-CN" w:bidi="ar"/>
              </w:rPr>
              <w:t>平方公里</w:t>
            </w:r>
            <w:r>
              <w:rPr>
                <w:rFonts w:hint="default" w:ascii="Times New Roman" w:hAnsi="Times New Roman" w:eastAsia="黑体" w:cs="Times New Roman"/>
                <w:b/>
                <w:bCs/>
                <w:kern w:val="2"/>
                <w:sz w:val="24"/>
                <w:szCs w:val="24"/>
                <w:lang w:val="en-US" w:eastAsia="zh-CN" w:bidi="ar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  <w:jc w:val="center"/>
        </w:trPr>
        <w:tc>
          <w:tcPr>
            <w:tcW w:w="3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二类环境空气质量功能区</w:t>
            </w:r>
          </w:p>
        </w:tc>
        <w:tc>
          <w:tcPr>
            <w:tcW w:w="24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全域用地</w:t>
            </w:r>
          </w:p>
        </w:tc>
        <w:tc>
          <w:tcPr>
            <w:tcW w:w="4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居住区、商业交通居民混合区、文化区、工业区</w:t>
            </w:r>
          </w:p>
        </w:tc>
        <w:tc>
          <w:tcPr>
            <w:tcW w:w="25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82.11</w:t>
            </w:r>
          </w:p>
        </w:tc>
      </w:tr>
    </w:tbl>
    <w:p>
      <w:pPr>
        <w:pStyle w:val="2"/>
        <w:rPr>
          <w:rFonts w:hint="default"/>
          <w:lang w:val="en-US" w:eastAsia="zh-CN"/>
        </w:rPr>
        <w:sectPr>
          <w:pgSz w:w="15840" w:h="12240" w:orient="landscape"/>
          <w:pgMar w:top="1800" w:right="1440" w:bottom="1800" w:left="1440" w:header="720" w:footer="720" w:gutter="0"/>
          <w:cols w:space="425" w:num="1"/>
          <w:docGrid w:type="lines" w:linePitch="312" w:charSpace="0"/>
        </w:sect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0" w:firstLineChars="0"/>
        <w:jc w:val="left"/>
        <w:rPr>
          <w:rFonts w:hint="default" w:ascii="Times New Roman" w:hAnsi="Times New Roman" w:eastAsia="黑体" w:cs="Times New Roman"/>
          <w:b/>
          <w:bCs/>
          <w:kern w:val="2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黑体" w:cs="Times New Roman"/>
          <w:b/>
          <w:bCs/>
          <w:kern w:val="2"/>
          <w:sz w:val="24"/>
          <w:szCs w:val="24"/>
          <w:lang w:val="en-US" w:eastAsia="zh-CN" w:bidi="ar"/>
        </w:rPr>
        <w:t>附件2</w:t>
      </w:r>
      <w:r>
        <w:rPr>
          <w:rFonts w:hint="default" w:ascii="Times New Roman" w:hAnsi="Times New Roman" w:eastAsia="黑体" w:cs="Times New Roman"/>
          <w:b/>
          <w:bCs/>
          <w:kern w:val="2"/>
          <w:sz w:val="24"/>
          <w:szCs w:val="24"/>
          <w:lang w:val="en-US" w:eastAsia="zh-CN" w:bidi="ar"/>
        </w:rPr>
        <w:t xml:space="preserve"> </w:t>
      </w:r>
    </w:p>
    <w:p>
      <w:pPr>
        <w:pStyle w:val="2"/>
        <w:jc w:val="center"/>
      </w:pPr>
      <w:r>
        <w:drawing>
          <wp:inline distT="0" distB="0" distL="114300" distR="114300">
            <wp:extent cx="7787005" cy="5507990"/>
            <wp:effectExtent l="0" t="0" r="444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87005" cy="550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0" w:firstLineChars="0"/>
        <w:jc w:val="center"/>
        <w:rPr>
          <w:rFonts w:hint="default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kern w:val="2"/>
          <w:sz w:val="24"/>
          <w:szCs w:val="24"/>
          <w:lang w:val="en-US" w:eastAsia="zh-CN" w:bidi="ar"/>
        </w:rPr>
        <w:t>横琴粤澳深度合作区环境空气质量功能区</w:t>
      </w:r>
      <w:r>
        <w:rPr>
          <w:rFonts w:hint="eastAsia" w:ascii="Times New Roman" w:hAnsi="Times New Roman" w:eastAsia="黑体" w:cs="Times New Roman"/>
          <w:b/>
          <w:bCs/>
          <w:kern w:val="2"/>
          <w:sz w:val="24"/>
          <w:szCs w:val="24"/>
          <w:lang w:val="en-US" w:eastAsia="zh-CN" w:bidi="ar"/>
        </w:rPr>
        <w:t>划图</w:t>
      </w:r>
    </w:p>
    <w:sectPr>
      <w:pgSz w:w="15840" w:h="12240" w:orient="landscape"/>
      <w:pgMar w:top="1123" w:right="1440" w:bottom="1123" w:left="1440" w:header="720" w:footer="72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default" w:ascii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default" w:ascii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DC45CD0"/>
    <w:multiLevelType w:val="singleLevel"/>
    <w:tmpl w:val="3DC45CD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6B9A850"/>
    <w:multiLevelType w:val="singleLevel"/>
    <w:tmpl w:val="66B9A850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zYmIzYTQxODY4NzdhMGEyZDY3YjUxM2EzY2YzMjMifQ=="/>
  </w:docVars>
  <w:rsids>
    <w:rsidRoot w:val="00000000"/>
    <w:rsid w:val="0153795C"/>
    <w:rsid w:val="0B2B77D7"/>
    <w:rsid w:val="0B925387"/>
    <w:rsid w:val="0F8C0A60"/>
    <w:rsid w:val="15804BC3"/>
    <w:rsid w:val="1CD51F44"/>
    <w:rsid w:val="27870033"/>
    <w:rsid w:val="27FF5E1C"/>
    <w:rsid w:val="28D702FE"/>
    <w:rsid w:val="33373C40"/>
    <w:rsid w:val="370739B8"/>
    <w:rsid w:val="38F52FB3"/>
    <w:rsid w:val="3E617BA5"/>
    <w:rsid w:val="517C449E"/>
    <w:rsid w:val="61314A39"/>
    <w:rsid w:val="64A00200"/>
    <w:rsid w:val="6C6E3FDB"/>
    <w:rsid w:val="70E1568B"/>
    <w:rsid w:val="74A30100"/>
    <w:rsid w:val="7C990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spacing w:after="120"/>
    </w:pPr>
    <w:rPr>
      <w:kern w:val="0"/>
      <w:szCs w:val="2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rPr>
      <w:sz w:val="24"/>
    </w:rPr>
  </w:style>
  <w:style w:type="table" w:styleId="7">
    <w:name w:val="Table Grid"/>
    <w:basedOn w:val="6"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customStyle="1" w:styleId="9">
    <w:name w:val="font01"/>
    <w:basedOn w:val="8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655</Words>
  <Characters>692</Characters>
  <Lines>0</Lines>
  <Paragraphs>0</Paragraphs>
  <TotalTime>14</TotalTime>
  <ScaleCrop>false</ScaleCrop>
  <LinksUpToDate>false</LinksUpToDate>
  <CharactersWithSpaces>694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2024-11-20T08:06:00Z</dcterms:created>
  <dc:creator>C615</dc:creator>
  <cp:lastModifiedBy>吴杏妍</cp:lastModifiedBy>
  <dcterms:modified xsi:type="dcterms:W3CDTF">2025-03-05T07:22:19Z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30B2B47EDD9A4D379CE5ADF18B1F9414_12</vt:lpwstr>
  </property>
  <property fmtid="{D5CDD505-2E9C-101B-9397-08002B2CF9AE}" pid="4" name="KSOTemplateDocerSaveRecord">
    <vt:lpwstr>eyJoZGlkIjoiZGQ4MGZhNTc0MmIxZTE1YTgwOTYzZDM1ZDQxMDI0ZmUiLCJ1c2VySWQiOiIxMTczMjEwODUyIn0=</vt:lpwstr>
  </property>
</Properties>
</file>