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360" w:lineRule="auto"/>
        <w:ind w:firstLine="0" w:firstLineChars="0"/>
        <w:jc w:val="center"/>
        <w:rPr>
          <w:rFonts w:hint="eastAsia" w:ascii="Times New Roman" w:hAnsi="Times New Roman" w:eastAsia="方正小标宋简体" w:cs="Times New Roman"/>
          <w:kern w:val="0"/>
          <w:sz w:val="40"/>
          <w:szCs w:val="40"/>
          <w:lang w:eastAsia="zh-CN"/>
        </w:rPr>
      </w:pPr>
    </w:p>
    <w:p>
      <w:pPr>
        <w:adjustRightInd/>
        <w:snapToGrid/>
        <w:spacing w:line="360" w:lineRule="auto"/>
        <w:ind w:firstLine="0" w:firstLineChars="0"/>
        <w:jc w:val="center"/>
        <w:rPr>
          <w:rFonts w:hint="eastAsia" w:ascii="Times New Roman" w:hAnsi="Times New Roman" w:eastAsia="方正小标宋简体" w:cs="Times New Roman"/>
          <w:kern w:val="0"/>
          <w:sz w:val="40"/>
          <w:szCs w:val="40"/>
          <w:lang w:eastAsia="zh-CN"/>
        </w:rPr>
      </w:pPr>
    </w:p>
    <w:p>
      <w:pPr>
        <w:adjustRightInd/>
        <w:snapToGrid/>
        <w:spacing w:line="360" w:lineRule="auto"/>
        <w:ind w:firstLine="0" w:firstLineChars="0"/>
        <w:jc w:val="center"/>
        <w:rPr>
          <w:rFonts w:hint="eastAsia" w:ascii="Times New Roman" w:hAnsi="Times New Roman" w:eastAsia="方正小标宋简体" w:cs="Times New Roman"/>
          <w:kern w:val="0"/>
          <w:sz w:val="40"/>
          <w:szCs w:val="40"/>
          <w:lang w:val="en-US" w:eastAsia="zh-CN"/>
        </w:rPr>
      </w:pPr>
      <w:bookmarkStart w:id="0" w:name="_GoBack"/>
      <w:r>
        <w:rPr>
          <w:rFonts w:hint="eastAsia" w:ascii="Times New Roman" w:hAnsi="Times New Roman" w:eastAsia="方正小标宋简体" w:cs="Times New Roman"/>
          <w:kern w:val="0"/>
          <w:sz w:val="40"/>
          <w:szCs w:val="40"/>
        </w:rPr>
        <w:t>横琴粤澳深度合作区环境功能区划</w:t>
      </w:r>
      <w:r>
        <w:rPr>
          <w:rFonts w:hint="eastAsia" w:ascii="Times New Roman" w:hAnsi="Times New Roman" w:eastAsia="方正小标宋简体" w:cs="Times New Roman"/>
          <w:kern w:val="0"/>
          <w:sz w:val="40"/>
          <w:szCs w:val="40"/>
          <w:lang w:val="en-US" w:eastAsia="zh-CN"/>
        </w:rPr>
        <w:t>编制说明</w:t>
      </w:r>
    </w:p>
    <w:bookmarkEnd w:id="0"/>
    <w:p>
      <w:pPr>
        <w:adjustRightInd/>
        <w:snapToGrid/>
        <w:spacing w:line="360" w:lineRule="auto"/>
        <w:ind w:firstLine="0" w:firstLineChars="0"/>
        <w:jc w:val="center"/>
        <w:rPr>
          <w:rFonts w:hint="eastAsia" w:ascii="Times New Roman" w:hAnsi="Times New Roman" w:eastAsia="方正小标宋简体" w:cs="Times New Roman"/>
          <w:kern w:val="0"/>
          <w:sz w:val="40"/>
          <w:szCs w:val="40"/>
          <w:lang w:val="en-US"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720" w:firstLineChars="200"/>
        <w:textAlignment w:val="auto"/>
        <w:rPr>
          <w:rFonts w:hint="default" w:ascii="Times New Roman" w:hAnsi="Times New Roman" w:eastAsia="黑体" w:cs="Times New Roman"/>
          <w:kern w:val="0"/>
          <w:sz w:val="36"/>
          <w:szCs w:val="36"/>
          <w:lang w:val="en-US" w:eastAsia="zh-CN" w:bidi="ar-SA"/>
        </w:rPr>
      </w:pPr>
      <w:r>
        <w:rPr>
          <w:rFonts w:hint="eastAsia" w:ascii="Times New Roman" w:hAnsi="Times New Roman" w:eastAsia="黑体" w:cs="Times New Roman"/>
          <w:kern w:val="0"/>
          <w:sz w:val="36"/>
          <w:szCs w:val="36"/>
          <w:lang w:val="en-US" w:eastAsia="zh-CN" w:bidi="ar-SA"/>
        </w:rPr>
        <w:t>编制的必要性与依据</w:t>
      </w:r>
    </w:p>
    <w:p>
      <w:pPr>
        <w:numPr>
          <w:ilvl w:val="0"/>
          <w:numId w:val="2"/>
        </w:numPr>
        <w:adjustRightInd/>
        <w:snapToGrid/>
        <w:spacing w:line="60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编制必要性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环境功能区划是环境管理走向源头控制、精细化管理的一项基础性环境制度，是提升环境服务功能、促进国土空间高效协调可持续开发的重要措施</w:t>
      </w:r>
      <w:r>
        <w:rPr>
          <w:rFonts w:hint="eastAsia" w:ascii="Times New Roman" w:hAnsi="Times New Roman" w:eastAsia="仿宋_GB2312" w:cs="Times New Roman"/>
          <w:b w:val="0"/>
          <w:bCs w:val="0"/>
          <w:sz w:val="32"/>
          <w:szCs w:val="32"/>
          <w:lang w:val="en-US" w:eastAsia="zh-CN"/>
        </w:rPr>
        <w:t>。目前我区声环境和环境空气功能区划分别按《珠海市声环境功能区划》（2020年12月）和《珠海市环境空气质量功能区划分（2022年修订）》（2022年12月）两份文件执行，而河流、水库等水环境功能尚未划定。随着合作区的建设进入全面实施、加快推进的新阶段，城市总体发展格局、土地利用管控、城市交通系统以及水生态系统服务功能已发生明显变化，现行区划已不能适应当前环境管理需求。另外，大小横琴山和南面滩涂湿地是我区生态系统与生物多样性保护重点区域，为加大生态保护力度，保障生态安全，有必要调整现行区划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为此，按照生态环境部和广东省生态环境厅的文件要求，组织开展横琴粤澳深度合作区环境功能区划修编工作。</w:t>
      </w:r>
    </w:p>
    <w:p>
      <w:pPr>
        <w:numPr>
          <w:ilvl w:val="0"/>
          <w:numId w:val="2"/>
        </w:numPr>
        <w:adjustRightInd/>
        <w:snapToGrid/>
        <w:spacing w:line="60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编制依据</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《中华人民共和国环境保护法》（2015年）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《中华人民共和国水法》（2016年修正）</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《中华人民共和国水污染防治法》（2017年修正）</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《中华人民共和国大气污染防治法》（2018年修正）</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《中华人民共和国噪声污染防治法》（2021年）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《广东省环境保护条例》（2022年修正）</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《广东省水污染防治条例》（2020年11月）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《广东省大气污染防治条例》（2018年11月）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《横琴粤澳深度合作区建设总体方案》（2021年9月）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《横琴粤澳深度合作区总体发展规划》（2023年12月）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《横琴粤澳深度合作区国土空间总体规划（2021-2035年）》（2024年6月）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《珠海市生态环境局关于印发珠海市声环境功能区区划的通知》（2020年12月）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《珠海市生态环境局关于对&lt;珠海市声环境功能区区划&gt;的补充通知》（珠环函〔2023〕112号）</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《珠海市生态环境局关于印发&lt;珠海市环境空气质量功能区划分（2022年修订）&gt;的通知》（珠环〔2022〕197号）</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《地表水环境质量标准》（GB3838-2002）</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《水功能区划分标准》（GB/T50594-2010）</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《环境空气质量标准》（GB3095-2012）</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《声环境质量标准》（GB 3096-2008）</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《国土空间调查、规划、用途管制用地用海分类指南》（自然资发〔2023〕234号）</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《声环境功能区划分技术规范》（GB/T 15190-2014）</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720" w:firstLineChars="200"/>
        <w:textAlignment w:val="auto"/>
        <w:rPr>
          <w:rFonts w:hint="eastAsia" w:ascii="Times New Roman" w:hAnsi="Times New Roman" w:eastAsia="黑体" w:cs="Times New Roman"/>
          <w:kern w:val="0"/>
          <w:sz w:val="36"/>
          <w:szCs w:val="36"/>
          <w:lang w:val="en-US" w:eastAsia="zh-CN" w:bidi="ar-SA"/>
        </w:rPr>
      </w:pPr>
      <w:r>
        <w:rPr>
          <w:rFonts w:hint="eastAsia" w:ascii="Times New Roman" w:hAnsi="Times New Roman" w:eastAsia="黑体" w:cs="Times New Roman"/>
          <w:kern w:val="0"/>
          <w:sz w:val="36"/>
          <w:szCs w:val="36"/>
          <w:lang w:val="en-US" w:eastAsia="zh-CN" w:bidi="ar-SA"/>
        </w:rPr>
        <w:t>编制过程与征求意见情况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2024年4月，委托中山大学为《横琴粤澳深度合作区环境功能区划修编》（以下简称《区划》）项目的编制单位，启动环境功能区划修编工作。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2024年5月至8月，进行现场调查，收集国土空间规划、环境监测、城市交通等重要资料，形成初步区划成果。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2024年8月至10月，组织开展功能区划成果汇报、第一轮征求意见工作，并根据意见完善区划成果；组织开展环境功能区声环境质量普查监测，形成《区划》评审稿。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2024年11月22日，《区划》通过专家评审会审查，根据专家评审会意见修改完善《区划》，形成征求意见稿。</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firstLine="720" w:firstLineChars="200"/>
        <w:textAlignment w:val="auto"/>
        <w:rPr>
          <w:rFonts w:hint="eastAsia" w:ascii="Times New Roman" w:hAnsi="Times New Roman" w:eastAsia="黑体" w:cs="Times New Roman"/>
          <w:kern w:val="0"/>
          <w:sz w:val="36"/>
          <w:szCs w:val="36"/>
          <w:lang w:val="en-US" w:eastAsia="zh-CN" w:bidi="ar-SA"/>
        </w:rPr>
      </w:pPr>
      <w:r>
        <w:rPr>
          <w:rFonts w:hint="eastAsia" w:ascii="Times New Roman" w:hAnsi="Times New Roman" w:eastAsia="黑体" w:cs="Times New Roman"/>
          <w:kern w:val="0"/>
          <w:sz w:val="36"/>
          <w:szCs w:val="36"/>
          <w:lang w:val="en-US" w:eastAsia="zh-CN" w:bidi="ar-SA"/>
        </w:rPr>
        <w:t>总体要求与主要内容</w:t>
      </w:r>
    </w:p>
    <w:p>
      <w:pPr>
        <w:numPr>
          <w:ilvl w:val="0"/>
          <w:numId w:val="4"/>
        </w:numPr>
        <w:adjustRightInd/>
        <w:snapToGrid/>
        <w:spacing w:line="60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本次环境功能区划修编以《珠海市声环境功能区划》（2020年12月）及其补充通知（2023年9月）、《珠海市环境空气质量功能区划分（2022年修订）》为基础。区划修编既要考虑城市发展现状、环境状况，又要兼顾城市规划，科学划定环境功能区，不得随意降低原已划定的环境功能。将来有经政府部门批准的新增或调整的规划，新增或调整的区域可根据其功能和环境功能区划分原则补充划定或调整为相应环境功能区。</w:t>
      </w:r>
    </w:p>
    <w:p>
      <w:pPr>
        <w:numPr>
          <w:ilvl w:val="0"/>
          <w:numId w:val="4"/>
        </w:numPr>
        <w:adjustRightInd/>
        <w:snapToGrid/>
        <w:spacing w:line="60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主要内容</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地表水环境功能区划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根据《地表水环境质量标准》（GB3838-2002），结合水环境质量现状、水域使用功能以及水生态环境管理要求等，共划定5个地表水环境功能区，其中，Ⅲ类区2个，Ⅳ类区3个。</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环境空气质量功能区划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根据《环境空气质量标准》（GB3095-2012），</w:t>
      </w:r>
      <w:r>
        <w:rPr>
          <w:rFonts w:hint="eastAsia" w:ascii="Times New Roman" w:hAnsi="Times New Roman" w:eastAsia="仿宋_GB2312" w:cs="Times New Roman"/>
          <w:b w:val="0"/>
          <w:bCs w:val="0"/>
          <w:sz w:val="32"/>
          <w:szCs w:val="32"/>
          <w:lang w:val="en-US" w:eastAsia="zh-CN"/>
        </w:rPr>
        <w:t>结合</w:t>
      </w:r>
      <w:r>
        <w:rPr>
          <w:rFonts w:hint="default" w:ascii="Times New Roman" w:hAnsi="Times New Roman" w:eastAsia="仿宋_GB2312" w:cs="Times New Roman"/>
          <w:b w:val="0"/>
          <w:bCs w:val="0"/>
          <w:sz w:val="32"/>
          <w:szCs w:val="32"/>
          <w:lang w:val="en-US" w:eastAsia="zh-CN"/>
        </w:rPr>
        <w:t>总体发展规划以及国土空间总体规划（用地用海规划、城市总体发展格局、国土空间保护格局等）</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将全区行政辖区陆域范围划为二类区。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声环境</w:t>
      </w:r>
      <w:r>
        <w:rPr>
          <w:rFonts w:hint="default" w:ascii="Times New Roman" w:hAnsi="Times New Roman" w:eastAsia="仿宋_GB2312" w:cs="Times New Roman"/>
          <w:b/>
          <w:bCs/>
          <w:sz w:val="32"/>
          <w:szCs w:val="32"/>
          <w:lang w:val="en-US" w:eastAsia="zh-CN"/>
        </w:rPr>
        <w:t>功能区划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根据《中华人民共和国噪声污染防治法》《声环境质量标准》及《声环境功能区划分技术规范》相关要求，</w:t>
      </w:r>
      <w:r>
        <w:rPr>
          <w:rFonts w:hint="eastAsia" w:ascii="Times New Roman" w:hAnsi="Times New Roman" w:eastAsia="仿宋_GB2312" w:cs="Times New Roman"/>
          <w:b w:val="0"/>
          <w:bCs w:val="0"/>
          <w:sz w:val="32"/>
          <w:szCs w:val="32"/>
          <w:lang w:val="en-US" w:eastAsia="zh-CN"/>
        </w:rPr>
        <w:t>结合</w:t>
      </w:r>
      <w:r>
        <w:rPr>
          <w:rFonts w:hint="default" w:ascii="Times New Roman" w:hAnsi="Times New Roman" w:eastAsia="仿宋_GB2312" w:cs="Times New Roman"/>
          <w:b w:val="0"/>
          <w:bCs w:val="0"/>
          <w:sz w:val="32"/>
          <w:szCs w:val="32"/>
          <w:lang w:val="en-US" w:eastAsia="zh-CN"/>
        </w:rPr>
        <w:t>土地利用现状、建成区范围、交通建设现状以及国土空间总体规划（用地用海规划、规划分区、综合交通规划、道路交通规划等）</w:t>
      </w:r>
      <w:r>
        <w:rPr>
          <w:rFonts w:hint="eastAsia" w:ascii="Times New Roman" w:hAnsi="Times New Roman" w:eastAsia="仿宋_GB2312" w:cs="Times New Roman"/>
          <w:b w:val="0"/>
          <w:bCs w:val="0"/>
          <w:sz w:val="32"/>
          <w:szCs w:val="32"/>
          <w:lang w:val="en-US" w:eastAsia="zh-CN"/>
        </w:rPr>
        <w:t>，划定</w:t>
      </w:r>
      <w:r>
        <w:rPr>
          <w:rFonts w:hint="default" w:ascii="Times New Roman" w:hAnsi="Times New Roman" w:eastAsia="仿宋_GB2312" w:cs="Times New Roman"/>
          <w:b w:val="0"/>
          <w:bCs w:val="0"/>
          <w:sz w:val="32"/>
          <w:szCs w:val="32"/>
          <w:lang w:val="en-US" w:eastAsia="zh-CN"/>
        </w:rPr>
        <w:t>声环境功能区如下：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0</w:t>
      </w:r>
      <w:r>
        <w:rPr>
          <w:rFonts w:hint="default" w:ascii="Times New Roman" w:hAnsi="Times New Roman" w:eastAsia="仿宋_GB2312" w:cs="Times New Roman"/>
          <w:b w:val="0"/>
          <w:bCs w:val="0"/>
          <w:sz w:val="32"/>
          <w:szCs w:val="32"/>
          <w:lang w:val="en-US" w:eastAsia="zh-CN"/>
        </w:rPr>
        <w:t>类声环境功能区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本区划不划定0类声环境功能区</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）1类声环境功能区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共划定1类声环境功能区7个片区，分别为横琴国家湿地公园、芒洲湿地公园、澳门大学横琴校区、大横琴山与南部滨海滩涂湿地、小横琴山、小横琴山南部片区和婆尾角。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）2类声环境功能区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除已划定的1、3、4类声环境功能区以外的区域。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）3类声环境功能区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共划定3类声环境功能区1个片区，包括中医药等澳门品牌工业单元和高端制造产业单元。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）4类声环境功能区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纳入4类声环境功能区的交通干线共63条（含规划交通干线），其中4a类交通干线62条，包括高速公路1条（G0425广澳高速），城市道路（快速路、主干道、次干道）60条（含规划道路），内河航道1条；4b类交通干线1条（珠机城际铁路）。4a类还包括公交枢纽、汽车客运站场、港口码头共3个；4b类有铁路干线站场4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2945D"/>
    <w:multiLevelType w:val="singleLevel"/>
    <w:tmpl w:val="96B2945D"/>
    <w:lvl w:ilvl="0" w:tentative="0">
      <w:start w:val="1"/>
      <w:numFmt w:val="decimal"/>
      <w:suff w:val="space"/>
      <w:lvlText w:val="%1."/>
      <w:lvlJc w:val="left"/>
    </w:lvl>
  </w:abstractNum>
  <w:abstractNum w:abstractNumId="1">
    <w:nsid w:val="1900D650"/>
    <w:multiLevelType w:val="singleLevel"/>
    <w:tmpl w:val="1900D650"/>
    <w:lvl w:ilvl="0" w:tentative="0">
      <w:start w:val="1"/>
      <w:numFmt w:val="decimal"/>
      <w:suff w:val="space"/>
      <w:lvlText w:val="%1."/>
      <w:lvlJc w:val="left"/>
    </w:lvl>
  </w:abstractNum>
  <w:abstractNum w:abstractNumId="2">
    <w:nsid w:val="3DC45CD0"/>
    <w:multiLevelType w:val="singleLevel"/>
    <w:tmpl w:val="3DC45CD0"/>
    <w:lvl w:ilvl="0" w:tentative="0">
      <w:start w:val="1"/>
      <w:numFmt w:val="chineseCounting"/>
      <w:suff w:val="nothing"/>
      <w:lvlText w:val="%1、"/>
      <w:lvlJc w:val="left"/>
      <w:rPr>
        <w:rFonts w:hint="eastAsia"/>
      </w:rPr>
    </w:lvl>
  </w:abstractNum>
  <w:abstractNum w:abstractNumId="3">
    <w:nsid w:val="5476DAE9"/>
    <w:multiLevelType w:val="singleLevel"/>
    <w:tmpl w:val="5476DAE9"/>
    <w:lvl w:ilvl="0" w:tentative="0">
      <w:start w:val="1"/>
      <w:numFmt w:val="chineseCounting"/>
      <w:suff w:val="nothing"/>
      <w:lvlText w:val="（%1）"/>
      <w:lvlJc w:val="left"/>
      <w:rPr>
        <w:rFonts w:hint="eastAsia"/>
      </w:rPr>
    </w:lvl>
  </w:abstractNum>
  <w:abstractNum w:abstractNumId="4">
    <w:nsid w:val="71E9F112"/>
    <w:multiLevelType w:val="singleLevel"/>
    <w:tmpl w:val="71E9F112"/>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1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F6279"/>
    <w:rsid w:val="436C5F27"/>
    <w:rsid w:val="4C9758AE"/>
    <w:rsid w:val="7E934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kern w:val="0"/>
      <w:szCs w:val="20"/>
    </w:rPr>
  </w:style>
  <w:style w:type="paragraph" w:styleId="3">
    <w:name w:val="toc 2"/>
    <w:basedOn w:val="1"/>
    <w:next w:val="1"/>
    <w:uiPriority w:val="0"/>
    <w:pPr>
      <w:tabs>
        <w:tab w:val="right" w:leader="dot" w:pos="8301"/>
      </w:tabs>
    </w:pPr>
    <w:rPr>
      <w:rFonts w:ascii="Times New Roman" w:hAnsi="Times New Roman" w:eastAsia="楷体" w:cs="Times New Roman"/>
      <w:bCs/>
      <w:sz w:val="24"/>
      <w:szCs w:val="28"/>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2024-12-23T01:32:00Z</dcterms:created>
  <dc:creator>C615</dc:creator>
  <cp:lastModifiedBy>吴杏妍</cp:lastModifiedBy>
  <dcterms:modified xsi:type="dcterms:W3CDTF">2025-03-05T08:32:04Z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66F54452D59B47FEAEEDC3BC496EB708_12</vt:lpwstr>
  </property>
  <property fmtid="{D5CDD505-2E9C-101B-9397-08002B2CF9AE}" pid="4" name="KSOTemplateDocerSaveRecord">
    <vt:lpwstr>eyJoZGlkIjoiN2NiMzBkNDgzMjhjNmFmZjEyNmZkYzdiYTQ0YmU0YjgiLCJ1c2VySWQiOiIxMTczMjEwODUyIn0=</vt:lpwstr>
  </property>
</Properties>
</file>