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53B24">
      <w:pPr>
        <w:pStyle w:val="26"/>
        <w:widowControl w:val="0"/>
        <w:adjustRightInd w:val="0"/>
        <w:spacing w:line="560" w:lineRule="exact"/>
        <w:ind w:right="1104"/>
        <w:jc w:val="center"/>
        <w:rPr>
          <w:rFonts w:ascii="FangSong_GB2312" w:eastAsia="FangSong_GB2312"/>
          <w:kern w:val="2"/>
          <w:sz w:val="32"/>
        </w:rPr>
      </w:pPr>
    </w:p>
    <w:p w14:paraId="31336836">
      <w:pPr>
        <w:pStyle w:val="26"/>
        <w:widowControl w:val="0"/>
        <w:adjustRightInd w:val="0"/>
        <w:spacing w:line="560" w:lineRule="exact"/>
        <w:ind w:right="1104"/>
        <w:jc w:val="center"/>
        <w:rPr>
          <w:rFonts w:ascii="FangSong_GB2312" w:hAnsi="FangSong_GB2312" w:eastAsia="FangSong_GB2312"/>
          <w:color w:val="000000"/>
          <w:kern w:val="2"/>
          <w:sz w:val="32"/>
          <w:szCs w:val="32"/>
        </w:rPr>
      </w:pPr>
    </w:p>
    <w:p w14:paraId="6422D78E">
      <w:pPr>
        <w:jc w:val="center"/>
        <w:rPr>
          <w:b/>
          <w:bCs/>
          <w:sz w:val="44"/>
          <w:szCs w:val="44"/>
          <w:lang w:eastAsia="zh-TW"/>
        </w:rPr>
      </w:pPr>
    </w:p>
    <w:p w14:paraId="4F17F84A">
      <w:pPr>
        <w:rPr>
          <w:b/>
          <w:bCs/>
          <w:sz w:val="44"/>
          <w:szCs w:val="44"/>
          <w:lang w:eastAsia="zh-TW"/>
        </w:rPr>
      </w:pPr>
    </w:p>
    <w:p w14:paraId="1547FB0A">
      <w:pPr>
        <w:rPr>
          <w:b/>
          <w:bCs/>
          <w:sz w:val="44"/>
          <w:szCs w:val="44"/>
          <w:lang w:eastAsia="zh-TW"/>
        </w:rPr>
      </w:pPr>
    </w:p>
    <w:p w14:paraId="52B239C6">
      <w:pPr>
        <w:jc w:val="center"/>
        <w:rPr>
          <w:b/>
          <w:bCs/>
          <w:sz w:val="44"/>
          <w:szCs w:val="44"/>
          <w:lang w:eastAsia="zh-TW"/>
        </w:rPr>
      </w:pPr>
    </w:p>
    <w:p w14:paraId="1C4F6360">
      <w:pPr>
        <w:jc w:val="center"/>
        <w:rPr>
          <w:b/>
          <w:bCs/>
          <w:sz w:val="44"/>
          <w:szCs w:val="44"/>
          <w:lang w:eastAsia="zh-TW"/>
        </w:rPr>
      </w:pPr>
    </w:p>
    <w:p w14:paraId="3E69CCD1">
      <w:pPr>
        <w:pStyle w:val="12"/>
        <w:rPr>
          <w:lang w:eastAsia="zh-TW"/>
        </w:rPr>
      </w:pPr>
    </w:p>
    <w:p w14:paraId="118C6CE5">
      <w:pPr>
        <w:jc w:val="center"/>
        <w:rPr>
          <w:b/>
          <w:bCs/>
          <w:sz w:val="44"/>
          <w:szCs w:val="44"/>
          <w:lang w:eastAsia="zh-TW"/>
        </w:rPr>
      </w:pPr>
    </w:p>
    <w:p w14:paraId="4C74D36A">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14:paraId="311F0C17">
      <w:pPr>
        <w:jc w:val="center"/>
        <w:rPr>
          <w:b/>
          <w:bCs/>
          <w:sz w:val="44"/>
          <w:szCs w:val="44"/>
        </w:rPr>
      </w:pPr>
    </w:p>
    <w:p w14:paraId="28E015E0">
      <w:pPr>
        <w:rPr>
          <w:b/>
          <w:bCs/>
          <w:sz w:val="44"/>
          <w:szCs w:val="44"/>
        </w:rPr>
      </w:pPr>
    </w:p>
    <w:p w14:paraId="55907826">
      <w:pPr>
        <w:rPr>
          <w:b/>
          <w:bCs/>
          <w:sz w:val="44"/>
          <w:szCs w:val="44"/>
        </w:rPr>
      </w:pPr>
    </w:p>
    <w:p w14:paraId="75E632C6">
      <w:pPr>
        <w:pStyle w:val="12"/>
        <w:rPr>
          <w:b/>
          <w:bCs/>
          <w:sz w:val="44"/>
          <w:szCs w:val="44"/>
        </w:rPr>
      </w:pPr>
    </w:p>
    <w:p w14:paraId="5A37ABA2">
      <w:pPr>
        <w:pStyle w:val="12"/>
        <w:ind w:left="0" w:firstLine="0"/>
        <w:rPr>
          <w:b/>
          <w:bCs/>
          <w:sz w:val="44"/>
          <w:szCs w:val="44"/>
        </w:rPr>
      </w:pPr>
    </w:p>
    <w:p w14:paraId="2C9AF2C8">
      <w:pPr>
        <w:pStyle w:val="12"/>
        <w:rPr>
          <w:b/>
          <w:bCs/>
          <w:sz w:val="44"/>
          <w:szCs w:val="44"/>
        </w:rPr>
      </w:pPr>
    </w:p>
    <w:p w14:paraId="3B34D564">
      <w:pPr>
        <w:pStyle w:val="12"/>
        <w:rPr>
          <w:b/>
          <w:bCs/>
          <w:sz w:val="44"/>
          <w:szCs w:val="44"/>
        </w:rPr>
      </w:pPr>
    </w:p>
    <w:p w14:paraId="388B0787">
      <w:pPr>
        <w:pStyle w:val="12"/>
        <w:rPr>
          <w:b/>
          <w:bCs/>
          <w:sz w:val="44"/>
          <w:szCs w:val="44"/>
        </w:rPr>
      </w:pPr>
    </w:p>
    <w:p w14:paraId="6D3EB5E2">
      <w:pPr>
        <w:pStyle w:val="12"/>
        <w:rPr>
          <w:b/>
          <w:bCs/>
          <w:sz w:val="44"/>
          <w:szCs w:val="44"/>
        </w:rPr>
      </w:pPr>
    </w:p>
    <w:p w14:paraId="2974948A">
      <w:pPr>
        <w:pStyle w:val="12"/>
        <w:rPr>
          <w:b/>
          <w:bCs/>
          <w:sz w:val="44"/>
          <w:szCs w:val="44"/>
        </w:rPr>
      </w:pPr>
    </w:p>
    <w:p w14:paraId="707CB5AA">
      <w:pPr>
        <w:pStyle w:val="12"/>
        <w:ind w:left="0" w:firstLine="0"/>
        <w:rPr>
          <w:b/>
          <w:bCs/>
          <w:sz w:val="44"/>
          <w:szCs w:val="44"/>
        </w:rPr>
      </w:pPr>
      <w:r>
        <w:rPr>
          <w:rFonts w:hint="eastAsia"/>
          <w:b/>
          <w:bCs/>
          <w:sz w:val="44"/>
          <w:szCs w:val="44"/>
        </w:rPr>
        <w:t xml:space="preserve">             </w:t>
      </w:r>
    </w:p>
    <w:p w14:paraId="33182671">
      <w:pPr>
        <w:jc w:val="center"/>
        <w:rPr>
          <w:rFonts w:hint="eastAsia" w:ascii="FangSong_GB2312" w:hAnsi="FangSong_GB2312" w:eastAsia="FangSong_GB2312" w:cs="FangSong_GB2312"/>
          <w:sz w:val="32"/>
          <w:szCs w:val="32"/>
        </w:rPr>
      </w:pPr>
    </w:p>
    <w:p w14:paraId="363DBFA9">
      <w:pPr>
        <w:pStyle w:val="12"/>
        <w:ind w:left="0" w:firstLine="640" w:firstLineChars="200"/>
        <w:rPr>
          <w:rFonts w:ascii="黑体" w:hAnsi="黑体" w:eastAsia="黑体" w:cs="黑体"/>
          <w:bCs/>
          <w:sz w:val="32"/>
          <w:szCs w:val="32"/>
        </w:rPr>
      </w:pPr>
      <w:r>
        <w:rPr>
          <w:rFonts w:hint="eastAsia" w:ascii="黑体" w:hAnsi="黑体" w:eastAsia="黑体" w:cs="黑体"/>
          <w:bCs/>
          <w:sz w:val="32"/>
          <w:szCs w:val="32"/>
        </w:rPr>
        <w:t>一、项目名称</w:t>
      </w:r>
    </w:p>
    <w:p w14:paraId="50C352D7">
      <w:pPr>
        <w:pStyle w:val="25"/>
        <w:spacing w:line="579" w:lineRule="exact"/>
        <w:ind w:firstLine="64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小横琴山步道两侧低质低效林分改造项目</w:t>
      </w:r>
    </w:p>
    <w:p w14:paraId="52EFFBD5">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14:paraId="263A0961">
      <w:pPr>
        <w:widowControl/>
        <w:spacing w:line="360" w:lineRule="auto"/>
        <w:ind w:right="197" w:rightChars="94" w:firstLine="640" w:firstLineChars="200"/>
        <w:rPr>
          <w:rFonts w:hint="eastAsia" w:ascii="仿宋" w:hAnsi="仿宋" w:eastAsia="仿宋" w:cs="仿宋"/>
          <w:bCs/>
          <w:sz w:val="32"/>
          <w:szCs w:val="32"/>
          <w:lang w:eastAsia="zh-TW"/>
        </w:rPr>
      </w:pPr>
      <w:r>
        <w:rPr>
          <w:rFonts w:hint="eastAsia" w:ascii="仿宋" w:hAnsi="仿宋" w:eastAsia="仿宋" w:cs="仿宋"/>
          <w:bCs/>
          <w:sz w:val="32"/>
          <w:szCs w:val="32"/>
        </w:rPr>
        <w:t>小横琴山东侧山体登山步道两侧的次生林均为8</w:t>
      </w:r>
      <w:r>
        <w:rPr>
          <w:rFonts w:hint="eastAsia" w:ascii="仿宋" w:hAnsi="仿宋" w:eastAsia="仿宋" w:cs="仿宋"/>
          <w:bCs/>
          <w:sz w:val="32"/>
          <w:szCs w:val="32"/>
          <w:lang w:val="en-US" w:eastAsia="zh-CN"/>
        </w:rPr>
        <w:t>0</w:t>
      </w:r>
      <w:r>
        <w:rPr>
          <w:rFonts w:hint="eastAsia" w:ascii="仿宋" w:hAnsi="仿宋" w:eastAsia="仿宋" w:cs="仿宋"/>
          <w:bCs/>
          <w:sz w:val="32"/>
          <w:szCs w:val="32"/>
        </w:rPr>
        <w:t>、90年代人工构建，主要优势树种为相思，桉树等速生先锋树种，</w:t>
      </w:r>
      <w:r>
        <w:rPr>
          <w:rFonts w:hint="eastAsia" w:ascii="仿宋" w:hAnsi="仿宋" w:eastAsia="仿宋" w:cs="仿宋"/>
          <w:bCs/>
          <w:sz w:val="32"/>
          <w:szCs w:val="32"/>
          <w:lang w:eastAsia="zh-TW"/>
        </w:rPr>
        <w:t>经调查发现大部分树种</w:t>
      </w:r>
      <w:r>
        <w:rPr>
          <w:rFonts w:hint="eastAsia" w:ascii="仿宋" w:hAnsi="仿宋" w:eastAsia="仿宋" w:cs="仿宋"/>
          <w:bCs/>
          <w:sz w:val="32"/>
          <w:szCs w:val="32"/>
        </w:rPr>
        <w:t>已进入退</w:t>
      </w:r>
      <w:r>
        <w:rPr>
          <w:rFonts w:hint="eastAsia" w:ascii="仿宋" w:hAnsi="仿宋" w:eastAsia="仿宋" w:cs="仿宋"/>
          <w:bCs/>
          <w:sz w:val="32"/>
          <w:szCs w:val="32"/>
          <w:lang w:eastAsia="zh-TW"/>
        </w:rPr>
        <w:t>化期，既无法作为经济林经营，也没有生态及景观价值。同时，登山步道附近还存在部分银合欢，该树种为外来入侵树种，威胁周边乡土树种的生存空间，形成单一的退化森林景观。为提升步道森林生态质量，丰富物种多样性，构建良好的自然景观，需人为的对小横琴山</w:t>
      </w:r>
      <w:r>
        <w:rPr>
          <w:rFonts w:hint="eastAsia" w:ascii="仿宋" w:hAnsi="仿宋" w:eastAsia="仿宋" w:cs="仿宋"/>
          <w:bCs/>
          <w:kern w:val="2"/>
          <w:sz w:val="32"/>
          <w:szCs w:val="32"/>
          <w:lang w:val="en-US" w:eastAsia="zh-TW" w:bidi="ar-SA"/>
        </w:rPr>
        <w:t>步道两侧开展林分改造</w:t>
      </w:r>
      <w:r>
        <w:rPr>
          <w:rFonts w:hint="eastAsia" w:ascii="仿宋" w:hAnsi="仿宋" w:eastAsia="仿宋" w:cs="仿宋"/>
          <w:bCs/>
          <w:sz w:val="32"/>
          <w:szCs w:val="32"/>
          <w:lang w:eastAsia="zh-TW"/>
        </w:rPr>
        <w:t>，替换已老化、退化的植物群落。</w:t>
      </w:r>
    </w:p>
    <w:p w14:paraId="3F78BF42">
      <w:pPr>
        <w:ind w:firstLine="640" w:firstLineChars="200"/>
        <w:rPr>
          <w:rFonts w:ascii="黑体" w:hAnsi="黑体" w:eastAsia="黑体" w:cs="黑体"/>
          <w:bCs/>
          <w:sz w:val="32"/>
          <w:szCs w:val="32"/>
        </w:rPr>
      </w:pPr>
      <w:r>
        <w:rPr>
          <w:rFonts w:hint="eastAsia" w:ascii="黑体" w:hAnsi="黑体" w:eastAsia="黑体" w:cs="黑体"/>
          <w:bCs/>
          <w:sz w:val="32"/>
          <w:szCs w:val="32"/>
        </w:rPr>
        <w:t>三、服务范围</w:t>
      </w:r>
    </w:p>
    <w:p w14:paraId="777FEFB5">
      <w:pPr>
        <w:pStyle w:val="25"/>
        <w:spacing w:line="579"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横琴粤澳深度合作区</w:t>
      </w:r>
    </w:p>
    <w:p w14:paraId="19A347F7">
      <w:pPr>
        <w:pStyle w:val="25"/>
        <w:spacing w:line="579" w:lineRule="exact"/>
        <w:ind w:firstLine="640"/>
        <w:rPr>
          <w:rFonts w:ascii="黑体" w:hAnsi="黑体" w:eastAsia="黑体" w:cs="黑体"/>
          <w:bCs/>
          <w:sz w:val="32"/>
          <w:szCs w:val="32"/>
        </w:rPr>
      </w:pPr>
      <w:r>
        <w:rPr>
          <w:rFonts w:hint="eastAsia" w:ascii="黑体" w:hAnsi="黑体" w:eastAsia="黑体" w:cs="黑体"/>
          <w:bCs/>
          <w:sz w:val="32"/>
          <w:szCs w:val="32"/>
        </w:rPr>
        <w:t>四、服务期限</w:t>
      </w:r>
    </w:p>
    <w:p w14:paraId="17527BCC">
      <w:pPr>
        <w:pStyle w:val="25"/>
        <w:spacing w:line="579" w:lineRule="exact"/>
        <w:ind w:firstLine="640"/>
        <w:rPr>
          <w:rFonts w:ascii="仿宋" w:hAnsi="仿宋" w:eastAsia="仿宋" w:cs="仿宋"/>
          <w:sz w:val="32"/>
          <w:szCs w:val="32"/>
        </w:rPr>
      </w:pPr>
      <w:r>
        <w:rPr>
          <w:rFonts w:hint="eastAsia" w:ascii="仿宋" w:hAnsi="仿宋" w:eastAsia="仿宋" w:cs="仿宋"/>
          <w:sz w:val="32"/>
          <w:szCs w:val="32"/>
        </w:rPr>
        <w:t>自合同签订之日起至202</w:t>
      </w:r>
      <w:r>
        <w:rPr>
          <w:rFonts w:hint="eastAsia" w:ascii="仿宋" w:hAnsi="仿宋" w:eastAsia="仿宋" w:cs="仿宋"/>
          <w:sz w:val="32"/>
          <w:szCs w:val="32"/>
          <w:lang w:val="en-US" w:eastAsia="zh-TW"/>
        </w:rPr>
        <w:t>6</w:t>
      </w:r>
      <w:r>
        <w:rPr>
          <w:rFonts w:hint="eastAsia" w:ascii="仿宋" w:hAnsi="仿宋" w:eastAsia="仿宋" w:cs="仿宋"/>
          <w:sz w:val="32"/>
          <w:szCs w:val="32"/>
        </w:rPr>
        <w:t>年12月</w:t>
      </w:r>
      <w:r>
        <w:rPr>
          <w:rFonts w:ascii="仿宋" w:hAnsi="仿宋" w:eastAsia="仿宋" w:cs="仿宋"/>
          <w:sz w:val="32"/>
          <w:szCs w:val="32"/>
        </w:rPr>
        <w:t>1</w:t>
      </w:r>
      <w:r>
        <w:rPr>
          <w:rFonts w:hint="eastAsia" w:ascii="仿宋" w:hAnsi="仿宋" w:eastAsia="仿宋" w:cs="仿宋"/>
          <w:sz w:val="32"/>
          <w:szCs w:val="32"/>
        </w:rPr>
        <w:t>日</w:t>
      </w:r>
    </w:p>
    <w:p w14:paraId="0C61085C">
      <w:pPr>
        <w:pStyle w:val="25"/>
        <w:numPr>
          <w:ilvl w:val="0"/>
          <w:numId w:val="1"/>
        </w:numPr>
        <w:spacing w:line="579" w:lineRule="exact"/>
        <w:ind w:firstLine="640"/>
        <w:rPr>
          <w:rFonts w:ascii="黑体" w:hAnsi="黑体" w:eastAsia="黑体" w:cs="黑体"/>
          <w:bCs/>
          <w:sz w:val="32"/>
          <w:szCs w:val="32"/>
        </w:rPr>
      </w:pPr>
      <w:r>
        <w:rPr>
          <w:rFonts w:hint="eastAsia" w:ascii="黑体" w:hAnsi="黑体" w:eastAsia="黑体" w:cs="黑体"/>
          <w:bCs/>
          <w:sz w:val="32"/>
          <w:szCs w:val="32"/>
        </w:rPr>
        <w:t>服务内容及服务要求</w:t>
      </w:r>
    </w:p>
    <w:p w14:paraId="01D75BCE">
      <w:pPr>
        <w:numPr>
          <w:ilvl w:val="0"/>
          <w:numId w:val="2"/>
        </w:numPr>
        <w:spacing w:before="156" w:beforeLines="50" w:line="360" w:lineRule="auto"/>
        <w:ind w:firstLine="420"/>
        <w:rPr>
          <w:rFonts w:hint="eastAsia" w:ascii="仿宋" w:hAnsi="仿宋" w:eastAsia="仿宋" w:cs="仿宋"/>
          <w:spacing w:val="-4"/>
          <w:sz w:val="32"/>
          <w:szCs w:val="32"/>
        </w:rPr>
      </w:pPr>
      <w:r>
        <w:rPr>
          <w:rFonts w:hint="eastAsia" w:ascii="仿宋" w:hAnsi="仿宋" w:eastAsia="仿宋" w:cs="仿宋"/>
          <w:spacing w:val="-4"/>
          <w:sz w:val="32"/>
          <w:szCs w:val="32"/>
        </w:rPr>
        <w:t>修复区现状</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1E51313E">
        <w:tc>
          <w:tcPr>
            <w:tcW w:w="4261" w:type="dxa"/>
          </w:tcPr>
          <w:p w14:paraId="7A45975B">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60320" cy="3413760"/>
                  <wp:effectExtent l="0" t="0" r="11430" b="15240"/>
                  <wp:docPr id="1" name="图片 1" descr="fa3a3f96b912b9b79d238b313d62f69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a3a3f96b912b9b79d238b313d62f69a_"/>
                          <pic:cNvPicPr>
                            <a:picLocks noChangeAspect="1"/>
                          </pic:cNvPicPr>
                        </pic:nvPicPr>
                        <pic:blipFill>
                          <a:blip r:embed="rId6"/>
                          <a:stretch>
                            <a:fillRect/>
                          </a:stretch>
                        </pic:blipFill>
                        <pic:spPr>
                          <a:xfrm>
                            <a:off x="0" y="0"/>
                            <a:ext cx="2560320" cy="3413760"/>
                          </a:xfrm>
                          <a:prstGeom prst="rect">
                            <a:avLst/>
                          </a:prstGeom>
                        </pic:spPr>
                      </pic:pic>
                    </a:graphicData>
                  </a:graphic>
                </wp:inline>
              </w:drawing>
            </w:r>
          </w:p>
        </w:tc>
        <w:tc>
          <w:tcPr>
            <w:tcW w:w="4261" w:type="dxa"/>
          </w:tcPr>
          <w:p w14:paraId="18483E51">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60320" cy="3413760"/>
                  <wp:effectExtent l="0" t="0" r="11430" b="15240"/>
                  <wp:docPr id="2" name="图片 2" descr="84c578ebeabec55e4ad52461e3b8639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4c578ebeabec55e4ad52461e3b8639e_"/>
                          <pic:cNvPicPr>
                            <a:picLocks noChangeAspect="1"/>
                          </pic:cNvPicPr>
                        </pic:nvPicPr>
                        <pic:blipFill>
                          <a:blip r:embed="rId7"/>
                          <a:stretch>
                            <a:fillRect/>
                          </a:stretch>
                        </pic:blipFill>
                        <pic:spPr>
                          <a:xfrm>
                            <a:off x="0" y="0"/>
                            <a:ext cx="2560320" cy="3413760"/>
                          </a:xfrm>
                          <a:prstGeom prst="rect">
                            <a:avLst/>
                          </a:prstGeom>
                        </pic:spPr>
                      </pic:pic>
                    </a:graphicData>
                  </a:graphic>
                </wp:inline>
              </w:drawing>
            </w:r>
          </w:p>
        </w:tc>
      </w:tr>
      <w:tr w14:paraId="7EA6164C">
        <w:tc>
          <w:tcPr>
            <w:tcW w:w="4261" w:type="dxa"/>
          </w:tcPr>
          <w:p w14:paraId="0B97BBDC">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60320" cy="3413760"/>
                  <wp:effectExtent l="0" t="0" r="11430" b="15240"/>
                  <wp:docPr id="3" name="图片 3" descr="ddd026c5f7296ec15a14a502fbecc72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d026c5f7296ec15a14a502fbecc721_"/>
                          <pic:cNvPicPr>
                            <a:picLocks noChangeAspect="1"/>
                          </pic:cNvPicPr>
                        </pic:nvPicPr>
                        <pic:blipFill>
                          <a:blip r:embed="rId8"/>
                          <a:stretch>
                            <a:fillRect/>
                          </a:stretch>
                        </pic:blipFill>
                        <pic:spPr>
                          <a:xfrm>
                            <a:off x="0" y="0"/>
                            <a:ext cx="2560320" cy="3413760"/>
                          </a:xfrm>
                          <a:prstGeom prst="rect">
                            <a:avLst/>
                          </a:prstGeom>
                        </pic:spPr>
                      </pic:pic>
                    </a:graphicData>
                  </a:graphic>
                </wp:inline>
              </w:drawing>
            </w:r>
          </w:p>
        </w:tc>
        <w:tc>
          <w:tcPr>
            <w:tcW w:w="4261" w:type="dxa"/>
          </w:tcPr>
          <w:p w14:paraId="31CB524D">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66670" cy="3481705"/>
                  <wp:effectExtent l="0" t="0" r="5080" b="4445"/>
                  <wp:docPr id="4" name="图片 4" descr="173759500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37595001733"/>
                          <pic:cNvPicPr>
                            <a:picLocks noChangeAspect="1"/>
                          </pic:cNvPicPr>
                        </pic:nvPicPr>
                        <pic:blipFill>
                          <a:blip r:embed="rId9"/>
                          <a:stretch>
                            <a:fillRect/>
                          </a:stretch>
                        </pic:blipFill>
                        <pic:spPr>
                          <a:xfrm>
                            <a:off x="0" y="0"/>
                            <a:ext cx="2566670" cy="3481705"/>
                          </a:xfrm>
                          <a:prstGeom prst="rect">
                            <a:avLst/>
                          </a:prstGeom>
                        </pic:spPr>
                      </pic:pic>
                    </a:graphicData>
                  </a:graphic>
                </wp:inline>
              </w:drawing>
            </w:r>
          </w:p>
        </w:tc>
      </w:tr>
      <w:tr w14:paraId="39F8F8AE">
        <w:tc>
          <w:tcPr>
            <w:tcW w:w="4261" w:type="dxa"/>
          </w:tcPr>
          <w:p w14:paraId="4214A018">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52700" cy="1913890"/>
                  <wp:effectExtent l="0" t="0" r="0" b="10160"/>
                  <wp:docPr id="5" name="图片 5" descr="52b1820f57f3328ff82068bdd56e701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2b1820f57f3328ff82068bdd56e7011_"/>
                          <pic:cNvPicPr>
                            <a:picLocks noChangeAspect="1"/>
                          </pic:cNvPicPr>
                        </pic:nvPicPr>
                        <pic:blipFill>
                          <a:blip r:embed="rId10"/>
                          <a:stretch>
                            <a:fillRect/>
                          </a:stretch>
                        </pic:blipFill>
                        <pic:spPr>
                          <a:xfrm>
                            <a:off x="0" y="0"/>
                            <a:ext cx="2552700" cy="1913890"/>
                          </a:xfrm>
                          <a:prstGeom prst="rect">
                            <a:avLst/>
                          </a:prstGeom>
                        </pic:spPr>
                      </pic:pic>
                    </a:graphicData>
                  </a:graphic>
                </wp:inline>
              </w:drawing>
            </w:r>
          </w:p>
        </w:tc>
        <w:tc>
          <w:tcPr>
            <w:tcW w:w="4261" w:type="dxa"/>
          </w:tcPr>
          <w:p w14:paraId="6F0EB1F7">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52700" cy="1913890"/>
                  <wp:effectExtent l="0" t="0" r="0" b="10160"/>
                  <wp:docPr id="6" name="图片 6" descr="89913d4b51e3a68b9ec29f1f0c21df2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9913d4b51e3a68b9ec29f1f0c21df2d_"/>
                          <pic:cNvPicPr>
                            <a:picLocks noChangeAspect="1"/>
                          </pic:cNvPicPr>
                        </pic:nvPicPr>
                        <pic:blipFill>
                          <a:blip r:embed="rId11"/>
                          <a:stretch>
                            <a:fillRect/>
                          </a:stretch>
                        </pic:blipFill>
                        <pic:spPr>
                          <a:xfrm>
                            <a:off x="0" y="0"/>
                            <a:ext cx="2552700" cy="1913890"/>
                          </a:xfrm>
                          <a:prstGeom prst="rect">
                            <a:avLst/>
                          </a:prstGeom>
                        </pic:spPr>
                      </pic:pic>
                    </a:graphicData>
                  </a:graphic>
                </wp:inline>
              </w:drawing>
            </w:r>
          </w:p>
        </w:tc>
      </w:tr>
      <w:tr w14:paraId="7AA0BC5F">
        <w:tc>
          <w:tcPr>
            <w:tcW w:w="4261" w:type="dxa"/>
          </w:tcPr>
          <w:p w14:paraId="2E68F203">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52700" cy="1913890"/>
                  <wp:effectExtent l="0" t="0" r="0" b="10160"/>
                  <wp:docPr id="7" name="图片 7" descr="926d0fe79f220af7c7d9216ccafab75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26d0fe79f220af7c7d9216ccafab751_"/>
                          <pic:cNvPicPr>
                            <a:picLocks noChangeAspect="1"/>
                          </pic:cNvPicPr>
                        </pic:nvPicPr>
                        <pic:blipFill>
                          <a:blip r:embed="rId12"/>
                          <a:stretch>
                            <a:fillRect/>
                          </a:stretch>
                        </pic:blipFill>
                        <pic:spPr>
                          <a:xfrm>
                            <a:off x="0" y="0"/>
                            <a:ext cx="2552700" cy="1913890"/>
                          </a:xfrm>
                          <a:prstGeom prst="rect">
                            <a:avLst/>
                          </a:prstGeom>
                        </pic:spPr>
                      </pic:pic>
                    </a:graphicData>
                  </a:graphic>
                </wp:inline>
              </w:drawing>
            </w:r>
          </w:p>
        </w:tc>
        <w:tc>
          <w:tcPr>
            <w:tcW w:w="4261" w:type="dxa"/>
          </w:tcPr>
          <w:p w14:paraId="008EDEB6">
            <w:pPr>
              <w:widowControl w:val="0"/>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drawing>
                <wp:inline distT="0" distB="0" distL="114300" distR="114300">
                  <wp:extent cx="2552700" cy="1913890"/>
                  <wp:effectExtent l="0" t="0" r="0" b="10160"/>
                  <wp:docPr id="8" name="图片 8" descr="98c52add529a00280bce405e8856ea3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8c52add529a00280bce405e8856ea3d_"/>
                          <pic:cNvPicPr>
                            <a:picLocks noChangeAspect="1"/>
                          </pic:cNvPicPr>
                        </pic:nvPicPr>
                        <pic:blipFill>
                          <a:blip r:embed="rId13"/>
                          <a:stretch>
                            <a:fillRect/>
                          </a:stretch>
                        </pic:blipFill>
                        <pic:spPr>
                          <a:xfrm>
                            <a:off x="0" y="0"/>
                            <a:ext cx="2552700" cy="1913890"/>
                          </a:xfrm>
                          <a:prstGeom prst="rect">
                            <a:avLst/>
                          </a:prstGeom>
                        </pic:spPr>
                      </pic:pic>
                    </a:graphicData>
                  </a:graphic>
                </wp:inline>
              </w:drawing>
            </w:r>
          </w:p>
        </w:tc>
      </w:tr>
      <w:tr w14:paraId="026D6BFA">
        <w:tc>
          <w:tcPr>
            <w:tcW w:w="8522" w:type="dxa"/>
            <w:gridSpan w:val="2"/>
          </w:tcPr>
          <w:p w14:paraId="022270CF">
            <w:pPr>
              <w:widowControl w:val="0"/>
              <w:numPr>
                <w:ilvl w:val="0"/>
                <w:numId w:val="0"/>
              </w:numPr>
              <w:ind w:firstLine="2520" w:firstLineChars="1200"/>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小横琴山登山步道两侧现状照片</w:t>
            </w:r>
          </w:p>
        </w:tc>
      </w:tr>
    </w:tbl>
    <w:p w14:paraId="4278F0CD">
      <w:pPr>
        <w:numPr>
          <w:ilvl w:val="0"/>
          <w:numId w:val="0"/>
        </w:numPr>
        <w:spacing w:before="156" w:beforeLines="50" w:line="360" w:lineRule="auto"/>
        <w:ind w:firstLine="0"/>
        <w:rPr>
          <w:rFonts w:hint="eastAsia" w:ascii="仿宋" w:hAnsi="仿宋" w:eastAsia="仿宋" w:cs="仿宋"/>
          <w:spacing w:val="-4"/>
          <w:sz w:val="32"/>
          <w:szCs w:val="32"/>
        </w:rPr>
      </w:pPr>
    </w:p>
    <w:p w14:paraId="5E837913">
      <w:pPr>
        <w:numPr>
          <w:ilvl w:val="0"/>
          <w:numId w:val="2"/>
        </w:numPr>
        <w:spacing w:before="156" w:beforeLines="50" w:line="360" w:lineRule="auto"/>
        <w:ind w:firstLine="420"/>
        <w:rPr>
          <w:rFonts w:hint="eastAsia" w:ascii="仿宋" w:hAnsi="仿宋" w:eastAsia="仿宋" w:cs="仿宋"/>
          <w:spacing w:val="-4"/>
          <w:sz w:val="32"/>
          <w:szCs w:val="32"/>
        </w:rPr>
      </w:pPr>
      <w:r>
        <w:rPr>
          <w:rFonts w:hint="eastAsia" w:ascii="仿宋" w:hAnsi="仿宋" w:eastAsia="仿宋" w:cs="仿宋"/>
          <w:sz w:val="28"/>
          <w:szCs w:val="28"/>
          <w:highlight w:val="none"/>
        </w:rPr>
        <w:t>修复区</w:t>
      </w:r>
      <w:r>
        <w:rPr>
          <w:rFonts w:ascii="仿宋" w:hAnsi="仿宋" w:eastAsia="仿宋" w:cs="仿宋"/>
          <w:sz w:val="28"/>
          <w:szCs w:val="28"/>
          <w:highlight w:val="none"/>
        </w:rPr>
        <w:t>平面布局</w:t>
      </w:r>
    </w:p>
    <w:p w14:paraId="601AA23F">
      <w:pPr>
        <w:numPr>
          <w:ilvl w:val="-1"/>
          <w:numId w:val="0"/>
        </w:numPr>
        <w:spacing w:before="156" w:beforeLines="50" w:line="360" w:lineRule="auto"/>
        <w:ind w:firstLine="0"/>
        <w:rPr>
          <w:rFonts w:hint="eastAsia" w:ascii="仿宋" w:hAnsi="仿宋" w:eastAsia="仿宋" w:cs="仿宋"/>
          <w:b/>
          <w:bCs/>
          <w:sz w:val="44"/>
          <w:szCs w:val="44"/>
          <w:lang w:val="en-US" w:eastAsia="zh-CN"/>
        </w:rPr>
      </w:pPr>
      <w:r>
        <w:rPr>
          <w:rFonts w:hint="eastAsia" w:eastAsia="仿宋"/>
          <w:color w:val="000000" w:themeColor="text1"/>
          <w:sz w:val="28"/>
          <w:szCs w:val="28"/>
          <w:lang w:eastAsia="zh-CN"/>
          <w14:textFill>
            <w14:solidFill>
              <w14:schemeClr w14:val="tx1"/>
            </w14:solidFill>
          </w14:textFill>
        </w:rPr>
        <w:drawing>
          <wp:inline distT="0" distB="0" distL="114300" distR="114300">
            <wp:extent cx="5411470" cy="7678420"/>
            <wp:effectExtent l="0" t="0" r="17780" b="17780"/>
            <wp:docPr id="15" name="图片 15" descr="现状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现状分析"/>
                    <pic:cNvPicPr>
                      <a:picLocks noChangeAspect="1"/>
                    </pic:cNvPicPr>
                  </pic:nvPicPr>
                  <pic:blipFill>
                    <a:blip r:embed="rId14"/>
                    <a:stretch>
                      <a:fillRect/>
                    </a:stretch>
                  </pic:blipFill>
                  <pic:spPr>
                    <a:xfrm>
                      <a:off x="0" y="0"/>
                      <a:ext cx="5411470" cy="7678420"/>
                    </a:xfrm>
                    <a:prstGeom prst="rect">
                      <a:avLst/>
                    </a:prstGeom>
                  </pic:spPr>
                </pic:pic>
              </a:graphicData>
            </a:graphic>
          </wp:inline>
        </w:drawing>
      </w:r>
    </w:p>
    <w:p w14:paraId="5387AA27">
      <w:pPr>
        <w:numPr>
          <w:ilvl w:val="-1"/>
          <w:numId w:val="0"/>
        </w:numPr>
        <w:spacing w:before="156" w:beforeLines="50" w:line="360" w:lineRule="auto"/>
        <w:ind w:firstLine="0"/>
        <w:rPr>
          <w:rFonts w:hint="eastAsia" w:ascii="仿宋" w:hAnsi="仿宋" w:eastAsia="PMingLiU" w:cs="仿宋"/>
          <w:b/>
          <w:bCs/>
          <w:sz w:val="44"/>
          <w:szCs w:val="44"/>
          <w:lang w:val="en-US" w:eastAsia="zh-TW"/>
        </w:rPr>
      </w:pPr>
    </w:p>
    <w:p w14:paraId="162A2038">
      <w:pPr>
        <w:numPr>
          <w:ilvl w:val="0"/>
          <w:numId w:val="2"/>
        </w:numPr>
        <w:spacing w:before="156" w:beforeLines="50" w:line="360" w:lineRule="auto"/>
        <w:ind w:firstLine="420"/>
        <w:rPr>
          <w:rFonts w:hint="eastAsia" w:ascii="仿宋" w:hAnsi="仿宋" w:eastAsia="仿宋" w:cs="仿宋"/>
          <w:spacing w:val="-4"/>
          <w:sz w:val="32"/>
          <w:szCs w:val="32"/>
        </w:rPr>
      </w:pPr>
      <w:r>
        <w:rPr>
          <w:rFonts w:hint="eastAsia" w:ascii="仿宋" w:hAnsi="仿宋" w:eastAsia="仿宋" w:cs="仿宋"/>
          <w:b w:val="0"/>
          <w:bCs w:val="0"/>
          <w:spacing w:val="0"/>
          <w:sz w:val="28"/>
          <w:szCs w:val="28"/>
          <w:highlight w:val="none"/>
        </w:rPr>
        <w:t>修复措施</w:t>
      </w:r>
    </w:p>
    <w:p w14:paraId="157F98A3">
      <w:pPr>
        <w:widowControl/>
        <w:numPr>
          <w:ilvl w:val="-1"/>
          <w:numId w:val="0"/>
        </w:numPr>
        <w:autoSpaceDE w:val="0"/>
        <w:autoSpaceDN w:val="0"/>
        <w:adjustRightInd w:val="0"/>
        <w:spacing w:before="0" w:beforeLines="-2147483648" w:line="240" w:lineRule="auto"/>
        <w:ind w:firstLine="560" w:firstLineChars="200"/>
        <w:jc w:val="left"/>
        <w:rPr>
          <w:rFonts w:hint="eastAsia" w:ascii="仿宋" w:hAnsi="仿宋" w:eastAsia="仿宋" w:cs="仿宋"/>
          <w:spacing w:val="-4"/>
          <w:sz w:val="32"/>
          <w:szCs w:val="32"/>
          <w:lang w:val="en-US" w:eastAsia="zh-CN"/>
        </w:rPr>
      </w:pPr>
      <w:r>
        <w:rPr>
          <w:rFonts w:hint="eastAsia" w:eastAsia="仿宋"/>
          <w:color w:val="000000" w:themeColor="text1"/>
          <w:sz w:val="28"/>
          <w:szCs w:val="28"/>
          <w:lang w:val="en-US" w:eastAsia="zh-CN"/>
          <w14:textFill>
            <w14:solidFill>
              <w14:schemeClr w14:val="tx1"/>
            </w14:solidFill>
          </w14:textFill>
        </w:rPr>
        <w:t>小横琴山登山步道全长约1640米（2</w:t>
      </w:r>
      <w:r>
        <w:rPr>
          <w:rFonts w:hint="eastAsia" w:eastAsia="PMingLiU"/>
          <w:color w:val="000000" w:themeColor="text1"/>
          <w:sz w:val="28"/>
          <w:szCs w:val="28"/>
          <w:lang w:val="en-US" w:eastAsia="zh-TW"/>
          <w14:textFill>
            <w14:solidFill>
              <w14:schemeClr w14:val="tx1"/>
            </w14:solidFill>
          </w14:textFill>
        </w:rPr>
        <w:t>侧</w:t>
      </w:r>
      <w:r>
        <w:rPr>
          <w:rFonts w:hint="eastAsia" w:eastAsia="仿宋"/>
          <w:color w:val="000000" w:themeColor="text1"/>
          <w:sz w:val="28"/>
          <w:szCs w:val="28"/>
          <w:lang w:val="en-US" w:eastAsia="zh-CN"/>
          <w14:textFill>
            <w14:solidFill>
              <w14:schemeClr w14:val="tx1"/>
            </w14:solidFill>
          </w14:textFill>
        </w:rPr>
        <w:t>10米宽，总面积约49.17亩）。根据现场调查情况，结合实际需求，将登山步道整体划分为2段进行分别规划，山海驿站至山顶为A段</w:t>
      </w:r>
      <w:r>
        <w:rPr>
          <w:rFonts w:hint="eastAsia" w:eastAsia="仿宋"/>
          <w:color w:val="000000" w:themeColor="text1"/>
          <w:sz w:val="28"/>
          <w:szCs w:val="28"/>
          <w14:textFill>
            <w14:solidFill>
              <w14:schemeClr w14:val="tx1"/>
            </w14:solidFill>
          </w14:textFill>
        </w:rPr>
        <w:t>，</w:t>
      </w:r>
      <w:r>
        <w:rPr>
          <w:rFonts w:hint="eastAsia" w:eastAsia="仿宋"/>
          <w:color w:val="000000" w:themeColor="text1"/>
          <w:sz w:val="28"/>
          <w:szCs w:val="28"/>
          <w:lang w:val="en-US" w:eastAsia="zh-CN"/>
          <w14:textFill>
            <w14:solidFill>
              <w14:schemeClr w14:val="tx1"/>
            </w14:solidFill>
          </w14:textFill>
        </w:rPr>
        <w:t>长度约920米，山顶至保利国际广场为B段，长度约720米</w:t>
      </w:r>
      <w:r>
        <w:rPr>
          <w:rFonts w:hint="eastAsia" w:ascii="仿宋" w:hAnsi="仿宋" w:eastAsia="仿宋" w:cs="仿宋"/>
          <w:spacing w:val="-4"/>
          <w:sz w:val="32"/>
          <w:szCs w:val="32"/>
          <w:lang w:val="en-US" w:eastAsia="zh-CN"/>
        </w:rPr>
        <w:t>。以登山步道两侧</w:t>
      </w:r>
      <w:r>
        <w:rPr>
          <w:rFonts w:hint="eastAsia" w:ascii="仿宋" w:hAnsi="仿宋" w:eastAsia="PMingLiU" w:cs="仿宋"/>
          <w:spacing w:val="-4"/>
          <w:sz w:val="32"/>
          <w:szCs w:val="32"/>
          <w:lang w:val="en-US" w:eastAsia="zh-TW"/>
        </w:rPr>
        <w:t>1m外的</w:t>
      </w:r>
      <w:r>
        <w:rPr>
          <w:rFonts w:hint="eastAsia" w:ascii="仿宋" w:hAnsi="仿宋" w:eastAsia="仿宋" w:cs="仿宋"/>
          <w:spacing w:val="-4"/>
          <w:sz w:val="32"/>
          <w:szCs w:val="32"/>
          <w:lang w:val="en-US" w:eastAsia="zh-CN"/>
        </w:rPr>
        <w:t>10m范围作为生态景观修复区域。</w:t>
      </w:r>
    </w:p>
    <w:p w14:paraId="0C1B07F5">
      <w:pPr>
        <w:numPr>
          <w:ilvl w:val="0"/>
          <w:numId w:val="3"/>
        </w:numPr>
        <w:spacing w:line="360" w:lineRule="auto"/>
        <w:ind w:left="-10" w:leftChars="-5" w:firstLine="571" w:firstLineChars="204"/>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A-1段（山海驿站至450m处）</w:t>
      </w:r>
    </w:p>
    <w:p w14:paraId="58656E35">
      <w:pPr>
        <w:numPr>
          <w:ilvl w:val="0"/>
          <w:numId w:val="0"/>
        </w:numPr>
        <w:spacing w:line="360" w:lineRule="auto"/>
        <w:ind w:firstLine="560" w:firstLineChars="200"/>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与B段相比，A段立地条件较好，土层厚度较厚，以山海驿站至登山道450m这一区域立地条件最好，规划将此区域打造为色叶林区域，主要通过选用山乌桕，枫香等色叶树种作为主干树种，辅以大头茶、火焰木、火力楠等树种为背景树，主要展现森林的季相变化，以观赏景观为主。</w:t>
      </w:r>
    </w:p>
    <w:p w14:paraId="783509FA">
      <w:pPr>
        <w:numPr>
          <w:ilvl w:val="0"/>
          <w:numId w:val="3"/>
        </w:numPr>
        <w:spacing w:line="360" w:lineRule="auto"/>
        <w:ind w:left="-10" w:leftChars="-5" w:firstLine="571" w:firstLineChars="204"/>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A-2段（450m处-山顶）</w:t>
      </w:r>
    </w:p>
    <w:p w14:paraId="1BE4DDAC">
      <w:pPr>
        <w:numPr>
          <w:ilvl w:val="0"/>
          <w:numId w:val="0"/>
        </w:numPr>
        <w:spacing w:line="360" w:lineRule="auto"/>
        <w:ind w:left="0" w:leftChars="0" w:firstLine="560" w:firstLineChars="200"/>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由于该段区域接近山顶，海拔逐渐增高，受海风影响，立地条件较A-1段差，土层较薄，土壤肥力较低，上层乔木逐渐减少，所以该区域改造措施主要以生态修复为主，主要选用如铁冬青，山杜英，红花荷，假萍婆，火力楠等以生态功能为主，兼具一定景观价值的乡土树种作为该区域的主要栽种树种，主要考虑这段区域登山时的遮荫功能及对森林环境的修复。该区域还存在一段防火林带，长度约50米，面积约1.5亩，该区域选用大头茶作为栽植树种，兼具一定的 森林防火隔离带功能。</w:t>
      </w:r>
    </w:p>
    <w:p w14:paraId="00CE4649">
      <w:pPr>
        <w:numPr>
          <w:ilvl w:val="0"/>
          <w:numId w:val="3"/>
        </w:numPr>
        <w:spacing w:line="360" w:lineRule="auto"/>
        <w:ind w:left="-10" w:leftChars="-5" w:firstLine="571" w:firstLineChars="204"/>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B段（山顶至保利国际广场）</w:t>
      </w:r>
    </w:p>
    <w:p w14:paraId="46294417">
      <w:pPr>
        <w:numPr>
          <w:ilvl w:val="0"/>
          <w:numId w:val="0"/>
        </w:numPr>
        <w:spacing w:line="360" w:lineRule="auto"/>
        <w:rPr>
          <w:rFonts w:hint="eastAsia" w:eastAsia="仿宋"/>
          <w:color w:val="000000" w:themeColor="text1"/>
          <w:sz w:val="28"/>
          <w:szCs w:val="28"/>
          <w:lang w:val="en-US" w:eastAsia="zh-CN"/>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 xml:space="preserve">    该段区域立地条件较差，土层较薄，存在大量岩石裸露区域，且由于区域位置属于南坡，常年受海风及台风影响显著，该区域选用假萍婆、铁冬青及台湾相思等抗风、抗瘠薄的乡土树种为栽植树种。采取“见缝插绿”的模式进行栽植，主要目的是对该区域进行生态修复。</w:t>
      </w:r>
    </w:p>
    <w:p w14:paraId="6BA6819E">
      <w:pPr>
        <w:widowControl/>
        <w:numPr>
          <w:ilvl w:val="-1"/>
          <w:numId w:val="0"/>
        </w:numPr>
        <w:autoSpaceDE w:val="0"/>
        <w:autoSpaceDN w:val="0"/>
        <w:adjustRightInd w:val="0"/>
        <w:spacing w:before="0" w:beforeLines="-2147483648" w:line="240" w:lineRule="auto"/>
        <w:ind w:firstLine="624" w:firstLineChars="200"/>
        <w:jc w:val="left"/>
        <w:rPr>
          <w:rFonts w:hint="default" w:ascii="仿宋" w:hAnsi="仿宋" w:eastAsia="仿宋" w:cs="仿宋"/>
          <w:spacing w:val="-4"/>
          <w:sz w:val="32"/>
          <w:szCs w:val="32"/>
          <w:lang w:eastAsia="zh-TW"/>
        </w:rPr>
      </w:pPr>
    </w:p>
    <w:p w14:paraId="2F3C54AC">
      <w:pPr>
        <w:pStyle w:val="10"/>
        <w:spacing w:line="360" w:lineRule="auto"/>
        <w:ind w:firstLine="627" w:firstLineChars="200"/>
        <w:rPr>
          <w:rFonts w:hint="eastAsia" w:ascii="仿宋" w:hAnsi="仿宋" w:eastAsia="仿宋" w:cs="仿宋"/>
          <w:b/>
          <w:bCs/>
          <w:spacing w:val="-4"/>
          <w:sz w:val="32"/>
          <w:szCs w:val="32"/>
          <w:lang w:val="en-US" w:eastAsia="zh-CN"/>
        </w:rPr>
      </w:pPr>
      <w:r>
        <w:rPr>
          <w:rFonts w:hint="eastAsia" w:ascii="仿宋" w:hAnsi="仿宋" w:eastAsia="仿宋" w:cs="仿宋"/>
          <w:b/>
          <w:bCs/>
          <w:spacing w:val="-4"/>
          <w:sz w:val="32"/>
          <w:szCs w:val="32"/>
          <w:lang w:val="en-US" w:eastAsia="zh-CN"/>
        </w:rPr>
        <w:t xml:space="preserve"> 林地清理</w:t>
      </w:r>
    </w:p>
    <w:p w14:paraId="51A65D86">
      <w:pPr>
        <w:pStyle w:val="10"/>
        <w:spacing w:line="360" w:lineRule="auto"/>
        <w:ind w:firstLine="560" w:firstLineChars="200"/>
        <w:rPr>
          <w:rFonts w:ascii="Times New Roman" w:hAnsi="Times New Roman" w:eastAsia="仿宋"/>
          <w:color w:val="000000" w:themeColor="text1"/>
          <w:kern w:val="0"/>
          <w:sz w:val="28"/>
          <w:szCs w:val="28"/>
          <w14:textFill>
            <w14:solidFill>
              <w14:schemeClr w14:val="tx1"/>
            </w14:solidFill>
          </w14:textFill>
        </w:rPr>
      </w:pPr>
      <w:r>
        <w:rPr>
          <w:rFonts w:ascii="Times New Roman" w:hAnsi="Times New Roman" w:eastAsia="仿宋"/>
          <w:color w:val="000000" w:themeColor="text1"/>
          <w:kern w:val="0"/>
          <w:sz w:val="28"/>
          <w:szCs w:val="28"/>
          <w14:textFill>
            <w14:solidFill>
              <w14:schemeClr w14:val="tx1"/>
            </w14:solidFill>
          </w14:textFill>
        </w:rPr>
        <w:t>本次林地清理按照</w:t>
      </w:r>
      <w:r>
        <w:rPr>
          <w:rFonts w:hint="eastAsia" w:ascii="Times New Roman" w:hAnsi="Times New Roman" w:eastAsia="仿宋"/>
          <w:color w:val="000000" w:themeColor="text1"/>
          <w:kern w:val="0"/>
          <w:sz w:val="28"/>
          <w:szCs w:val="28"/>
          <w:lang w:val="en-US" w:eastAsia="zh-CN"/>
          <w14:textFill>
            <w14:solidFill>
              <w14:schemeClr w14:val="tx1"/>
            </w14:solidFill>
          </w14:textFill>
        </w:rPr>
        <w:t>登山步道两侧10m内全带清理</w:t>
      </w:r>
      <w:r>
        <w:rPr>
          <w:rFonts w:ascii="Times New Roman" w:hAnsi="Times New Roman" w:eastAsia="仿宋"/>
          <w:color w:val="000000" w:themeColor="text1"/>
          <w:kern w:val="0"/>
          <w:sz w:val="28"/>
          <w:szCs w:val="28"/>
          <w14:textFill>
            <w14:solidFill>
              <w14:schemeClr w14:val="tx1"/>
            </w14:solidFill>
          </w14:textFill>
        </w:rPr>
        <w:t>的方式进行。采伐所有的枯死木</w:t>
      </w:r>
      <w:r>
        <w:rPr>
          <w:rFonts w:hint="eastAsia" w:ascii="Times New Roman" w:hAnsi="Times New Roman" w:eastAsia="仿宋"/>
          <w:color w:val="000000" w:themeColor="text1"/>
          <w:kern w:val="0"/>
          <w:sz w:val="28"/>
          <w:szCs w:val="28"/>
          <w:lang w:eastAsia="zh-CN"/>
          <w14:textFill>
            <w14:solidFill>
              <w14:schemeClr w14:val="tx1"/>
            </w14:solidFill>
          </w14:textFill>
        </w:rPr>
        <w:t>、</w:t>
      </w:r>
      <w:r>
        <w:rPr>
          <w:rFonts w:hint="eastAsia" w:ascii="Times New Roman" w:hAnsi="Times New Roman" w:eastAsia="仿宋"/>
          <w:color w:val="000000" w:themeColor="text1"/>
          <w:kern w:val="0"/>
          <w:sz w:val="28"/>
          <w:szCs w:val="28"/>
          <w:lang w:val="en-US" w:eastAsia="zh-CN"/>
          <w14:textFill>
            <w14:solidFill>
              <w14:schemeClr w14:val="tx1"/>
            </w14:solidFill>
          </w14:textFill>
        </w:rPr>
        <w:t>桉树</w:t>
      </w:r>
      <w:r>
        <w:rPr>
          <w:rFonts w:ascii="Times New Roman" w:hAnsi="Times New Roman" w:eastAsia="仿宋"/>
          <w:color w:val="000000" w:themeColor="text1"/>
          <w:kern w:val="0"/>
          <w:sz w:val="28"/>
          <w:szCs w:val="28"/>
          <w14:textFill>
            <w14:solidFill>
              <w14:schemeClr w14:val="tx1"/>
            </w14:solidFill>
          </w14:textFill>
        </w:rPr>
        <w:t>及种植带内枯死部分达到40%以上生长衰退的相思及弱小和生长衰退松树类树种，全面清理藤本植物，保留胸径5cm以上的乡土树种。</w:t>
      </w:r>
    </w:p>
    <w:p w14:paraId="453A2414">
      <w:pPr>
        <w:pStyle w:val="10"/>
        <w:spacing w:line="360" w:lineRule="auto"/>
        <w:ind w:firstLine="560" w:firstLineChars="200"/>
        <w:rPr>
          <w:rFonts w:ascii="Times New Roman" w:hAnsi="Times New Roman" w:eastAsia="仿宋"/>
          <w:color w:val="000000" w:themeColor="text1"/>
          <w:kern w:val="0"/>
          <w:sz w:val="28"/>
          <w:szCs w:val="28"/>
          <w14:textFill>
            <w14:solidFill>
              <w14:schemeClr w14:val="tx1"/>
            </w14:solidFill>
          </w14:textFill>
        </w:rPr>
      </w:pPr>
      <w:r>
        <w:rPr>
          <w:rFonts w:ascii="Times New Roman" w:hAnsi="Times New Roman" w:eastAsia="仿宋"/>
          <w:color w:val="000000" w:themeColor="text1"/>
          <w:kern w:val="0"/>
          <w:sz w:val="28"/>
          <w:szCs w:val="28"/>
          <w14:textFill>
            <w14:solidFill>
              <w14:schemeClr w14:val="tx1"/>
            </w14:solidFill>
          </w14:textFill>
        </w:rPr>
        <w:t>清理种植带上的采伐后的遗留枝条、杂灌、杂草，并按照种植带范围，使用高枝剪等工具同步清理种植带上方遮挡住阳光的树枝、树叶，确保种植带内的幼苗可以得到充足的阳光照射。清理后的树桩、杂灌及草本不高于10cm。采伐后的乔木主干可以就地锯为1-1.5m长的原木，在修建简易林道时可以用来加固步道台阶部分，剩余的原木可以喷洒白蚁防治药水后就近堆放于未施工的林地中；清除的小于3m的枝条砍成小于1.5m/段，与杂灌及杂草全部堆放到下方保留带内，然后才能打穴。林地清理需同步开展有害生物防治工作，清除造林区域的薇甘菊、红火蚁等有害生物</w:t>
      </w:r>
      <w:r>
        <w:rPr>
          <w:rFonts w:hint="eastAsia" w:ascii="Times New Roman" w:hAnsi="Times New Roman" w:eastAsia="仿宋"/>
          <w:color w:val="000000" w:themeColor="text1"/>
          <w:kern w:val="0"/>
          <w:sz w:val="28"/>
          <w:szCs w:val="28"/>
          <w:lang w:val="en-US" w:eastAsia="zh-CN"/>
          <w14:textFill>
            <w14:solidFill>
              <w14:schemeClr w14:val="tx1"/>
            </w14:solidFill>
          </w14:textFill>
        </w:rPr>
        <w:t>及无根藤</w:t>
      </w:r>
      <w:r>
        <w:rPr>
          <w:rFonts w:ascii="Times New Roman" w:hAnsi="Times New Roman" w:eastAsia="仿宋"/>
          <w:color w:val="000000" w:themeColor="text1"/>
          <w:kern w:val="0"/>
          <w:sz w:val="28"/>
          <w:szCs w:val="28"/>
          <w14:textFill>
            <w14:solidFill>
              <w14:schemeClr w14:val="tx1"/>
            </w14:solidFill>
          </w14:textFill>
        </w:rPr>
        <w:t>。对造林地中的极小种群、珍稀濒危动植物保护小区不得进行造林整地，并保留适当宽度的缓冲保护带。</w:t>
      </w:r>
    </w:p>
    <w:p w14:paraId="5B647330">
      <w:pPr>
        <w:pStyle w:val="10"/>
        <w:spacing w:line="360" w:lineRule="auto"/>
        <w:ind w:firstLine="627" w:firstLineChars="200"/>
        <w:rPr>
          <w:rFonts w:hint="eastAsia" w:ascii="仿宋" w:hAnsi="仿宋" w:eastAsia="仿宋" w:cs="仿宋"/>
          <w:b/>
          <w:bCs/>
          <w:color w:val="auto"/>
          <w:spacing w:val="-4"/>
          <w:kern w:val="2"/>
          <w:sz w:val="32"/>
          <w:szCs w:val="32"/>
          <w:lang w:val="en-US" w:eastAsia="zh-CN"/>
        </w:rPr>
      </w:pPr>
      <w:r>
        <w:rPr>
          <w:rFonts w:hint="eastAsia" w:ascii="仿宋" w:hAnsi="仿宋" w:eastAsia="仿宋" w:cs="仿宋"/>
          <w:b/>
          <w:bCs/>
          <w:color w:val="auto"/>
          <w:spacing w:val="-4"/>
          <w:kern w:val="2"/>
          <w:sz w:val="32"/>
          <w:szCs w:val="32"/>
          <w:lang w:val="en-US" w:eastAsia="zh-CN"/>
        </w:rPr>
        <w:t>苗木选择</w:t>
      </w:r>
    </w:p>
    <w:p w14:paraId="49848936">
      <w:pPr>
        <w:pStyle w:val="10"/>
        <w:spacing w:line="360" w:lineRule="auto"/>
        <w:ind w:firstLine="624" w:firstLineChars="200"/>
        <w:rPr>
          <w:rFonts w:ascii="Times New Roman" w:hAnsi="Times New Roman" w:eastAsia="仿宋"/>
          <w:color w:val="000000" w:themeColor="text1"/>
          <w:kern w:val="0"/>
          <w:sz w:val="28"/>
          <w:szCs w:val="28"/>
          <w14:textFill>
            <w14:solidFill>
              <w14:schemeClr w14:val="tx1"/>
            </w14:solidFill>
          </w14:textFill>
        </w:rPr>
      </w:pPr>
      <w:r>
        <w:rPr>
          <w:rFonts w:hint="eastAsia" w:ascii="仿宋" w:hAnsi="仿宋" w:eastAsia="仿宋" w:cs="仿宋"/>
          <w:color w:val="auto"/>
          <w:spacing w:val="-4"/>
          <w:kern w:val="2"/>
          <w:sz w:val="32"/>
          <w:szCs w:val="32"/>
        </w:rPr>
        <w:t>树种选择是树种生态特性</w:t>
      </w:r>
      <w:r>
        <w:rPr>
          <w:rFonts w:hint="eastAsia" w:ascii="仿宋" w:hAnsi="仿宋" w:eastAsia="仿宋" w:cs="仿宋"/>
          <w:color w:val="auto"/>
          <w:spacing w:val="-4"/>
          <w:sz w:val="32"/>
          <w:szCs w:val="32"/>
        </w:rPr>
        <w:t>遴选</w:t>
      </w:r>
      <w:r>
        <w:rPr>
          <w:rFonts w:hint="eastAsia" w:ascii="仿宋" w:hAnsi="仿宋" w:eastAsia="仿宋" w:cs="仿宋"/>
          <w:color w:val="auto"/>
          <w:spacing w:val="-4"/>
          <w:kern w:val="2"/>
          <w:sz w:val="32"/>
          <w:szCs w:val="32"/>
        </w:rPr>
        <w:t>、规划造林地立地类型特点、现状调查成果综合应用体现，也是造林成败的关键，结合造林地的立地条件以及珠海市近年来的山地造林经验，并参考了《华南主要抗风耐盐碱园林绿化苗木大全》及广东省森林质量精准提升树种选择配置推荐树种，</w:t>
      </w:r>
      <w:r>
        <w:rPr>
          <w:rFonts w:hint="eastAsia" w:ascii="仿宋" w:hAnsi="仿宋" w:eastAsia="仿宋" w:cs="仿宋"/>
          <w:color w:val="auto"/>
          <w:spacing w:val="-4"/>
          <w:sz w:val="32"/>
          <w:szCs w:val="32"/>
        </w:rPr>
        <w:t>项目总体需要</w:t>
      </w:r>
      <w:r>
        <w:rPr>
          <w:rFonts w:hint="eastAsia" w:ascii="仿宋" w:hAnsi="仿宋" w:eastAsia="仿宋" w:cs="仿宋"/>
          <w:color w:val="auto"/>
          <w:spacing w:val="-4"/>
          <w:sz w:val="32"/>
          <w:szCs w:val="32"/>
          <w:lang w:val="en-US" w:eastAsia="zh-CN"/>
        </w:rPr>
        <w:t>山乌桕、枫香、红花荷</w:t>
      </w:r>
      <w:r>
        <w:rPr>
          <w:rFonts w:hint="eastAsia" w:ascii="仿宋" w:hAnsi="仿宋" w:eastAsia="仿宋" w:cs="仿宋"/>
          <w:color w:val="auto"/>
          <w:spacing w:val="-4"/>
          <w:sz w:val="32"/>
          <w:szCs w:val="32"/>
        </w:rPr>
        <w:t>、山杜英、火力楠、铁冬青、火焰木、</w:t>
      </w:r>
      <w:r>
        <w:rPr>
          <w:rFonts w:hint="eastAsia" w:ascii="仿宋" w:hAnsi="仿宋" w:eastAsia="仿宋" w:cs="仿宋"/>
          <w:color w:val="auto"/>
          <w:spacing w:val="-4"/>
          <w:sz w:val="32"/>
          <w:szCs w:val="32"/>
          <w:lang w:val="en-US" w:eastAsia="zh-CN"/>
        </w:rPr>
        <w:t>大头茶</w:t>
      </w:r>
      <w:r>
        <w:rPr>
          <w:rFonts w:hint="eastAsia" w:ascii="仿宋" w:hAnsi="仿宋" w:eastAsia="仿宋" w:cs="仿宋"/>
          <w:color w:val="auto"/>
          <w:spacing w:val="-4"/>
          <w:sz w:val="32"/>
          <w:szCs w:val="32"/>
        </w:rPr>
        <w:t>、假萍婆</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lang w:val="en-US" w:eastAsia="zh-CN"/>
        </w:rPr>
        <w:t>台湾相思</w:t>
      </w:r>
      <w:r>
        <w:rPr>
          <w:rFonts w:hint="eastAsia" w:ascii="仿宋" w:hAnsi="仿宋" w:eastAsia="仿宋" w:cs="仿宋"/>
          <w:color w:val="auto"/>
          <w:spacing w:val="-4"/>
          <w:sz w:val="32"/>
          <w:szCs w:val="32"/>
          <w:shd w:val="clear" w:color="auto" w:fill="auto"/>
        </w:rPr>
        <w:t>等</w:t>
      </w:r>
      <w:r>
        <w:rPr>
          <w:rFonts w:hint="eastAsia" w:ascii="仿宋" w:hAnsi="仿宋" w:eastAsia="仿宋" w:cs="仿宋"/>
          <w:color w:val="auto"/>
          <w:spacing w:val="-4"/>
          <w:sz w:val="32"/>
          <w:szCs w:val="32"/>
          <w:shd w:val="clear" w:color="auto" w:fill="auto"/>
          <w:lang w:val="en-US" w:eastAsia="zh-CN"/>
        </w:rPr>
        <w:t>9</w:t>
      </w:r>
      <w:r>
        <w:rPr>
          <w:rFonts w:hint="eastAsia" w:ascii="仿宋" w:hAnsi="仿宋" w:eastAsia="仿宋" w:cs="仿宋"/>
          <w:color w:val="auto"/>
          <w:spacing w:val="-4"/>
          <w:sz w:val="32"/>
          <w:szCs w:val="32"/>
          <w:shd w:val="clear" w:color="auto" w:fill="auto"/>
        </w:rPr>
        <w:t>种</w:t>
      </w:r>
      <w:r>
        <w:rPr>
          <w:rFonts w:hint="eastAsia" w:ascii="仿宋" w:hAnsi="仿宋" w:eastAsia="仿宋" w:cs="仿宋"/>
          <w:color w:val="auto"/>
          <w:spacing w:val="-4"/>
          <w:kern w:val="2"/>
          <w:sz w:val="32"/>
          <w:szCs w:val="32"/>
        </w:rPr>
        <w:t>各类型乔木</w:t>
      </w:r>
      <w:r>
        <w:rPr>
          <w:rFonts w:hint="eastAsia" w:ascii="仿宋" w:hAnsi="仿宋" w:eastAsia="仿宋" w:cs="仿宋"/>
          <w:color w:val="auto"/>
          <w:spacing w:val="-4"/>
          <w:kern w:val="2"/>
          <w:sz w:val="32"/>
          <w:szCs w:val="32"/>
          <w:lang w:eastAsia="zh-CN"/>
        </w:rPr>
        <w:t>。</w:t>
      </w:r>
      <w:r>
        <w:rPr>
          <w:rFonts w:hint="eastAsia" w:ascii="仿宋" w:hAnsi="仿宋" w:eastAsia="仿宋" w:cs="仿宋"/>
          <w:color w:val="auto"/>
          <w:spacing w:val="-4"/>
          <w:kern w:val="2"/>
          <w:sz w:val="32"/>
          <w:szCs w:val="32"/>
          <w:lang w:val="en-US" w:eastAsia="zh-CN"/>
        </w:rPr>
        <w:t>苗木</w:t>
      </w:r>
      <w:r>
        <w:rPr>
          <w:rFonts w:hint="eastAsia" w:ascii="仿宋" w:hAnsi="仿宋" w:eastAsia="仿宋" w:cs="仿宋"/>
          <w:color w:val="auto"/>
          <w:spacing w:val="-4"/>
          <w:kern w:val="2"/>
          <w:sz w:val="32"/>
          <w:szCs w:val="32"/>
        </w:rPr>
        <w:t>应选用1.5年生以上、苗高80cm以上、地径0.8cm以上的良种容器壮苗，应有“两证一签一说明”，采用保障性苗圃定单育苗定向供苗。</w:t>
      </w:r>
    </w:p>
    <w:p w14:paraId="35AC8E99">
      <w:pPr>
        <w:pStyle w:val="4"/>
        <w:ind w:firstLine="627" w:firstLineChars="200"/>
        <w:rPr>
          <w:rFonts w:hint="eastAsia" w:ascii="仿宋" w:hAnsi="仿宋" w:eastAsia="仿宋" w:cs="仿宋"/>
          <w:color w:val="auto"/>
          <w:spacing w:val="-4"/>
        </w:rPr>
      </w:pPr>
      <w:r>
        <w:rPr>
          <w:rFonts w:hint="eastAsia" w:ascii="仿宋" w:hAnsi="仿宋" w:eastAsia="仿宋" w:cs="仿宋"/>
          <w:color w:val="auto"/>
          <w:spacing w:val="-4"/>
        </w:rPr>
        <w:t>整地与基肥</w:t>
      </w:r>
    </w:p>
    <w:p w14:paraId="7C27C2AC">
      <w:pPr>
        <w:autoSpaceDE w:val="0"/>
        <w:autoSpaceDN w:val="0"/>
        <w:adjustRightInd w:val="0"/>
        <w:ind w:firstLine="624" w:firstLineChars="200"/>
        <w:jc w:val="left"/>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清理有碍于苗木正常生长的地被物、采伐剩余物。开挖植穴尽量防止水土流失，植穴规格50×50×40cm以上。每穴施放1.</w:t>
      </w:r>
      <w:r>
        <w:rPr>
          <w:rFonts w:hint="eastAsia" w:ascii="仿宋" w:hAnsi="仿宋" w:eastAsia="仿宋" w:cs="仿宋"/>
          <w:color w:val="auto"/>
          <w:spacing w:val="-4"/>
          <w:kern w:val="2"/>
          <w:sz w:val="32"/>
          <w:szCs w:val="32"/>
          <w:lang w:val="en-US" w:eastAsia="zh-CN"/>
        </w:rPr>
        <w:t>5</w:t>
      </w:r>
      <w:r>
        <w:rPr>
          <w:rFonts w:hint="eastAsia" w:ascii="仿宋" w:hAnsi="仿宋" w:eastAsia="仿宋" w:cs="仿宋"/>
          <w:color w:val="auto"/>
          <w:spacing w:val="-4"/>
          <w:kern w:val="2"/>
          <w:sz w:val="32"/>
          <w:szCs w:val="32"/>
        </w:rPr>
        <w:t>千克林木专用肥+0.5千克进口复合肥（NPK含量≥45%）。</w:t>
      </w:r>
    </w:p>
    <w:p w14:paraId="5205EC65">
      <w:pPr>
        <w:pStyle w:val="4"/>
        <w:ind w:firstLine="627" w:firstLineChars="200"/>
        <w:rPr>
          <w:rFonts w:hint="eastAsia" w:ascii="仿宋" w:hAnsi="仿宋" w:eastAsia="仿宋" w:cs="仿宋"/>
          <w:color w:val="auto"/>
          <w:spacing w:val="-4"/>
        </w:rPr>
      </w:pPr>
      <w:r>
        <w:rPr>
          <w:rFonts w:hint="eastAsia" w:ascii="仿宋" w:hAnsi="仿宋" w:eastAsia="仿宋" w:cs="仿宋"/>
          <w:color w:val="auto"/>
          <w:spacing w:val="-4"/>
        </w:rPr>
        <w:t>造林密度</w:t>
      </w:r>
    </w:p>
    <w:p w14:paraId="45BE1750">
      <w:pPr>
        <w:autoSpaceDE w:val="0"/>
        <w:autoSpaceDN w:val="0"/>
        <w:adjustRightInd w:val="0"/>
        <w:ind w:firstLine="624" w:firstLineChars="200"/>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根际实际需要，设置苗木种植株行距为2.5m*2m，即种植密度为133株/亩，防火林带区域苗木种植株行距为2m*2m，即种植密度为167株/亩。</w:t>
      </w:r>
    </w:p>
    <w:p w14:paraId="4D479C13">
      <w:pPr>
        <w:pStyle w:val="4"/>
        <w:ind w:firstLine="627" w:firstLineChars="200"/>
        <w:rPr>
          <w:rFonts w:hint="eastAsia" w:ascii="仿宋" w:hAnsi="仿宋" w:eastAsia="仿宋" w:cs="仿宋"/>
          <w:color w:val="auto"/>
          <w:spacing w:val="-4"/>
        </w:rPr>
      </w:pPr>
      <w:r>
        <w:rPr>
          <w:rFonts w:hint="eastAsia" w:ascii="仿宋" w:hAnsi="仿宋" w:eastAsia="仿宋" w:cs="仿宋"/>
          <w:color w:val="auto"/>
          <w:spacing w:val="-4"/>
        </w:rPr>
        <w:t>栽植方式</w:t>
      </w:r>
    </w:p>
    <w:p w14:paraId="50E924E6">
      <w:pPr>
        <w:autoSpaceDE w:val="0"/>
        <w:autoSpaceDN w:val="0"/>
        <w:adjustRightInd w:val="0"/>
        <w:ind w:firstLine="624" w:firstLineChars="200"/>
        <w:jc w:val="left"/>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应在春季雨期造林。</w:t>
      </w:r>
      <w:r>
        <w:rPr>
          <w:rFonts w:hint="eastAsia" w:ascii="仿宋" w:hAnsi="仿宋" w:eastAsia="仿宋" w:cs="仿宋"/>
          <w:color w:val="auto"/>
          <w:spacing w:val="-4"/>
          <w:kern w:val="2"/>
          <w:sz w:val="32"/>
          <w:szCs w:val="32"/>
          <w:lang w:val="en-US" w:eastAsia="zh-CN"/>
        </w:rPr>
        <w:t>苗木栽植前需先对苗木根部进行防治白蚁药水的浸泡，</w:t>
      </w:r>
      <w:r>
        <w:rPr>
          <w:rFonts w:hint="eastAsia" w:ascii="仿宋" w:hAnsi="仿宋" w:eastAsia="仿宋" w:cs="仿宋"/>
          <w:color w:val="auto"/>
          <w:spacing w:val="-4"/>
          <w:kern w:val="2"/>
          <w:sz w:val="32"/>
          <w:szCs w:val="32"/>
        </w:rPr>
        <w:t xml:space="preserve">栽植时苗要扶正，并适当深栽，回土要细，回土后轻提幼苗，然后适当压实，最后松土回成“馒头状”，做到“三埋一提三踩”。 </w:t>
      </w:r>
    </w:p>
    <w:p w14:paraId="0D775535">
      <w:pPr>
        <w:pStyle w:val="4"/>
        <w:ind w:firstLine="627" w:firstLineChars="200"/>
        <w:rPr>
          <w:rFonts w:hint="eastAsia" w:ascii="仿宋" w:hAnsi="仿宋" w:eastAsia="仿宋" w:cs="仿宋"/>
          <w:color w:val="auto"/>
          <w:spacing w:val="-4"/>
        </w:rPr>
      </w:pPr>
      <w:r>
        <w:rPr>
          <w:rFonts w:hint="eastAsia" w:ascii="仿宋" w:hAnsi="仿宋" w:eastAsia="仿宋" w:cs="仿宋"/>
          <w:color w:val="auto"/>
          <w:spacing w:val="-4"/>
        </w:rPr>
        <w:t>抚育及追肥</w:t>
      </w:r>
    </w:p>
    <w:p w14:paraId="779C43EB">
      <w:pPr>
        <w:pStyle w:val="10"/>
        <w:spacing w:line="360" w:lineRule="auto"/>
        <w:ind w:firstLine="624" w:firstLineChars="200"/>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种植当年秋季（9-10月）抚育：砍除苗木种植带内的杂灌、杂草；种植穴内铲草、松土、</w:t>
      </w:r>
      <w:r>
        <w:rPr>
          <w:rFonts w:hint="eastAsia" w:ascii="仿宋" w:hAnsi="仿宋" w:eastAsia="仿宋" w:cs="仿宋"/>
          <w:color w:val="auto"/>
          <w:spacing w:val="-4"/>
          <w:kern w:val="2"/>
          <w:sz w:val="32"/>
          <w:szCs w:val="32"/>
          <w:lang w:val="en-US" w:eastAsia="zh-CN"/>
        </w:rPr>
        <w:t>扩穴、培土、</w:t>
      </w:r>
      <w:r>
        <w:rPr>
          <w:rFonts w:hint="eastAsia" w:ascii="仿宋" w:hAnsi="仿宋" w:eastAsia="仿宋" w:cs="仿宋"/>
          <w:color w:val="auto"/>
          <w:spacing w:val="-4"/>
          <w:kern w:val="2"/>
          <w:sz w:val="32"/>
          <w:szCs w:val="32"/>
        </w:rPr>
        <w:t>修筑70*50cm反坡状小平台（含补苗）。</w:t>
      </w:r>
    </w:p>
    <w:p w14:paraId="4672F59D">
      <w:pPr>
        <w:pStyle w:val="10"/>
        <w:spacing w:line="360" w:lineRule="auto"/>
        <w:ind w:firstLine="624" w:firstLineChars="200"/>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第二年春季（3-4月）抚育：砍除苗木种植带内的杂灌、杂草；种植穴内铲草、松土、修筑70*50cm反坡状小平台（含补苗），然后在树冠外缘投影线上坡位或左右两侧挖穴追施进口复合肥0.2千克/株，后覆土。</w:t>
      </w:r>
    </w:p>
    <w:p w14:paraId="61ECEFFE">
      <w:pPr>
        <w:pStyle w:val="10"/>
        <w:spacing w:line="360" w:lineRule="auto"/>
        <w:ind w:firstLine="624" w:firstLineChars="200"/>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第二年秋季（9-10月）抚育：种植带全带砍草、割灌，并铲除苗木周围1.2*1.2m内的杂草，修去徒长枝，保留植物顶端优势，促使植物尽快生长。</w:t>
      </w:r>
    </w:p>
    <w:p w14:paraId="15C97949">
      <w:pPr>
        <w:pStyle w:val="4"/>
        <w:ind w:firstLine="627" w:firstLineChars="200"/>
        <w:rPr>
          <w:rFonts w:hint="eastAsia" w:ascii="仿宋" w:hAnsi="仿宋" w:eastAsia="仿宋" w:cs="仿宋"/>
          <w:color w:val="auto"/>
          <w:spacing w:val="-4"/>
        </w:rPr>
      </w:pPr>
      <w:r>
        <w:rPr>
          <w:rFonts w:hint="eastAsia" w:ascii="仿宋" w:hAnsi="仿宋" w:eastAsia="仿宋" w:cs="仿宋"/>
          <w:color w:val="auto"/>
          <w:spacing w:val="-4"/>
        </w:rPr>
        <w:t>管护</w:t>
      </w:r>
    </w:p>
    <w:p w14:paraId="5C703DFA">
      <w:pPr>
        <w:numPr>
          <w:ilvl w:val="0"/>
          <w:numId w:val="0"/>
        </w:numPr>
        <w:autoSpaceDE/>
        <w:autoSpaceDN/>
        <w:adjustRightInd/>
        <w:snapToGrid w:val="0"/>
        <w:spacing w:line="579" w:lineRule="exact"/>
        <w:ind w:firstLine="624" w:firstLineChars="200"/>
        <w:jc w:val="left"/>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建成后进入抚育管理阶段，应定期给新造林地除草松土，增加土壤通透性，不仅能够避免杂草与幼林争夺养分，还能促进土壤有机质分解，促进苗木根部生长。</w:t>
      </w:r>
    </w:p>
    <w:p w14:paraId="08BF3A72">
      <w:pPr>
        <w:numPr>
          <w:ilvl w:val="0"/>
          <w:numId w:val="0"/>
        </w:numPr>
        <w:autoSpaceDE/>
        <w:autoSpaceDN/>
        <w:adjustRightInd/>
        <w:snapToGrid w:val="0"/>
        <w:spacing w:line="579" w:lineRule="exact"/>
        <w:ind w:firstLine="624" w:firstLineChars="200"/>
        <w:jc w:val="left"/>
        <w:rPr>
          <w:rFonts w:hint="eastAsia" w:ascii="仿宋" w:hAnsi="仿宋" w:eastAsia="仿宋" w:cs="仿宋"/>
          <w:color w:val="auto"/>
          <w:spacing w:val="-4"/>
          <w:kern w:val="2"/>
          <w:sz w:val="32"/>
          <w:szCs w:val="32"/>
        </w:rPr>
      </w:pPr>
      <w:r>
        <w:rPr>
          <w:rFonts w:hint="eastAsia" w:ascii="仿宋" w:hAnsi="仿宋" w:eastAsia="仿宋" w:cs="仿宋"/>
          <w:color w:val="auto"/>
          <w:spacing w:val="-4"/>
          <w:kern w:val="2"/>
          <w:sz w:val="32"/>
          <w:szCs w:val="32"/>
        </w:rPr>
        <w:t>通过采取修枝、割灌除草、以目标树种为中心，半径50cm内松土扩穴、施肥、补植、培土、抚育伐等措施，调整林分生长空间，促进林分生长发育。</w:t>
      </w:r>
    </w:p>
    <w:p w14:paraId="237BB401">
      <w:pPr>
        <w:numPr>
          <w:ilvl w:val="-1"/>
          <w:numId w:val="0"/>
        </w:numPr>
        <w:autoSpaceDE w:val="0"/>
        <w:autoSpaceDN w:val="0"/>
        <w:adjustRightInd w:val="0"/>
        <w:ind w:firstLine="420"/>
        <w:jc w:val="left"/>
        <w:rPr>
          <w:rFonts w:hint="eastAsia" w:ascii="仿宋" w:hAnsi="仿宋" w:eastAsia="仿宋" w:cs="仿宋"/>
          <w:b/>
          <w:bCs/>
          <w:color w:val="auto"/>
          <w:spacing w:val="-4"/>
          <w:kern w:val="2"/>
          <w:sz w:val="32"/>
          <w:szCs w:val="32"/>
          <w:lang w:val="en-US" w:eastAsia="zh-CN"/>
        </w:rPr>
      </w:pPr>
      <w:r>
        <w:rPr>
          <w:rFonts w:hint="eastAsia" w:ascii="仿宋" w:hAnsi="仿宋" w:eastAsia="仿宋" w:cs="仿宋"/>
          <w:b/>
          <w:bCs/>
          <w:color w:val="auto"/>
          <w:spacing w:val="-4"/>
          <w:kern w:val="2"/>
          <w:sz w:val="32"/>
          <w:szCs w:val="32"/>
          <w:lang w:val="en-US" w:eastAsia="zh-CN"/>
        </w:rPr>
        <w:t>工程量</w:t>
      </w:r>
    </w:p>
    <w:p w14:paraId="13A17DBC">
      <w:pPr>
        <w:numPr>
          <w:ilvl w:val="-1"/>
          <w:numId w:val="0"/>
        </w:numPr>
        <w:autoSpaceDE/>
        <w:autoSpaceDN/>
        <w:adjustRightInd/>
        <w:snapToGrid w:val="0"/>
        <w:spacing w:line="579" w:lineRule="exact"/>
        <w:ind w:firstLine="624" w:firstLineChars="200"/>
        <w:jc w:val="left"/>
        <w:rPr>
          <w:rFonts w:hint="eastAsia" w:ascii="仿宋" w:hAnsi="仿宋" w:eastAsia="仿宋" w:cs="仿宋"/>
          <w:spacing w:val="-4"/>
          <w:sz w:val="32"/>
          <w:szCs w:val="32"/>
          <w:lang w:val="en-US" w:eastAsia="zh-CN"/>
        </w:rPr>
      </w:pPr>
      <w:r>
        <w:rPr>
          <w:rFonts w:hint="eastAsia" w:ascii="仿宋" w:hAnsi="仿宋" w:eastAsia="仿宋" w:cs="仿宋"/>
          <w:b w:val="0"/>
          <w:bCs w:val="0"/>
          <w:color w:val="auto"/>
          <w:spacing w:val="-4"/>
          <w:kern w:val="2"/>
          <w:sz w:val="32"/>
          <w:szCs w:val="32"/>
          <w:lang w:val="en-US" w:eastAsia="zh-CN"/>
        </w:rPr>
        <w:t>本次</w:t>
      </w:r>
      <w:r>
        <w:rPr>
          <w:rFonts w:hint="eastAsia" w:ascii="仿宋" w:hAnsi="仿宋" w:eastAsia="仿宋" w:cs="仿宋"/>
          <w:b w:val="0"/>
          <w:bCs w:val="0"/>
          <w:spacing w:val="-4"/>
          <w:kern w:val="2"/>
          <w:sz w:val="32"/>
          <w:szCs w:val="32"/>
          <w:lang w:val="en-US" w:eastAsia="zh-TW"/>
        </w:rPr>
        <w:t>林分修复</w:t>
      </w:r>
      <w:r>
        <w:rPr>
          <w:rFonts w:hint="eastAsia" w:ascii="仿宋" w:hAnsi="仿宋" w:eastAsia="仿宋" w:cs="仿宋"/>
          <w:spacing w:val="-4"/>
          <w:sz w:val="32"/>
          <w:szCs w:val="32"/>
          <w:lang w:val="en-US" w:eastAsia="zh-CN"/>
        </w:rPr>
        <w:t>区域约</w:t>
      </w:r>
      <w:r>
        <w:rPr>
          <w:rFonts w:hint="eastAsia" w:ascii="仿宋" w:hAnsi="仿宋" w:eastAsia="PMingLiU" w:cs="仿宋"/>
          <w:spacing w:val="-4"/>
          <w:sz w:val="32"/>
          <w:szCs w:val="32"/>
          <w:lang w:val="en-US" w:eastAsia="zh-TW"/>
        </w:rPr>
        <w:t>49.17</w:t>
      </w:r>
      <w:r>
        <w:rPr>
          <w:rFonts w:hint="eastAsia" w:ascii="仿宋" w:hAnsi="仿宋" w:eastAsia="仿宋" w:cs="仿宋"/>
          <w:spacing w:val="-4"/>
          <w:sz w:val="32"/>
          <w:szCs w:val="32"/>
          <w:lang w:val="en-US" w:eastAsia="zh-CN"/>
        </w:rPr>
        <w:t>亩，共需苗木</w:t>
      </w:r>
      <w:r>
        <w:rPr>
          <w:rFonts w:hint="eastAsia" w:ascii="仿宋" w:hAnsi="仿宋" w:eastAsia="PMingLiU" w:cs="仿宋"/>
          <w:spacing w:val="-4"/>
          <w:sz w:val="32"/>
          <w:szCs w:val="32"/>
          <w:lang w:val="en-US" w:eastAsia="zh-TW"/>
        </w:rPr>
        <w:t>6592</w:t>
      </w:r>
      <w:r>
        <w:rPr>
          <w:rFonts w:hint="eastAsia" w:ascii="仿宋" w:hAnsi="仿宋" w:eastAsia="仿宋" w:cs="仿宋"/>
          <w:spacing w:val="-4"/>
          <w:sz w:val="32"/>
          <w:szCs w:val="32"/>
          <w:lang w:val="en-US" w:eastAsia="zh-CN"/>
        </w:rPr>
        <w:t>株，林木专用肥</w:t>
      </w:r>
      <w:r>
        <w:rPr>
          <w:rFonts w:hint="eastAsia" w:ascii="仿宋" w:hAnsi="仿宋" w:eastAsia="仿宋" w:cs="仿宋"/>
          <w:spacing w:val="-4"/>
          <w:sz w:val="32"/>
          <w:szCs w:val="32"/>
          <w:lang w:val="en-US" w:eastAsia="zh-TW"/>
        </w:rPr>
        <w:t>9888</w:t>
      </w:r>
      <w:r>
        <w:rPr>
          <w:rFonts w:hint="eastAsia" w:ascii="仿宋" w:hAnsi="仿宋" w:eastAsia="仿宋" w:cs="仿宋"/>
          <w:spacing w:val="-4"/>
          <w:sz w:val="32"/>
          <w:szCs w:val="32"/>
          <w:lang w:val="en-US" w:eastAsia="zh-CN"/>
        </w:rPr>
        <w:t>kg，复合肥</w:t>
      </w:r>
      <w:r>
        <w:rPr>
          <w:rFonts w:hint="eastAsia" w:ascii="仿宋" w:hAnsi="仿宋" w:eastAsia="仿宋" w:cs="仿宋"/>
          <w:spacing w:val="-4"/>
          <w:sz w:val="32"/>
          <w:szCs w:val="32"/>
          <w:lang w:val="en-US" w:eastAsia="zh-TW"/>
        </w:rPr>
        <w:t>5932.8</w:t>
      </w:r>
      <w:r>
        <w:rPr>
          <w:rFonts w:hint="eastAsia" w:ascii="仿宋" w:hAnsi="仿宋" w:eastAsia="仿宋" w:cs="仿宋"/>
          <w:spacing w:val="-4"/>
          <w:sz w:val="32"/>
          <w:szCs w:val="32"/>
          <w:lang w:val="en-US" w:eastAsia="zh-CN"/>
        </w:rPr>
        <w:t>kg。</w:t>
      </w:r>
    </w:p>
    <w:p w14:paraId="26D36424">
      <w:pPr>
        <w:numPr>
          <w:ilvl w:val="-1"/>
          <w:numId w:val="0"/>
        </w:numPr>
        <w:spacing w:before="156" w:beforeLines="50" w:line="360" w:lineRule="auto"/>
        <w:ind w:firstLine="0"/>
        <w:rPr>
          <w:rFonts w:hint="eastAsia" w:ascii="仿宋" w:hAnsi="仿宋" w:eastAsia="仿宋" w:cs="仿宋"/>
          <w:spacing w:val="-4"/>
          <w:sz w:val="32"/>
          <w:szCs w:val="32"/>
        </w:rPr>
      </w:pPr>
    </w:p>
    <w:p w14:paraId="19AE9099">
      <w:pPr>
        <w:pStyle w:val="24"/>
        <w:spacing w:line="579" w:lineRule="exact"/>
        <w:ind w:firstLine="640"/>
        <w:outlineLvl w:val="0"/>
        <w:rPr>
          <w:rFonts w:ascii="黑体" w:hAnsi="黑体" w:eastAsia="黑体" w:cs="黑体"/>
          <w:bCs/>
          <w:sz w:val="32"/>
          <w:szCs w:val="32"/>
          <w:lang w:eastAsia="zh-TW"/>
        </w:rPr>
      </w:pPr>
      <w:r>
        <w:rPr>
          <w:rFonts w:hint="eastAsia" w:ascii="黑体" w:hAnsi="黑体" w:eastAsia="黑体" w:cs="黑体"/>
          <w:bCs/>
          <w:sz w:val="32"/>
          <w:szCs w:val="32"/>
          <w:lang w:eastAsia="zh-TW"/>
        </w:rPr>
        <w:t>六、</w:t>
      </w:r>
      <w:r>
        <w:rPr>
          <w:rFonts w:hint="eastAsia" w:ascii="黑体" w:hAnsi="黑体" w:eastAsia="黑体" w:cs="黑体"/>
          <w:b w:val="0"/>
          <w:bCs/>
          <w:sz w:val="32"/>
          <w:szCs w:val="32"/>
          <w:highlight w:val="none"/>
          <w:lang w:eastAsia="zh-TW"/>
        </w:rPr>
        <w:t>验收</w:t>
      </w:r>
      <w:r>
        <w:rPr>
          <w:rFonts w:hint="eastAsia" w:ascii="黑体" w:hAnsi="黑体" w:eastAsia="黑体" w:cs="黑体"/>
          <w:bCs/>
          <w:sz w:val="32"/>
          <w:szCs w:val="32"/>
          <w:lang w:eastAsia="zh-TW"/>
        </w:rPr>
        <w:t>标准</w:t>
      </w:r>
    </w:p>
    <w:p w14:paraId="6B924B68">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b w:val="0"/>
          <w:bCs w:val="0"/>
          <w:spacing w:val="-4"/>
          <w:sz w:val="32"/>
          <w:szCs w:val="32"/>
          <w:highlight w:val="none"/>
        </w:rPr>
      </w:pPr>
      <w:r>
        <w:rPr>
          <w:rFonts w:hint="eastAsia" w:ascii="仿宋" w:hAnsi="仿宋" w:eastAsia="仿宋" w:cs="仿宋"/>
          <w:b w:val="0"/>
          <w:bCs w:val="0"/>
          <w:spacing w:val="-4"/>
          <w:sz w:val="32"/>
          <w:szCs w:val="32"/>
          <w:highlight w:val="none"/>
        </w:rPr>
        <w:t>1、栽植完成验收标准</w:t>
      </w:r>
    </w:p>
    <w:p w14:paraId="62B90D97">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在栽植完成后上报</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val="en-US" w:eastAsia="zh-CN"/>
        </w:rPr>
        <w:t>采购人在</w:t>
      </w:r>
      <w:r>
        <w:rPr>
          <w:rFonts w:hint="eastAsia" w:ascii="仿宋" w:hAnsi="仿宋" w:eastAsia="仿宋" w:cs="仿宋"/>
          <w:spacing w:val="-4"/>
          <w:sz w:val="32"/>
          <w:szCs w:val="32"/>
          <w:highlight w:val="none"/>
        </w:rPr>
        <w:t>一个月</w:t>
      </w:r>
      <w:r>
        <w:rPr>
          <w:rFonts w:hint="eastAsia" w:ascii="仿宋" w:hAnsi="仿宋" w:eastAsia="仿宋" w:cs="仿宋"/>
          <w:spacing w:val="-4"/>
          <w:sz w:val="32"/>
          <w:szCs w:val="32"/>
          <w:highlight w:val="none"/>
          <w:lang w:eastAsia="zh-CN"/>
        </w:rPr>
        <w:t>内</w:t>
      </w:r>
      <w:r>
        <w:rPr>
          <w:rFonts w:hint="eastAsia" w:ascii="仿宋" w:hAnsi="仿宋" w:eastAsia="仿宋" w:cs="仿宋"/>
          <w:spacing w:val="-4"/>
          <w:sz w:val="32"/>
          <w:szCs w:val="32"/>
          <w:highlight w:val="none"/>
        </w:rPr>
        <w:t>组织验收。主要针对造林面积、苗木规格、管护措施、苗木成活率进行验收，要求造林苗木</w:t>
      </w:r>
      <w:r>
        <w:rPr>
          <w:rFonts w:hint="eastAsia" w:ascii="仿宋" w:hAnsi="仿宋" w:eastAsia="仿宋" w:cs="仿宋"/>
          <w:spacing w:val="-4"/>
          <w:sz w:val="32"/>
          <w:szCs w:val="32"/>
          <w:highlight w:val="none"/>
          <w:lang w:eastAsia="zh-CN"/>
        </w:rPr>
        <w:t>成活</w:t>
      </w:r>
      <w:r>
        <w:rPr>
          <w:rFonts w:hint="eastAsia" w:ascii="仿宋" w:hAnsi="仿宋" w:eastAsia="仿宋" w:cs="仿宋"/>
          <w:spacing w:val="-4"/>
          <w:sz w:val="32"/>
          <w:szCs w:val="32"/>
          <w:highlight w:val="none"/>
        </w:rPr>
        <w:t>率达</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%以上（含</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%），苗木长势良好，否则必须补植整改后再进行验收。</w:t>
      </w:r>
    </w:p>
    <w:p w14:paraId="5388B89A">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b w:val="0"/>
          <w:bCs w:val="0"/>
          <w:spacing w:val="-4"/>
          <w:sz w:val="32"/>
          <w:szCs w:val="32"/>
          <w:highlight w:val="none"/>
        </w:rPr>
      </w:pPr>
      <w:r>
        <w:rPr>
          <w:rFonts w:hint="eastAsia" w:ascii="仿宋" w:hAnsi="仿宋" w:eastAsia="仿宋" w:cs="仿宋"/>
          <w:b w:val="0"/>
          <w:bCs w:val="0"/>
          <w:spacing w:val="-4"/>
          <w:sz w:val="32"/>
          <w:szCs w:val="32"/>
          <w:highlight w:val="none"/>
        </w:rPr>
        <w:t>2、抚育验收标准</w:t>
      </w:r>
    </w:p>
    <w:p w14:paraId="5E9ADA6E">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每次抚育验收在抚育后一个月内进行，验收内容包括抚育面积、苗木保存率、苗木生长指标、抚育措施、抚育质量等，要求按照作业设计进行抚育，抚育率达100%，</w:t>
      </w:r>
      <w:r>
        <w:rPr>
          <w:rFonts w:hint="eastAsia" w:ascii="仿宋" w:hAnsi="仿宋" w:eastAsia="仿宋" w:cs="仿宋"/>
          <w:spacing w:val="-4"/>
          <w:sz w:val="32"/>
          <w:szCs w:val="32"/>
          <w:highlight w:val="none"/>
          <w:lang w:eastAsia="zh-CN"/>
        </w:rPr>
        <w:t>成活</w:t>
      </w:r>
      <w:r>
        <w:rPr>
          <w:rFonts w:hint="eastAsia" w:ascii="仿宋" w:hAnsi="仿宋" w:eastAsia="仿宋" w:cs="仿宋"/>
          <w:spacing w:val="-4"/>
          <w:sz w:val="32"/>
          <w:szCs w:val="32"/>
          <w:highlight w:val="none"/>
        </w:rPr>
        <w:t>率达</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%以上（含</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%），否则必须补植后再验收。</w:t>
      </w:r>
    </w:p>
    <w:p w14:paraId="7B0A7846">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b w:val="0"/>
          <w:bCs w:val="0"/>
          <w:spacing w:val="-4"/>
          <w:sz w:val="32"/>
          <w:szCs w:val="32"/>
          <w:highlight w:val="none"/>
        </w:rPr>
      </w:pPr>
      <w:r>
        <w:rPr>
          <w:rFonts w:hint="eastAsia" w:ascii="仿宋" w:hAnsi="仿宋" w:eastAsia="仿宋" w:cs="仿宋"/>
          <w:b w:val="0"/>
          <w:bCs w:val="0"/>
          <w:spacing w:val="-4"/>
          <w:sz w:val="32"/>
          <w:szCs w:val="32"/>
          <w:highlight w:val="none"/>
        </w:rPr>
        <w:t>3、抚育期满验收标准</w:t>
      </w:r>
    </w:p>
    <w:p w14:paraId="47B9EB14">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抚育期满验收在最后一次抚育完成后一个月内进行，验收内容包括抚育面积、苗木保存率、苗木生长指标、抚育措施、抚育质量等，要求抚育率达100%，</w:t>
      </w:r>
      <w:r>
        <w:rPr>
          <w:rFonts w:hint="eastAsia" w:ascii="仿宋" w:hAnsi="仿宋" w:eastAsia="仿宋" w:cs="仿宋"/>
          <w:spacing w:val="-4"/>
          <w:sz w:val="32"/>
          <w:szCs w:val="32"/>
          <w:highlight w:val="none"/>
          <w:lang w:eastAsia="zh-CN"/>
        </w:rPr>
        <w:t>成活</w:t>
      </w:r>
      <w:r>
        <w:rPr>
          <w:rFonts w:hint="eastAsia" w:ascii="仿宋" w:hAnsi="仿宋" w:eastAsia="仿宋" w:cs="仿宋"/>
          <w:spacing w:val="-4"/>
          <w:sz w:val="32"/>
          <w:szCs w:val="32"/>
          <w:highlight w:val="none"/>
        </w:rPr>
        <w:t>率达</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%以上（含</w:t>
      </w:r>
      <w:r>
        <w:rPr>
          <w:rFonts w:hint="eastAsia" w:ascii="仿宋" w:hAnsi="仿宋" w:eastAsia="仿宋" w:cs="仿宋"/>
          <w:spacing w:val="-4"/>
          <w:sz w:val="32"/>
          <w:szCs w:val="32"/>
          <w:lang w:val="en-US" w:eastAsia="zh-TW"/>
        </w:rPr>
        <w:t>95</w:t>
      </w:r>
      <w:r>
        <w:rPr>
          <w:rFonts w:hint="eastAsia" w:ascii="仿宋" w:hAnsi="仿宋" w:eastAsia="仿宋" w:cs="仿宋"/>
          <w:spacing w:val="-4"/>
          <w:sz w:val="32"/>
          <w:szCs w:val="32"/>
          <w:highlight w:val="none"/>
        </w:rPr>
        <w:t>%）。苗木生长旺盛，无病虫害等。否则必须抚育到达标后再验收。</w:t>
      </w:r>
    </w:p>
    <w:p w14:paraId="0B9E70E9">
      <w:pPr>
        <w:snapToGrid w:val="0"/>
        <w:spacing w:line="579" w:lineRule="exact"/>
        <w:ind w:firstLine="624" w:firstLineChars="200"/>
        <w:rPr>
          <w:rFonts w:hint="eastAsia" w:ascii="仿宋" w:hAnsi="仿宋" w:eastAsia="仿宋" w:cs="仿宋"/>
          <w:color w:val="0000FF"/>
          <w:spacing w:val="-4"/>
          <w:sz w:val="32"/>
          <w:szCs w:val="32"/>
        </w:rPr>
      </w:pPr>
    </w:p>
    <w:p w14:paraId="6ACAF497">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七、</w:t>
      </w:r>
      <w:r>
        <w:rPr>
          <w:rFonts w:hint="eastAsia" w:ascii="黑体" w:hAnsi="黑体" w:eastAsia="黑体" w:cs="黑体"/>
          <w:b w:val="0"/>
          <w:bCs/>
          <w:sz w:val="32"/>
          <w:szCs w:val="32"/>
          <w:highlight w:val="none"/>
        </w:rPr>
        <w:t>施工</w:t>
      </w:r>
      <w:r>
        <w:rPr>
          <w:rFonts w:hint="eastAsia" w:ascii="黑体" w:hAnsi="黑体" w:eastAsia="黑体" w:cs="黑体"/>
          <w:bCs/>
          <w:sz w:val="32"/>
          <w:szCs w:val="32"/>
        </w:rPr>
        <w:t>管理</w:t>
      </w:r>
    </w:p>
    <w:p w14:paraId="6B3F4C46">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项目要严格执行各项技术规范要求和“按规划设计、按设计施工、按标准验收报账”的工程技术管理程式，要求“高标准、高要求、高投入”营造碳汇林。推行项目法人制、终身负责制，</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实行包质量、包进度、包成活的“三包”责任制。项目结束后</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将组织检查</w:t>
      </w:r>
      <w:r>
        <w:rPr>
          <w:rFonts w:hint="eastAsia" w:ascii="仿宋" w:hAnsi="仿宋" w:eastAsia="仿宋" w:cs="仿宋"/>
          <w:spacing w:val="-4"/>
          <w:sz w:val="32"/>
          <w:szCs w:val="32"/>
          <w:highlight w:val="none"/>
          <w:lang w:eastAsia="zh-CN"/>
        </w:rPr>
        <w:t>和</w:t>
      </w:r>
      <w:r>
        <w:rPr>
          <w:rFonts w:hint="eastAsia" w:ascii="仿宋" w:hAnsi="仿宋" w:eastAsia="仿宋" w:cs="仿宋"/>
          <w:spacing w:val="-4"/>
          <w:sz w:val="32"/>
          <w:szCs w:val="32"/>
          <w:highlight w:val="none"/>
        </w:rPr>
        <w:t>验收。</w:t>
      </w:r>
    </w:p>
    <w:p w14:paraId="68A22A4A">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1、严格执行现行国家、地方颁布的现行的林业施工验收规范等相关标准及规范要求。</w:t>
      </w:r>
    </w:p>
    <w:p w14:paraId="0208C440">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2、</w:t>
      </w:r>
      <w:r>
        <w:rPr>
          <w:rFonts w:hint="eastAsia" w:ascii="仿宋" w:hAnsi="仿宋" w:eastAsia="仿宋" w:cs="仿宋"/>
          <w:spacing w:val="-4"/>
          <w:sz w:val="32"/>
          <w:szCs w:val="32"/>
          <w:highlight w:val="none"/>
          <w:lang w:eastAsia="zh-CN"/>
        </w:rPr>
        <w:t>成交供应商收到</w:t>
      </w:r>
      <w:r>
        <w:rPr>
          <w:rFonts w:hint="eastAsia" w:ascii="仿宋" w:hAnsi="仿宋" w:eastAsia="仿宋" w:cs="仿宋"/>
          <w:spacing w:val="-4"/>
          <w:sz w:val="32"/>
          <w:szCs w:val="32"/>
          <w:highlight w:val="none"/>
          <w:lang w:val="en-US" w:eastAsia="zh-CN"/>
        </w:rPr>
        <w:t>成交</w:t>
      </w:r>
      <w:r>
        <w:rPr>
          <w:rFonts w:hint="eastAsia" w:ascii="仿宋" w:hAnsi="仿宋" w:eastAsia="仿宋" w:cs="仿宋"/>
          <w:spacing w:val="-4"/>
          <w:sz w:val="32"/>
          <w:szCs w:val="32"/>
          <w:highlight w:val="none"/>
          <w:lang w:eastAsia="zh-CN"/>
        </w:rPr>
        <w:t>通知书后5个工作日内提交项目实施方案、管理方案等，以及</w:t>
      </w:r>
      <w:r>
        <w:rPr>
          <w:rFonts w:hint="eastAsia" w:ascii="仿宋" w:hAnsi="仿宋" w:eastAsia="仿宋" w:cs="仿宋"/>
          <w:spacing w:val="-4"/>
          <w:sz w:val="32"/>
          <w:szCs w:val="32"/>
          <w:highlight w:val="none"/>
          <w:lang w:val="en-US" w:eastAsia="zh-CN"/>
        </w:rPr>
        <w:t>按要求签订</w:t>
      </w:r>
      <w:r>
        <w:rPr>
          <w:rFonts w:hint="eastAsia" w:ascii="仿宋" w:hAnsi="仿宋" w:eastAsia="仿宋" w:cs="仿宋"/>
          <w:spacing w:val="-4"/>
          <w:sz w:val="32"/>
          <w:szCs w:val="32"/>
          <w:highlight w:val="none"/>
          <w:lang w:eastAsia="zh-CN"/>
        </w:rPr>
        <w:t>合同。签订合同之后</w:t>
      </w:r>
      <w:r>
        <w:rPr>
          <w:rFonts w:hint="eastAsia" w:ascii="仿宋" w:hAnsi="仿宋" w:eastAsia="仿宋" w:cs="仿宋"/>
          <w:spacing w:val="-4"/>
          <w:sz w:val="32"/>
          <w:szCs w:val="32"/>
          <w:highlight w:val="none"/>
          <w:lang w:val="en-US" w:eastAsia="zh-CN"/>
        </w:rPr>
        <w:t>3</w:t>
      </w:r>
      <w:r>
        <w:rPr>
          <w:rFonts w:hint="eastAsia" w:ascii="仿宋" w:hAnsi="仿宋" w:eastAsia="仿宋" w:cs="仿宋"/>
          <w:spacing w:val="-4"/>
          <w:sz w:val="32"/>
          <w:szCs w:val="32"/>
          <w:highlight w:val="none"/>
          <w:lang w:eastAsia="zh-CN"/>
        </w:rPr>
        <w:t>个日历天内，成交供应商进场开工，并接受采购人考核，依照相关行业管理规定。</w:t>
      </w:r>
    </w:p>
    <w:p w14:paraId="6E768BCF">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3、</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在进场后 2 天内，必须对</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提供正式图纸进行详细审查，提交书面的审图意见。审图意见经设计单位书面回复后，作为图纸的修改意见或补充要求。若对</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提供的设计图纸、施工要求等存在异议，必须与</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 xml:space="preserve">进行沟通并获书面认可后，方可修改要求进行实施。否则，无论是否影响工程质量，均视为质量问题。 </w:t>
      </w:r>
    </w:p>
    <w:p w14:paraId="0A306D67">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4、具备进场条件后，</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lang w:val="en-US" w:eastAsia="zh-CN"/>
        </w:rPr>
        <w:t>向提出申请</w:t>
      </w:r>
      <w:r>
        <w:rPr>
          <w:rFonts w:hint="eastAsia" w:ascii="仿宋" w:hAnsi="仿宋" w:eastAsia="仿宋" w:cs="仿宋"/>
          <w:spacing w:val="-4"/>
          <w:sz w:val="32"/>
          <w:szCs w:val="32"/>
          <w:highlight w:val="none"/>
        </w:rPr>
        <w:t>，确定无误后双方签订书面移交手续。移交后，移交范围中包含的各项内容管理责任由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负责。 </w:t>
      </w:r>
    </w:p>
    <w:p w14:paraId="6B8E8753">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5、</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须负责保护作业区内外一切设施（电器、线路、各类管道、绿化、道路等），施工过程中如有损坏，</w:t>
      </w:r>
      <w:r>
        <w:rPr>
          <w:rFonts w:hint="eastAsia" w:ascii="仿宋" w:hAnsi="仿宋" w:eastAsia="仿宋" w:cs="仿宋"/>
          <w:spacing w:val="-4"/>
          <w:sz w:val="32"/>
          <w:szCs w:val="32"/>
          <w:highlight w:val="none"/>
          <w:lang w:val="en-US" w:eastAsia="zh-CN"/>
        </w:rPr>
        <w:t>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负责恢复维护。 </w:t>
      </w:r>
    </w:p>
    <w:p w14:paraId="55B32B05">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6、</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必须充分考虑到工程施工的特殊情况和不可预见因素对工期的影响。 </w:t>
      </w:r>
    </w:p>
    <w:p w14:paraId="191E9775">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7、</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不提供施工所需的食宿、办公、临设及材料加工场地，均由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自行解决，其费用由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自理。</w:t>
      </w:r>
    </w:p>
    <w:p w14:paraId="44A1532E">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8</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应确保施工现场的清洁卫生，作业垃圾需当日清理干净，不得留在现场过夜。 </w:t>
      </w:r>
    </w:p>
    <w:p w14:paraId="3A42EA38">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9</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一旦进场施工，需严格遵守</w:t>
      </w:r>
      <w:r>
        <w:rPr>
          <w:rFonts w:hint="eastAsia" w:ascii="仿宋" w:hAnsi="仿宋" w:eastAsia="仿宋" w:cs="仿宋"/>
          <w:spacing w:val="-4"/>
          <w:sz w:val="32"/>
          <w:szCs w:val="32"/>
          <w:highlight w:val="none"/>
          <w:lang w:val="en-US" w:eastAsia="zh-CN"/>
        </w:rPr>
        <w:t>采购人</w:t>
      </w:r>
      <w:r>
        <w:rPr>
          <w:rFonts w:hint="eastAsia" w:ascii="仿宋" w:hAnsi="仿宋" w:eastAsia="仿宋" w:cs="仿宋"/>
          <w:spacing w:val="-4"/>
          <w:sz w:val="32"/>
          <w:szCs w:val="32"/>
          <w:highlight w:val="none"/>
        </w:rPr>
        <w:t>的各项规章制度，包括但不限于：①带证上岗；②在规定的地域施工和活动；③项目负责人和管理人员需坚守岗位，因事需离开施工现场超过一天的，需提前向</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请假，经</w:t>
      </w:r>
      <w:r>
        <w:rPr>
          <w:rFonts w:hint="eastAsia" w:ascii="仿宋" w:hAnsi="仿宋" w:eastAsia="仿宋" w:cs="仿宋"/>
          <w:spacing w:val="-4"/>
          <w:sz w:val="32"/>
          <w:szCs w:val="32"/>
          <w:highlight w:val="none"/>
          <w:lang w:val="en-US" w:eastAsia="zh-CN"/>
        </w:rPr>
        <w:t>采购人</w:t>
      </w:r>
      <w:r>
        <w:rPr>
          <w:rFonts w:hint="eastAsia" w:ascii="仿宋" w:hAnsi="仿宋" w:eastAsia="仿宋" w:cs="仿宋"/>
          <w:spacing w:val="-4"/>
          <w:sz w:val="32"/>
          <w:szCs w:val="32"/>
          <w:highlight w:val="none"/>
        </w:rPr>
        <w:t xml:space="preserve">同意方可离开。 </w:t>
      </w:r>
    </w:p>
    <w:p w14:paraId="5198E23A">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w:t>
      </w:r>
      <w:r>
        <w:rPr>
          <w:rFonts w:hint="eastAsia" w:ascii="仿宋" w:hAnsi="仿宋" w:eastAsia="仿宋" w:cs="仿宋"/>
          <w:spacing w:val="-4"/>
          <w:sz w:val="32"/>
          <w:szCs w:val="32"/>
          <w:highlight w:val="none"/>
          <w:lang w:val="en-US" w:eastAsia="zh-CN"/>
        </w:rPr>
        <w:t>0</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在施工过程中须服从</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管理，如遇重大节日或</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组织重大活动时，须配合</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停止施工，停工期间本项目施工工期顺延，</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不向</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支付任何费用。</w:t>
      </w:r>
    </w:p>
    <w:p w14:paraId="3EFFD815">
      <w:pPr>
        <w:snapToGrid w:val="0"/>
        <w:spacing w:line="579" w:lineRule="exact"/>
        <w:ind w:firstLine="624" w:firstLineChars="200"/>
        <w:rPr>
          <w:rFonts w:hint="eastAsia" w:ascii="仿宋" w:hAnsi="仿宋" w:eastAsia="仿宋" w:cs="仿宋"/>
          <w:color w:val="0000FF"/>
          <w:spacing w:val="-4"/>
          <w:sz w:val="32"/>
          <w:szCs w:val="32"/>
        </w:rPr>
      </w:pPr>
    </w:p>
    <w:p w14:paraId="5BEEEAFE">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lang w:eastAsia="zh-TW"/>
        </w:rPr>
        <w:t>八</w:t>
      </w:r>
      <w:r>
        <w:rPr>
          <w:rFonts w:hint="eastAsia" w:ascii="黑体" w:hAnsi="黑体" w:eastAsia="黑体" w:cs="黑体"/>
          <w:bCs/>
          <w:sz w:val="32"/>
          <w:szCs w:val="32"/>
        </w:rPr>
        <w:t>、档案管理</w:t>
      </w:r>
    </w:p>
    <w:p w14:paraId="57ADF033">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为了完善项目的后续管理，成交供应商应将项目建设过程中的各类文件归档，建立项目管理的文件档案。包括：</w:t>
      </w:r>
    </w:p>
    <w:p w14:paraId="28F576F8">
      <w:pPr>
        <w:snapToGrid w:val="0"/>
        <w:spacing w:line="579" w:lineRule="exact"/>
        <w:ind w:firstLine="624"/>
        <w:outlineLvl w:val="0"/>
        <w:rPr>
          <w:rFonts w:hint="eastAsia" w:ascii="仿宋" w:hAnsi="仿宋" w:eastAsia="仿宋" w:cs="仿宋"/>
          <w:spacing w:val="-4"/>
          <w:sz w:val="32"/>
          <w:szCs w:val="32"/>
        </w:rPr>
      </w:pPr>
      <w:r>
        <w:rPr>
          <w:rFonts w:hint="eastAsia" w:ascii="仿宋" w:hAnsi="仿宋" w:eastAsia="仿宋" w:cs="仿宋"/>
          <w:spacing w:val="-4"/>
          <w:sz w:val="32"/>
          <w:szCs w:val="32"/>
        </w:rPr>
        <w:t>（1）造林与生态修复工程项目建设文件、作业设计书、作业设计图、作业设计表、建设过程中各阶段的检查验收资料、施工过程照片等。</w:t>
      </w:r>
    </w:p>
    <w:p w14:paraId="6B9BF3F0">
      <w:pPr>
        <w:snapToGrid w:val="0"/>
        <w:spacing w:line="579" w:lineRule="exact"/>
        <w:ind w:firstLine="624"/>
        <w:outlineLvl w:val="0"/>
        <w:rPr>
          <w:rFonts w:hint="eastAsia" w:ascii="仿宋" w:hAnsi="仿宋" w:eastAsia="仿宋" w:cs="仿宋"/>
          <w:spacing w:val="-4"/>
          <w:sz w:val="32"/>
          <w:szCs w:val="32"/>
        </w:rPr>
      </w:pPr>
      <w:r>
        <w:rPr>
          <w:rFonts w:hint="eastAsia" w:ascii="仿宋" w:hAnsi="仿宋" w:eastAsia="仿宋" w:cs="仿宋"/>
          <w:spacing w:val="-4"/>
          <w:sz w:val="32"/>
          <w:szCs w:val="32"/>
        </w:rPr>
        <w:t>（2）建设资金投入、支出等财务档案。</w:t>
      </w:r>
    </w:p>
    <w:p w14:paraId="696404F1">
      <w:pPr>
        <w:snapToGrid w:val="0"/>
        <w:spacing w:line="579" w:lineRule="exact"/>
        <w:ind w:firstLine="624"/>
        <w:outlineLvl w:val="0"/>
        <w:rPr>
          <w:rFonts w:hint="eastAsia" w:ascii="仿宋" w:hAnsi="仿宋" w:eastAsia="仿宋" w:cs="仿宋"/>
          <w:spacing w:val="-4"/>
          <w:sz w:val="32"/>
          <w:szCs w:val="32"/>
        </w:rPr>
      </w:pPr>
      <w:r>
        <w:rPr>
          <w:rFonts w:hint="eastAsia" w:ascii="仿宋" w:hAnsi="仿宋" w:eastAsia="仿宋" w:cs="仿宋"/>
          <w:spacing w:val="-4"/>
          <w:sz w:val="32"/>
          <w:szCs w:val="32"/>
        </w:rPr>
        <w:t>（3）建设管理附件，如施工合同、各道工序施工图片、验收报告等。</w:t>
      </w:r>
    </w:p>
    <w:p w14:paraId="476DBBDB">
      <w:pPr>
        <w:snapToGrid w:val="0"/>
        <w:spacing w:line="579" w:lineRule="exact"/>
        <w:ind w:firstLine="624"/>
        <w:outlineLvl w:val="0"/>
        <w:rPr>
          <w:rFonts w:hint="eastAsia" w:ascii="仿宋" w:hAnsi="仿宋" w:eastAsia="仿宋" w:cs="仿宋"/>
          <w:spacing w:val="-4"/>
          <w:sz w:val="32"/>
          <w:szCs w:val="32"/>
        </w:rPr>
      </w:pPr>
      <w:r>
        <w:rPr>
          <w:rFonts w:hint="eastAsia" w:ascii="仿宋" w:hAnsi="仿宋" w:eastAsia="仿宋" w:cs="仿宋"/>
          <w:spacing w:val="-4"/>
          <w:sz w:val="32"/>
          <w:szCs w:val="32"/>
        </w:rPr>
        <w:t>（4）工程建设前林地状况报告、工程实施后抚育管理、幼苗生长情况报告。</w:t>
      </w:r>
    </w:p>
    <w:p w14:paraId="55229AB5">
      <w:pPr>
        <w:pStyle w:val="24"/>
        <w:spacing w:line="579" w:lineRule="exact"/>
        <w:ind w:firstLine="640"/>
        <w:outlineLvl w:val="0"/>
        <w:rPr>
          <w:rFonts w:hint="eastAsia" w:ascii="黑体" w:hAnsi="黑体" w:eastAsia="黑体" w:cs="黑体"/>
          <w:b w:val="0"/>
          <w:bCs/>
          <w:sz w:val="32"/>
          <w:szCs w:val="32"/>
        </w:rPr>
      </w:pPr>
      <w:r>
        <w:rPr>
          <w:rFonts w:hint="eastAsia" w:ascii="黑体" w:hAnsi="黑体" w:eastAsia="黑体" w:cs="黑体"/>
          <w:bCs/>
          <w:sz w:val="32"/>
          <w:szCs w:val="32"/>
          <w:lang w:eastAsia="zh-TW"/>
        </w:rPr>
        <w:t>九</w:t>
      </w:r>
      <w:r>
        <w:rPr>
          <w:rFonts w:hint="eastAsia" w:ascii="黑体" w:hAnsi="黑体" w:eastAsia="黑体" w:cs="黑体"/>
          <w:bCs/>
          <w:sz w:val="32"/>
          <w:szCs w:val="32"/>
        </w:rPr>
        <w:t>、</w:t>
      </w:r>
      <w:r>
        <w:rPr>
          <w:rFonts w:hint="eastAsia" w:ascii="黑体" w:hAnsi="黑体" w:eastAsia="黑体" w:cs="黑体"/>
          <w:b w:val="0"/>
          <w:bCs/>
          <w:sz w:val="32"/>
          <w:szCs w:val="32"/>
          <w:highlight w:val="none"/>
        </w:rPr>
        <w:t>质量、安全、环境保护管理</w:t>
      </w:r>
    </w:p>
    <w:p w14:paraId="6D18752F">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要包造林、包成活达标、包抚育、包质量指标，并制定工程质量奖惩制度。</w:t>
      </w:r>
    </w:p>
    <w:p w14:paraId="081B60FD">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2</w:t>
      </w:r>
      <w:r>
        <w:rPr>
          <w:rFonts w:hint="eastAsia" w:ascii="仿宋" w:hAnsi="仿宋" w:eastAsia="仿宋" w:cs="仿宋"/>
          <w:spacing w:val="-4"/>
          <w:sz w:val="32"/>
          <w:szCs w:val="32"/>
          <w:highlight w:val="none"/>
        </w:rPr>
        <w:t>、项目施工过程中，要登记好因使用机械运输苗木、肥料使用的燃油数量和种类，以及施肥总量。</w:t>
      </w:r>
    </w:p>
    <w:p w14:paraId="3759523A">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3</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必须遵守国家安全生产法律法规和有关规程规范。 </w:t>
      </w:r>
    </w:p>
    <w:p w14:paraId="7EAAD345">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4</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应对项目实施过程中落实质量、森</w:t>
      </w:r>
      <w:r>
        <w:rPr>
          <w:rFonts w:hint="eastAsia" w:ascii="仿宋" w:hAnsi="仿宋" w:eastAsia="仿宋" w:cs="仿宋"/>
          <w:spacing w:val="-4"/>
          <w:sz w:val="32"/>
          <w:szCs w:val="32"/>
          <w:highlight w:val="none"/>
          <w:lang w:val="en-US" w:eastAsia="zh-CN"/>
        </w:rPr>
        <w:t>林</w:t>
      </w:r>
      <w:bookmarkStart w:id="0" w:name="_GoBack"/>
      <w:bookmarkEnd w:id="0"/>
      <w:r>
        <w:rPr>
          <w:rFonts w:hint="eastAsia" w:ascii="仿宋" w:hAnsi="仿宋" w:eastAsia="仿宋" w:cs="仿宋"/>
          <w:spacing w:val="-4"/>
          <w:sz w:val="32"/>
          <w:szCs w:val="32"/>
          <w:highlight w:val="none"/>
        </w:rPr>
        <w:t>防火、安全措施，预防事故发生。因</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违规发生的质量事件、事故，人身伤害、设备损坏等安全事件、事故，</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负全责。 </w:t>
      </w:r>
    </w:p>
    <w:p w14:paraId="47071DFE">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5</w:t>
      </w:r>
      <w:r>
        <w:rPr>
          <w:rFonts w:hint="eastAsia" w:ascii="仿宋" w:hAnsi="仿宋" w:eastAsia="仿宋" w:cs="仿宋"/>
          <w:spacing w:val="-4"/>
          <w:sz w:val="32"/>
          <w:szCs w:val="32"/>
          <w:highlight w:val="none"/>
        </w:rPr>
        <w:t>、未经</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同意，</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不得擅自使用与施工无关的设施设备；不得擅自拆除、变更</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 xml:space="preserve">防护设施及标识。 </w:t>
      </w:r>
    </w:p>
    <w:p w14:paraId="3940DF65">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6</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施工过程中需使用电、水源、通用资源，应事先与</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 xml:space="preserve">取得联系，不得私拉乱接。中断作业或遇故障应立即切断有关开关。 </w:t>
      </w:r>
    </w:p>
    <w:p w14:paraId="2F9BDD24">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7</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施工过程中应做到工完、料尽、场地清，确保安全文明施工。 </w:t>
      </w:r>
    </w:p>
    <w:p w14:paraId="7525FB13">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8</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须接受</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的监督、检查，对</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 xml:space="preserve">提出的质量、安全整改意见必须及时整改。 </w:t>
      </w:r>
    </w:p>
    <w:p w14:paraId="3B61AFA3">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9</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任何时间内应保持现场运输道路通畅，以便应急采取必要措施。 </w:t>
      </w:r>
    </w:p>
    <w:p w14:paraId="2C000954">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w:t>
      </w:r>
      <w:r>
        <w:rPr>
          <w:rFonts w:hint="eastAsia" w:ascii="仿宋" w:hAnsi="仿宋" w:eastAsia="仿宋" w:cs="仿宋"/>
          <w:spacing w:val="-4"/>
          <w:sz w:val="32"/>
          <w:szCs w:val="32"/>
          <w:highlight w:val="none"/>
          <w:lang w:val="en-US" w:eastAsia="zh-CN"/>
        </w:rPr>
        <w:t>0</w:t>
      </w:r>
      <w:r>
        <w:rPr>
          <w:rFonts w:hint="eastAsia" w:ascii="仿宋" w:hAnsi="仿宋" w:eastAsia="仿宋" w:cs="仿宋"/>
          <w:spacing w:val="-4"/>
          <w:sz w:val="32"/>
          <w:szCs w:val="32"/>
          <w:highlight w:val="none"/>
        </w:rPr>
        <w:t>、</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 xml:space="preserve">需现场设置安全、消防、宣传、警示等各种标牌。 </w:t>
      </w:r>
    </w:p>
    <w:p w14:paraId="18129E47">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w:t>
      </w:r>
      <w:r>
        <w:rPr>
          <w:rFonts w:hint="eastAsia" w:ascii="仿宋" w:hAnsi="仿宋" w:eastAsia="仿宋" w:cs="仿宋"/>
          <w:spacing w:val="-4"/>
          <w:sz w:val="32"/>
          <w:szCs w:val="32"/>
          <w:highlight w:val="none"/>
          <w:lang w:val="en-US" w:eastAsia="zh-CN"/>
        </w:rPr>
        <w:t>1</w:t>
      </w:r>
      <w:r>
        <w:rPr>
          <w:rFonts w:hint="eastAsia" w:ascii="仿宋" w:hAnsi="仿宋" w:eastAsia="仿宋" w:cs="仿宋"/>
          <w:spacing w:val="-4"/>
          <w:sz w:val="32"/>
          <w:szCs w:val="32"/>
          <w:highlight w:val="none"/>
        </w:rPr>
        <w:t>、本项目消防措施由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制定方案及组织实施，严格按照消防法的规定进行操作，需用的水电由</w:t>
      </w:r>
      <w:r>
        <w:rPr>
          <w:rFonts w:hint="eastAsia" w:ascii="仿宋" w:hAnsi="仿宋" w:eastAsia="仿宋" w:cs="仿宋"/>
          <w:spacing w:val="-4"/>
          <w:sz w:val="32"/>
          <w:szCs w:val="32"/>
          <w:highlight w:val="none"/>
          <w:lang w:eastAsia="zh-CN"/>
        </w:rPr>
        <w:t>采购人</w:t>
      </w:r>
      <w:r>
        <w:rPr>
          <w:rFonts w:hint="eastAsia" w:ascii="仿宋" w:hAnsi="仿宋" w:eastAsia="仿宋" w:cs="仿宋"/>
          <w:spacing w:val="-4"/>
          <w:sz w:val="32"/>
          <w:szCs w:val="32"/>
          <w:highlight w:val="none"/>
        </w:rPr>
        <w:t>协助提供，需用电源必须由有资质的电工按规范拉接，不允许</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的施工人员乱拉乱接。凡在施工期间因</w:t>
      </w:r>
      <w:r>
        <w:rPr>
          <w:rFonts w:hint="eastAsia" w:ascii="仿宋" w:hAnsi="仿宋" w:eastAsia="仿宋" w:cs="仿宋"/>
          <w:spacing w:val="-4"/>
          <w:sz w:val="32"/>
          <w:szCs w:val="32"/>
          <w:highlight w:val="none"/>
          <w:lang w:val="en-US" w:eastAsia="zh-CN"/>
        </w:rPr>
        <w:t>成交</w:t>
      </w:r>
      <w:r>
        <w:rPr>
          <w:rFonts w:hint="eastAsia" w:ascii="仿宋" w:hAnsi="仿宋" w:eastAsia="仿宋" w:cs="仿宋"/>
          <w:spacing w:val="-4"/>
          <w:sz w:val="32"/>
          <w:szCs w:val="32"/>
          <w:highlight w:val="none"/>
        </w:rPr>
        <w:t>供应商过失引起的 火灾事故应由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负责，所造成的经济损失由</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负责全额赔偿。</w:t>
      </w:r>
    </w:p>
    <w:p w14:paraId="5A7D6313">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lang w:val="en-US" w:eastAsia="zh-CN"/>
        </w:rPr>
      </w:pPr>
      <w:r>
        <w:rPr>
          <w:rFonts w:hint="eastAsia" w:ascii="仿宋" w:hAnsi="仿宋" w:eastAsia="仿宋" w:cs="仿宋"/>
          <w:spacing w:val="-4"/>
          <w:sz w:val="32"/>
          <w:szCs w:val="32"/>
          <w:highlight w:val="none"/>
          <w:lang w:val="en-US" w:eastAsia="zh-CN"/>
        </w:rPr>
        <w:t>12、</w:t>
      </w:r>
      <w:r>
        <w:rPr>
          <w:rFonts w:hint="eastAsia" w:ascii="仿宋" w:hAnsi="仿宋" w:eastAsia="仿宋" w:cs="仿宋"/>
          <w:spacing w:val="-4"/>
          <w:sz w:val="32"/>
          <w:szCs w:val="32"/>
          <w:highlight w:val="none"/>
        </w:rPr>
        <w:t>本项目建设过程中</w:t>
      </w:r>
      <w:r>
        <w:rPr>
          <w:rFonts w:hint="eastAsia" w:ascii="仿宋" w:hAnsi="仿宋" w:eastAsia="仿宋" w:cs="仿宋"/>
          <w:spacing w:val="-4"/>
          <w:sz w:val="32"/>
          <w:szCs w:val="32"/>
          <w:highlight w:val="none"/>
          <w:lang w:eastAsia="zh-CN"/>
        </w:rPr>
        <w:t>，要做到文明施工，污水、漂浮物、垃圾、机油等污染物需被收集后运出白曹湾再处理，提前设置防污帘、垃圾收集点等设施，防止悬浮物输出到项目区外，避免对项目区外的海洋影响。</w:t>
      </w:r>
    </w:p>
    <w:p w14:paraId="26F66387">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1</w:t>
      </w:r>
      <w:r>
        <w:rPr>
          <w:rFonts w:hint="eastAsia" w:ascii="仿宋" w:hAnsi="仿宋" w:eastAsia="仿宋" w:cs="仿宋"/>
          <w:spacing w:val="-4"/>
          <w:sz w:val="32"/>
          <w:szCs w:val="32"/>
          <w:highlight w:val="none"/>
          <w:lang w:val="en-US" w:eastAsia="zh-CN"/>
        </w:rPr>
        <w:t>3</w:t>
      </w:r>
      <w:r>
        <w:rPr>
          <w:rFonts w:hint="eastAsia" w:ascii="仿宋" w:hAnsi="仿宋" w:eastAsia="仿宋" w:cs="仿宋"/>
          <w:spacing w:val="-4"/>
          <w:sz w:val="32"/>
          <w:szCs w:val="32"/>
          <w:highlight w:val="none"/>
        </w:rPr>
        <w:t>、本项目建设过程中，要进行林地清理和挖穴，将会一定程度地减少地表植被，增加保持水土、防止水土流失的压力。其次，肥料施放后，部分残余物可能与雨水一起被排放而影响环境。为减少项目建设对环境的负面影响，确保施工时不过度地破坏地带性植物资源，林地清理和挖穴时，做好周围林地及林木的保护，并做好施工安排，坚决禁止全垦和炼山。</w:t>
      </w:r>
    </w:p>
    <w:p w14:paraId="7D9573AB">
      <w:pPr>
        <w:pStyle w:val="24"/>
        <w:pageBreakBefore w:val="0"/>
        <w:kinsoku/>
        <w:wordWrap/>
        <w:overflowPunct/>
        <w:topLinePunct w:val="0"/>
        <w:autoSpaceDE/>
        <w:autoSpaceDN/>
        <w:bidi w:val="0"/>
        <w:adjustRightInd/>
        <w:snapToGrid/>
        <w:spacing w:before="0" w:line="579" w:lineRule="exact"/>
        <w:ind w:firstLine="640" w:firstLineChars="0"/>
        <w:textAlignment w:val="auto"/>
        <w:outlineLvl w:val="0"/>
        <w:rPr>
          <w:rFonts w:hint="eastAsia" w:ascii="黑体" w:hAnsi="黑体" w:eastAsia="黑体" w:cs="黑体"/>
          <w:b w:val="0"/>
          <w:bCs/>
          <w:sz w:val="32"/>
          <w:szCs w:val="32"/>
          <w:highlight w:val="none"/>
        </w:rPr>
      </w:pPr>
      <w:r>
        <w:rPr>
          <w:rFonts w:hint="eastAsia" w:ascii="黑体" w:hAnsi="黑体" w:eastAsia="黑体" w:cs="黑体"/>
          <w:b w:val="0"/>
          <w:bCs/>
          <w:sz w:val="32"/>
          <w:szCs w:val="32"/>
          <w:lang w:eastAsia="zh-TW"/>
        </w:rPr>
        <w:t>十、</w:t>
      </w:r>
      <w:r>
        <w:rPr>
          <w:rFonts w:hint="eastAsia" w:ascii="黑体" w:hAnsi="黑体" w:eastAsia="黑体" w:cs="黑体"/>
          <w:b w:val="0"/>
          <w:bCs/>
          <w:sz w:val="32"/>
          <w:szCs w:val="32"/>
          <w:highlight w:val="none"/>
        </w:rPr>
        <w:t>防疫要求</w:t>
      </w:r>
    </w:p>
    <w:p w14:paraId="0E66A490">
      <w:pPr>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根据《广东省人民政府办公厅关于印发广东省防控红火蚁若干措施的通知(粤办函[2021]6号)》《广东省林业局办公室关于填报2022年松材线虫病疫点林分改造计划的通知》《珠海市“林安 2021”林业植物检疫执法行动方案》等文件有关要求，加强森林病虫害防治，落实防控措施。</w:t>
      </w:r>
    </w:p>
    <w:p w14:paraId="5115B178">
      <w:pPr>
        <w:pStyle w:val="24"/>
        <w:keepNext w:val="0"/>
        <w:keepLines w:val="0"/>
        <w:pageBreakBefore w:val="0"/>
        <w:kinsoku/>
        <w:wordWrap/>
        <w:overflowPunct/>
        <w:topLinePunct w:val="0"/>
        <w:autoSpaceDE/>
        <w:autoSpaceDN/>
        <w:bidi w:val="0"/>
        <w:adjustRightInd/>
        <w:spacing w:before="0" w:after="0" w:line="579" w:lineRule="exact"/>
        <w:ind w:firstLine="640" w:firstLineChars="0"/>
        <w:textAlignment w:val="auto"/>
        <w:outlineLvl w:val="0"/>
        <w:rPr>
          <w:rFonts w:hint="eastAsia" w:ascii="黑体" w:hAnsi="黑体" w:eastAsia="黑体" w:cs="黑体"/>
          <w:b w:val="0"/>
          <w:bCs/>
          <w:spacing w:val="0"/>
          <w:kern w:val="2"/>
          <w:sz w:val="32"/>
          <w:szCs w:val="32"/>
          <w:highlight w:val="none"/>
        </w:rPr>
      </w:pPr>
      <w:r>
        <w:rPr>
          <w:rFonts w:hint="eastAsia" w:ascii="黑体" w:hAnsi="黑体" w:eastAsia="黑体" w:cs="黑体"/>
          <w:b w:val="0"/>
          <w:bCs/>
          <w:spacing w:val="0"/>
          <w:kern w:val="2"/>
          <w:sz w:val="32"/>
          <w:szCs w:val="32"/>
          <w:highlight w:val="none"/>
        </w:rPr>
        <w:t>十</w:t>
      </w:r>
      <w:r>
        <w:rPr>
          <w:rFonts w:hint="eastAsia" w:ascii="黑体" w:hAnsi="黑体" w:eastAsia="黑体" w:cs="黑体"/>
          <w:b w:val="0"/>
          <w:bCs/>
          <w:spacing w:val="0"/>
          <w:kern w:val="2"/>
          <w:sz w:val="32"/>
          <w:szCs w:val="32"/>
          <w:lang w:val="en-US" w:eastAsia="zh-TW"/>
        </w:rPr>
        <w:t>一</w:t>
      </w:r>
      <w:r>
        <w:rPr>
          <w:rFonts w:hint="eastAsia" w:ascii="黑体" w:hAnsi="黑体" w:eastAsia="黑体" w:cs="黑体"/>
          <w:b w:val="0"/>
          <w:bCs/>
          <w:spacing w:val="0"/>
          <w:kern w:val="2"/>
          <w:sz w:val="32"/>
          <w:szCs w:val="32"/>
          <w:highlight w:val="none"/>
        </w:rPr>
        <w:t>、后续服务</w:t>
      </w:r>
    </w:p>
    <w:p w14:paraId="1668AEE7">
      <w:pPr>
        <w:keepNext w:val="0"/>
        <w:keepLines w:val="0"/>
        <w:pageBreakBefore w:val="0"/>
        <w:kinsoku/>
        <w:wordWrap/>
        <w:overflowPunct/>
        <w:topLinePunct w:val="0"/>
        <w:autoSpaceDE/>
        <w:autoSpaceDN/>
        <w:bidi w:val="0"/>
        <w:adjustRightInd/>
        <w:snapToGrid w:val="0"/>
        <w:spacing w:line="579" w:lineRule="exact"/>
        <w:ind w:firstLine="624" w:firstLineChars="200"/>
        <w:textAlignment w:val="auto"/>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rPr>
        <w:t>项目完成后，</w:t>
      </w:r>
      <w:r>
        <w:rPr>
          <w:rFonts w:hint="eastAsia" w:ascii="仿宋" w:hAnsi="仿宋" w:eastAsia="仿宋" w:cs="仿宋"/>
          <w:spacing w:val="-4"/>
          <w:sz w:val="32"/>
          <w:szCs w:val="32"/>
          <w:highlight w:val="none"/>
          <w:lang w:eastAsia="zh-CN"/>
        </w:rPr>
        <w:t>成交供应商</w:t>
      </w:r>
      <w:r>
        <w:rPr>
          <w:rFonts w:hint="eastAsia" w:ascii="仿宋" w:hAnsi="仿宋" w:eastAsia="仿宋" w:cs="仿宋"/>
          <w:spacing w:val="-4"/>
          <w:sz w:val="32"/>
          <w:szCs w:val="32"/>
          <w:highlight w:val="none"/>
        </w:rPr>
        <w:t>应安排专业管护人员，加强日常巡查，落实防护措施，发现死株以及病虫害要及时处理并防治，合理安排抚育时间，确保林木成活率达到本项目要求。</w:t>
      </w:r>
    </w:p>
    <w:p w14:paraId="51D9BFDD">
      <w:pPr>
        <w:pStyle w:val="24"/>
        <w:spacing w:line="579" w:lineRule="exact"/>
        <w:ind w:firstLine="640"/>
        <w:outlineLvl w:val="0"/>
        <w:rPr>
          <w:rFonts w:hint="eastAsia" w:ascii="黑体" w:hAnsi="黑体" w:eastAsia="黑体" w:cs="黑体"/>
          <w:bCs/>
          <w:spacing w:val="0"/>
          <w:sz w:val="32"/>
          <w:szCs w:val="32"/>
        </w:rPr>
      </w:pPr>
    </w:p>
    <w:p w14:paraId="3ACEEBDE">
      <w:pPr>
        <w:pStyle w:val="24"/>
        <w:spacing w:line="579" w:lineRule="exact"/>
        <w:ind w:firstLine="640" w:firstLineChars="0"/>
        <w:outlineLvl w:val="0"/>
        <w:rPr>
          <w:rFonts w:hint="eastAsia" w:ascii="黑体" w:hAnsi="黑体" w:eastAsia="黑体" w:cs="黑体"/>
          <w:bCs/>
          <w:sz w:val="32"/>
          <w:szCs w:val="32"/>
        </w:rPr>
      </w:pPr>
      <w:r>
        <w:rPr>
          <w:rFonts w:hint="eastAsia" w:ascii="黑体" w:hAnsi="黑体" w:eastAsia="黑体" w:cs="黑体"/>
          <w:bCs/>
          <w:sz w:val="32"/>
          <w:szCs w:val="32"/>
          <w:lang w:eastAsia="zh-TW"/>
        </w:rPr>
        <w:t>十二</w:t>
      </w:r>
      <w:r>
        <w:rPr>
          <w:rFonts w:hint="eastAsia" w:ascii="黑体" w:hAnsi="黑体" w:eastAsia="黑体" w:cs="黑体"/>
          <w:bCs/>
          <w:sz w:val="32"/>
          <w:szCs w:val="32"/>
        </w:rPr>
        <w:t>、采购预算及响应报价要求</w:t>
      </w:r>
    </w:p>
    <w:p w14:paraId="359A0787">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本项目为项目总价包干，</w:t>
      </w:r>
      <w:r>
        <w:rPr>
          <w:rFonts w:hint="eastAsia" w:ascii="仿宋" w:hAnsi="仿宋" w:eastAsia="仿宋" w:cs="仿宋"/>
          <w:color w:val="auto"/>
          <w:spacing w:val="-4"/>
          <w:kern w:val="2"/>
          <w:sz w:val="32"/>
          <w:szCs w:val="32"/>
        </w:rPr>
        <w:t>供应商</w:t>
      </w:r>
      <w:r>
        <w:rPr>
          <w:rFonts w:hint="eastAsia" w:ascii="仿宋" w:hAnsi="仿宋" w:eastAsia="仿宋" w:cs="仿宋"/>
          <w:spacing w:val="-4"/>
          <w:sz w:val="32"/>
          <w:szCs w:val="32"/>
        </w:rPr>
        <w:t>的报价应包括（但不限于）：人工费、设备费、运输费、保险费、技术服务费（含联络费、培训费、调试费、保修费、专家费）、管理费、税费、不可预见费等完成本采购内容所需的一切费用，以及采购需求文件及合同约定应当由成交供应商承担的风险因素等费用。</w:t>
      </w:r>
      <w:r>
        <w:rPr>
          <w:rFonts w:hint="eastAsia" w:ascii="FangSong_GB2312" w:hAnsi="FangSong_GB2312" w:eastAsia="FangSong_GB2312"/>
          <w:color w:val="000000"/>
          <w:kern w:val="2"/>
          <w:sz w:val="32"/>
          <w:szCs w:val="32"/>
        </w:rPr>
        <w:t>供应商</w:t>
      </w:r>
      <w:r>
        <w:rPr>
          <w:rFonts w:hint="eastAsia" w:ascii="仿宋" w:hAnsi="仿宋" w:eastAsia="仿宋" w:cs="仿宋"/>
          <w:spacing w:val="-4"/>
          <w:sz w:val="32"/>
          <w:szCs w:val="32"/>
        </w:rPr>
        <w:t>应当根据采购需求文件等材料自行考虑风险因素进行响应报价。否则，一旦成交，采购人将不予支付除了采购需求文件及合同约定的由采购人承担的风险因素之外的任何补偿。</w:t>
      </w:r>
      <w:r>
        <w:rPr>
          <w:rFonts w:hint="eastAsia" w:ascii="FangSong_GB2312" w:hAnsi="FangSong_GB2312" w:eastAsia="FangSong_GB2312"/>
          <w:color w:val="000000"/>
          <w:kern w:val="2"/>
          <w:sz w:val="32"/>
          <w:szCs w:val="32"/>
        </w:rPr>
        <w:t>供应商</w:t>
      </w:r>
      <w:r>
        <w:rPr>
          <w:rFonts w:hint="eastAsia" w:ascii="仿宋" w:hAnsi="仿宋" w:eastAsia="仿宋" w:cs="仿宋"/>
          <w:spacing w:val="-4"/>
          <w:sz w:val="32"/>
          <w:szCs w:val="32"/>
        </w:rPr>
        <w:t>漏报或不报，采购人将视为该漏报或不报部分的费用已包括在响应报价中，合同金额不予调整。</w:t>
      </w:r>
    </w:p>
    <w:p w14:paraId="44F99886">
      <w:pPr>
        <w:spacing w:line="579" w:lineRule="exact"/>
        <w:ind w:firstLine="640" w:firstLineChars="200"/>
        <w:rPr>
          <w:rFonts w:ascii="黑体" w:hAnsi="黑体" w:eastAsia="黑体" w:cs="黑体"/>
          <w:bCs/>
          <w:sz w:val="32"/>
          <w:szCs w:val="32"/>
        </w:rPr>
      </w:pPr>
      <w:r>
        <w:rPr>
          <w:rFonts w:hint="eastAsia" w:ascii="黑体" w:hAnsi="黑体" w:eastAsia="黑体" w:cs="黑体"/>
          <w:bCs/>
          <w:sz w:val="32"/>
          <w:szCs w:val="32"/>
          <w:lang w:val="en-US" w:eastAsia="zh-CN"/>
        </w:rPr>
        <w:t>十三</w:t>
      </w:r>
      <w:r>
        <w:rPr>
          <w:rFonts w:hint="eastAsia" w:ascii="黑体" w:hAnsi="黑体" w:eastAsia="黑体" w:cs="黑体"/>
          <w:bCs/>
          <w:sz w:val="32"/>
          <w:szCs w:val="32"/>
        </w:rPr>
        <w:t>、付款方式</w:t>
      </w:r>
    </w:p>
    <w:p w14:paraId="354E42C0">
      <w:pPr>
        <w:snapToGrid w:val="0"/>
        <w:spacing w:line="579" w:lineRule="exact"/>
        <w:ind w:firstLine="624" w:firstLineChars="200"/>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TW"/>
        </w:rPr>
        <w:t>1</w:t>
      </w:r>
      <w:r>
        <w:rPr>
          <w:rFonts w:hint="eastAsia" w:ascii="仿宋" w:hAnsi="仿宋" w:eastAsia="仿宋" w:cs="仿宋"/>
          <w:spacing w:val="-4"/>
          <w:sz w:val="32"/>
          <w:szCs w:val="32"/>
          <w:highlight w:val="none"/>
        </w:rPr>
        <w:t>期:成交供应商与采购人签订合同10个工作日内，采购人向成交供应商支付合同总价款的</w:t>
      </w:r>
      <w:r>
        <w:rPr>
          <w:rFonts w:hint="eastAsia" w:ascii="仿宋" w:hAnsi="仿宋" w:eastAsia="仿宋" w:cs="仿宋"/>
          <w:spacing w:val="-4"/>
          <w:sz w:val="32"/>
          <w:szCs w:val="32"/>
          <w:highlight w:val="none"/>
          <w:lang w:val="en-US" w:eastAsia="zh-TW"/>
        </w:rPr>
        <w:t>50</w:t>
      </w:r>
      <w:r>
        <w:rPr>
          <w:rFonts w:hint="eastAsia" w:ascii="仿宋" w:hAnsi="仿宋" w:eastAsia="仿宋" w:cs="仿宋"/>
          <w:spacing w:val="-4"/>
          <w:sz w:val="32"/>
          <w:szCs w:val="32"/>
          <w:highlight w:val="none"/>
        </w:rPr>
        <w:t>%。</w:t>
      </w:r>
    </w:p>
    <w:p w14:paraId="7A0F8C4B">
      <w:pPr>
        <w:snapToGrid w:val="0"/>
        <w:spacing w:line="579" w:lineRule="exact"/>
        <w:ind w:firstLine="624" w:firstLineChars="200"/>
        <w:rPr>
          <w:rFonts w:ascii="仿宋" w:hAnsi="仿宋" w:eastAsia="仿宋"/>
          <w:sz w:val="24"/>
          <w:u w:val="single"/>
        </w:rPr>
      </w:pPr>
      <w:r>
        <w:rPr>
          <w:rFonts w:hint="eastAsia" w:ascii="仿宋" w:hAnsi="仿宋" w:eastAsia="仿宋" w:cs="仿宋"/>
          <w:spacing w:val="-4"/>
          <w:sz w:val="32"/>
          <w:szCs w:val="32"/>
          <w:highlight w:val="none"/>
        </w:rPr>
        <w:t>2期:成交供应商</w:t>
      </w:r>
      <w:r>
        <w:rPr>
          <w:rFonts w:hint="eastAsia" w:ascii="仿宋" w:hAnsi="仿宋" w:eastAsia="仿宋" w:cs="仿宋"/>
          <w:spacing w:val="-4"/>
          <w:sz w:val="32"/>
          <w:szCs w:val="32"/>
          <w:highlight w:val="none"/>
          <w:lang w:eastAsia="zh-TW"/>
        </w:rPr>
        <w:t>在</w:t>
      </w:r>
      <w:r>
        <w:rPr>
          <w:rFonts w:hint="eastAsia" w:ascii="仿宋" w:hAnsi="仿宋" w:eastAsia="仿宋" w:cs="仿宋"/>
          <w:b w:val="0"/>
          <w:bCs w:val="0"/>
          <w:spacing w:val="-4"/>
          <w:sz w:val="32"/>
          <w:szCs w:val="32"/>
          <w:highlight w:val="none"/>
        </w:rPr>
        <w:t>栽植</w:t>
      </w:r>
      <w:r>
        <w:rPr>
          <w:rFonts w:hint="eastAsia" w:ascii="仿宋" w:hAnsi="仿宋" w:eastAsia="仿宋" w:cs="仿宋"/>
          <w:spacing w:val="-4"/>
          <w:sz w:val="32"/>
          <w:szCs w:val="32"/>
          <w:highlight w:val="none"/>
        </w:rPr>
        <w:t>完毕</w:t>
      </w:r>
      <w:r>
        <w:rPr>
          <w:rFonts w:hint="eastAsia" w:ascii="仿宋" w:hAnsi="仿宋" w:eastAsia="仿宋" w:cs="仿宋"/>
          <w:spacing w:val="-4"/>
          <w:sz w:val="32"/>
          <w:szCs w:val="32"/>
          <w:highlight w:val="none"/>
          <w:lang w:eastAsia="zh-TW"/>
        </w:rPr>
        <w:t>并</w:t>
      </w:r>
      <w:r>
        <w:rPr>
          <w:rFonts w:hint="eastAsia" w:ascii="仿宋" w:hAnsi="仿宋" w:eastAsia="仿宋" w:cs="仿宋"/>
          <w:spacing w:val="-4"/>
          <w:sz w:val="32"/>
          <w:szCs w:val="32"/>
          <w:highlight w:val="none"/>
        </w:rPr>
        <w:t>验收合格后，成交供应商按照采购人要求申请付款</w:t>
      </w:r>
      <w:r>
        <w:rPr>
          <w:rFonts w:hint="eastAsia" w:ascii="仿宋" w:hAnsi="仿宋" w:eastAsia="仿宋" w:cs="仿宋"/>
          <w:spacing w:val="-4"/>
          <w:sz w:val="32"/>
          <w:szCs w:val="32"/>
          <w:highlight w:val="none"/>
          <w:lang w:eastAsia="zh-TW"/>
        </w:rPr>
        <w:t>，</w:t>
      </w:r>
      <w:r>
        <w:rPr>
          <w:rFonts w:hint="eastAsia" w:ascii="仿宋" w:hAnsi="仿宋" w:eastAsia="仿宋" w:cs="仿宋"/>
          <w:spacing w:val="-4"/>
          <w:sz w:val="32"/>
          <w:szCs w:val="32"/>
          <w:highlight w:val="none"/>
        </w:rPr>
        <w:t xml:space="preserve">采购人向成交供应商支付合同总价款的 </w:t>
      </w:r>
      <w:r>
        <w:rPr>
          <w:rFonts w:hint="eastAsia" w:ascii="仿宋" w:hAnsi="仿宋" w:eastAsia="仿宋" w:cs="仿宋"/>
          <w:spacing w:val="-4"/>
          <w:sz w:val="32"/>
          <w:szCs w:val="32"/>
          <w:highlight w:val="none"/>
          <w:lang w:val="en-US" w:eastAsia="zh-TW"/>
        </w:rPr>
        <w:t>5</w:t>
      </w:r>
      <w:r>
        <w:rPr>
          <w:rFonts w:hint="eastAsia" w:ascii="仿宋" w:hAnsi="仿宋" w:eastAsia="仿宋" w:cs="仿宋"/>
          <w:spacing w:val="-4"/>
          <w:sz w:val="32"/>
          <w:szCs w:val="32"/>
          <w:highlight w:val="none"/>
        </w:rPr>
        <w:t>0%。</w:t>
      </w: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KaiTi_GB2312">
    <w:altName w:val="华文宋体"/>
    <w:panose1 w:val="02010609060101010101"/>
    <w:charset w:val="86"/>
    <w:family w:val="modern"/>
    <w:pitch w:val="default"/>
    <w:sig w:usb0="00000000" w:usb1="00000000" w:usb2="00000000" w:usb3="00000000" w:csb0="00040000" w:csb1="00000000"/>
  </w:font>
  <w:font w:name="FangSong_GB2312">
    <w:altName w:val="方正仿宋_GBK"/>
    <w:panose1 w:val="02010609060101010101"/>
    <w:charset w:val="86"/>
    <w:family w:val="modern"/>
    <w:pitch w:val="default"/>
    <w:sig w:usb0="00000000" w:usb1="00000000" w:usb2="00000010" w:usb3="00000000" w:csb0="00040001" w:csb1="00000000"/>
  </w:font>
  <w:font w:name="Tahoma">
    <w:panose1 w:val="020B0604030504040204"/>
    <w:charset w:val="00"/>
    <w:family w:val="swiss"/>
    <w:pitch w:val="default"/>
    <w:sig w:usb0="E1002AFF" w:usb1="C000605B" w:usb2="00000029" w:usb3="00000000" w:csb0="200101FF" w:csb1="20280000"/>
  </w:font>
  <w:font w:name="方正小标宋简体">
    <w:altName w:val="汉仪书宋二KW"/>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宋体-繁"/>
    <w:panose1 w:val="02020500000000000000"/>
    <w:charset w:val="88"/>
    <w:family w:val="roman"/>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宋体-繁">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59EDF">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- 3 -</w:t>
    </w:r>
    <w:r>
      <w:rPr>
        <w:rFonts w:ascii="宋体" w:hAnsi="宋体"/>
        <w:sz w:val="24"/>
        <w:szCs w:val="24"/>
      </w:rPr>
      <w:fldChar w:fldCharType="end"/>
    </w:r>
  </w:p>
  <w:p w14:paraId="2A38C591">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8E1ED">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- 2 -</w:t>
    </w:r>
    <w:r>
      <w:rPr>
        <w:rFonts w:ascii="宋体" w:hAnsi="宋体"/>
        <w:sz w:val="24"/>
        <w:szCs w:val="24"/>
      </w:rPr>
      <w:fldChar w:fldCharType="end"/>
    </w:r>
  </w:p>
  <w:p w14:paraId="34432567">
    <w:pPr>
      <w:pStyle w:val="1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89CB9"/>
    <w:multiLevelType w:val="singleLevel"/>
    <w:tmpl w:val="8FD89CB9"/>
    <w:lvl w:ilvl="0" w:tentative="0">
      <w:start w:val="5"/>
      <w:numFmt w:val="chineseCounting"/>
      <w:suff w:val="nothing"/>
      <w:lvlText w:val="%1、"/>
      <w:lvlJc w:val="left"/>
      <w:rPr>
        <w:rFonts w:hint="eastAsia"/>
      </w:rPr>
    </w:lvl>
  </w:abstractNum>
  <w:abstractNum w:abstractNumId="1">
    <w:nsid w:val="B172BE1C"/>
    <w:multiLevelType w:val="singleLevel"/>
    <w:tmpl w:val="B172BE1C"/>
    <w:lvl w:ilvl="0" w:tentative="0">
      <w:start w:val="1"/>
      <w:numFmt w:val="decimal"/>
      <w:suff w:val="space"/>
      <w:lvlText w:val="%1."/>
      <w:lvlJc w:val="left"/>
    </w:lvl>
  </w:abstractNum>
  <w:abstractNum w:abstractNumId="2">
    <w:nsid w:val="67D9FF94"/>
    <w:multiLevelType w:val="singleLevel"/>
    <w:tmpl w:val="67D9FF94"/>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I4Njk1ZjliYzg4MWNjNTQxZWVmYmZjMjcyZTUifQ=="/>
  </w:docVars>
  <w:rsids>
    <w:rsidRoot w:val="00F0756B"/>
    <w:rsid w:val="00000BE3"/>
    <w:rsid w:val="00000CEA"/>
    <w:rsid w:val="000015AA"/>
    <w:rsid w:val="00001816"/>
    <w:rsid w:val="00001CB7"/>
    <w:rsid w:val="000024E1"/>
    <w:rsid w:val="000028E8"/>
    <w:rsid w:val="000053C8"/>
    <w:rsid w:val="00007414"/>
    <w:rsid w:val="00007469"/>
    <w:rsid w:val="000111A2"/>
    <w:rsid w:val="00012033"/>
    <w:rsid w:val="00014157"/>
    <w:rsid w:val="0001429C"/>
    <w:rsid w:val="00014A93"/>
    <w:rsid w:val="0001516A"/>
    <w:rsid w:val="00020A10"/>
    <w:rsid w:val="00020B80"/>
    <w:rsid w:val="00020EBD"/>
    <w:rsid w:val="00022282"/>
    <w:rsid w:val="00023BF5"/>
    <w:rsid w:val="00023EF7"/>
    <w:rsid w:val="00024F9F"/>
    <w:rsid w:val="0002539B"/>
    <w:rsid w:val="00025B4B"/>
    <w:rsid w:val="0002612E"/>
    <w:rsid w:val="00030101"/>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0F5A"/>
    <w:rsid w:val="00273862"/>
    <w:rsid w:val="00274F45"/>
    <w:rsid w:val="002757DB"/>
    <w:rsid w:val="00276A34"/>
    <w:rsid w:val="0027787A"/>
    <w:rsid w:val="002800D7"/>
    <w:rsid w:val="002805C7"/>
    <w:rsid w:val="00280BDD"/>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2081F"/>
    <w:rsid w:val="00525DEC"/>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A503C"/>
    <w:rsid w:val="005B0C1B"/>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4C4F"/>
    <w:rsid w:val="006279A4"/>
    <w:rsid w:val="00627B4C"/>
    <w:rsid w:val="00630901"/>
    <w:rsid w:val="006319F9"/>
    <w:rsid w:val="00632570"/>
    <w:rsid w:val="00632A92"/>
    <w:rsid w:val="006341B6"/>
    <w:rsid w:val="00634DEE"/>
    <w:rsid w:val="00636585"/>
    <w:rsid w:val="0063797E"/>
    <w:rsid w:val="00637F6C"/>
    <w:rsid w:val="00640972"/>
    <w:rsid w:val="00640C43"/>
    <w:rsid w:val="006420D1"/>
    <w:rsid w:val="00642282"/>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28E6"/>
    <w:rsid w:val="00684FCD"/>
    <w:rsid w:val="0068557F"/>
    <w:rsid w:val="0068566A"/>
    <w:rsid w:val="00686386"/>
    <w:rsid w:val="00686418"/>
    <w:rsid w:val="00686924"/>
    <w:rsid w:val="00691467"/>
    <w:rsid w:val="00692474"/>
    <w:rsid w:val="00692A3A"/>
    <w:rsid w:val="00693852"/>
    <w:rsid w:val="00696B94"/>
    <w:rsid w:val="0069752A"/>
    <w:rsid w:val="00697C77"/>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70AC5"/>
    <w:rsid w:val="00871121"/>
    <w:rsid w:val="00871865"/>
    <w:rsid w:val="008723F2"/>
    <w:rsid w:val="00876FCE"/>
    <w:rsid w:val="008773EF"/>
    <w:rsid w:val="008776EA"/>
    <w:rsid w:val="00877D12"/>
    <w:rsid w:val="008809BB"/>
    <w:rsid w:val="00883858"/>
    <w:rsid w:val="00884DE5"/>
    <w:rsid w:val="008877D5"/>
    <w:rsid w:val="00887A18"/>
    <w:rsid w:val="00890643"/>
    <w:rsid w:val="00891C54"/>
    <w:rsid w:val="008921A9"/>
    <w:rsid w:val="00894EDC"/>
    <w:rsid w:val="00895134"/>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77B"/>
    <w:rsid w:val="00B225BD"/>
    <w:rsid w:val="00B24300"/>
    <w:rsid w:val="00B24C8F"/>
    <w:rsid w:val="00B25C8A"/>
    <w:rsid w:val="00B25D04"/>
    <w:rsid w:val="00B2671B"/>
    <w:rsid w:val="00B3028B"/>
    <w:rsid w:val="00B32870"/>
    <w:rsid w:val="00B330C9"/>
    <w:rsid w:val="00B33A62"/>
    <w:rsid w:val="00B34C55"/>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B3E"/>
    <w:rsid w:val="00BB328E"/>
    <w:rsid w:val="00BB40AD"/>
    <w:rsid w:val="00BB4155"/>
    <w:rsid w:val="00BB4B43"/>
    <w:rsid w:val="00BB586C"/>
    <w:rsid w:val="00BB5AD1"/>
    <w:rsid w:val="00BB5DED"/>
    <w:rsid w:val="00BB6A03"/>
    <w:rsid w:val="00BB6CEE"/>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95F"/>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583D"/>
    <w:rsid w:val="00F25950"/>
    <w:rsid w:val="00F25C63"/>
    <w:rsid w:val="00F2634A"/>
    <w:rsid w:val="00F26414"/>
    <w:rsid w:val="00F26B18"/>
    <w:rsid w:val="00F26DF5"/>
    <w:rsid w:val="00F303D0"/>
    <w:rsid w:val="00F30A37"/>
    <w:rsid w:val="00F313B1"/>
    <w:rsid w:val="00F35152"/>
    <w:rsid w:val="00F3586B"/>
    <w:rsid w:val="00F3621E"/>
    <w:rsid w:val="00F36537"/>
    <w:rsid w:val="00F36C48"/>
    <w:rsid w:val="00F36CA8"/>
    <w:rsid w:val="00F36FB9"/>
    <w:rsid w:val="00F37422"/>
    <w:rsid w:val="00F37F81"/>
    <w:rsid w:val="00F416D2"/>
    <w:rsid w:val="00F42F34"/>
    <w:rsid w:val="00F432CC"/>
    <w:rsid w:val="00F432F7"/>
    <w:rsid w:val="00F43E54"/>
    <w:rsid w:val="00F444B2"/>
    <w:rsid w:val="00F4490D"/>
    <w:rsid w:val="00F44EA1"/>
    <w:rsid w:val="00F45A68"/>
    <w:rsid w:val="00F46EDB"/>
    <w:rsid w:val="00F47F08"/>
    <w:rsid w:val="00F52FF2"/>
    <w:rsid w:val="00F533A6"/>
    <w:rsid w:val="00F54567"/>
    <w:rsid w:val="00F54939"/>
    <w:rsid w:val="00F5553D"/>
    <w:rsid w:val="00F575E1"/>
    <w:rsid w:val="00F57A0D"/>
    <w:rsid w:val="00F61087"/>
    <w:rsid w:val="00F61DB2"/>
    <w:rsid w:val="00F622B5"/>
    <w:rsid w:val="00F62408"/>
    <w:rsid w:val="00F624CF"/>
    <w:rsid w:val="00F62E32"/>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C1144"/>
    <w:rsid w:val="03D14032"/>
    <w:rsid w:val="03E273EA"/>
    <w:rsid w:val="04196FF2"/>
    <w:rsid w:val="04221634"/>
    <w:rsid w:val="04294972"/>
    <w:rsid w:val="04647706"/>
    <w:rsid w:val="046E3E7C"/>
    <w:rsid w:val="048C74C9"/>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F03282"/>
    <w:rsid w:val="07FD3D8E"/>
    <w:rsid w:val="08003E79"/>
    <w:rsid w:val="08096E47"/>
    <w:rsid w:val="081C00FC"/>
    <w:rsid w:val="0825634E"/>
    <w:rsid w:val="08461C19"/>
    <w:rsid w:val="084F3510"/>
    <w:rsid w:val="0859605C"/>
    <w:rsid w:val="085977FC"/>
    <w:rsid w:val="086A47EF"/>
    <w:rsid w:val="0881538C"/>
    <w:rsid w:val="08A62ED0"/>
    <w:rsid w:val="08D76A3D"/>
    <w:rsid w:val="08FF5461"/>
    <w:rsid w:val="09006B90"/>
    <w:rsid w:val="09101CB2"/>
    <w:rsid w:val="09186EF9"/>
    <w:rsid w:val="092A5E00"/>
    <w:rsid w:val="09330668"/>
    <w:rsid w:val="09363AA0"/>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78129C"/>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4DF5148"/>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C2CF7"/>
    <w:rsid w:val="20912875"/>
    <w:rsid w:val="20A93AD3"/>
    <w:rsid w:val="20AC326D"/>
    <w:rsid w:val="20B56939"/>
    <w:rsid w:val="20BF6D21"/>
    <w:rsid w:val="20C6178E"/>
    <w:rsid w:val="20F14F11"/>
    <w:rsid w:val="2101466E"/>
    <w:rsid w:val="21046A5A"/>
    <w:rsid w:val="211C60E8"/>
    <w:rsid w:val="21224FD1"/>
    <w:rsid w:val="21502BF8"/>
    <w:rsid w:val="217F706F"/>
    <w:rsid w:val="218D1E77"/>
    <w:rsid w:val="21980AD9"/>
    <w:rsid w:val="21CA535E"/>
    <w:rsid w:val="21D41167"/>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6FB3618"/>
    <w:rsid w:val="270F479B"/>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BF4318"/>
    <w:rsid w:val="2EC75E7D"/>
    <w:rsid w:val="2ED10D52"/>
    <w:rsid w:val="2EDA5712"/>
    <w:rsid w:val="2EDD2BBF"/>
    <w:rsid w:val="2EE978FE"/>
    <w:rsid w:val="2F47653E"/>
    <w:rsid w:val="2F6A0A56"/>
    <w:rsid w:val="2FB7605F"/>
    <w:rsid w:val="2FDB7EFB"/>
    <w:rsid w:val="302173A1"/>
    <w:rsid w:val="30237995"/>
    <w:rsid w:val="302C7114"/>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16EB3"/>
    <w:rsid w:val="36FA4132"/>
    <w:rsid w:val="36FD67FE"/>
    <w:rsid w:val="37154BC4"/>
    <w:rsid w:val="3722327C"/>
    <w:rsid w:val="37316697"/>
    <w:rsid w:val="375018EC"/>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5552"/>
    <w:rsid w:val="38C72C9D"/>
    <w:rsid w:val="38CB08F0"/>
    <w:rsid w:val="38D65BED"/>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E0F50"/>
    <w:rsid w:val="3C542F76"/>
    <w:rsid w:val="3C9B3C01"/>
    <w:rsid w:val="3CB72937"/>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80328"/>
    <w:rsid w:val="3E2D4E04"/>
    <w:rsid w:val="3E365FB2"/>
    <w:rsid w:val="3E4F427B"/>
    <w:rsid w:val="3E5A30A0"/>
    <w:rsid w:val="3E5B3C27"/>
    <w:rsid w:val="3E5F1F21"/>
    <w:rsid w:val="3E8074D5"/>
    <w:rsid w:val="3E9212C9"/>
    <w:rsid w:val="3EA472ED"/>
    <w:rsid w:val="3EAF032B"/>
    <w:rsid w:val="3EC80A90"/>
    <w:rsid w:val="3ED01838"/>
    <w:rsid w:val="3EDE5327"/>
    <w:rsid w:val="3EFA7719"/>
    <w:rsid w:val="3EFB6DF6"/>
    <w:rsid w:val="3EFF322F"/>
    <w:rsid w:val="3F107510"/>
    <w:rsid w:val="3F117FFE"/>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185B1F"/>
    <w:rsid w:val="4247230D"/>
    <w:rsid w:val="4250573E"/>
    <w:rsid w:val="425C1507"/>
    <w:rsid w:val="4267082D"/>
    <w:rsid w:val="4282729C"/>
    <w:rsid w:val="42937793"/>
    <w:rsid w:val="429A4785"/>
    <w:rsid w:val="429C40FF"/>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396279"/>
    <w:rsid w:val="463B1EA4"/>
    <w:rsid w:val="463D36EC"/>
    <w:rsid w:val="46463D17"/>
    <w:rsid w:val="4653178C"/>
    <w:rsid w:val="46563213"/>
    <w:rsid w:val="46662F4C"/>
    <w:rsid w:val="46A01C8F"/>
    <w:rsid w:val="46B774B0"/>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9077B"/>
    <w:rsid w:val="4A3923BC"/>
    <w:rsid w:val="4A4175FF"/>
    <w:rsid w:val="4A4D5474"/>
    <w:rsid w:val="4AB24CED"/>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B7196F"/>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EF36BB8"/>
    <w:rsid w:val="4F3955E6"/>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F12681"/>
    <w:rsid w:val="530E2425"/>
    <w:rsid w:val="53162448"/>
    <w:rsid w:val="531A3DB6"/>
    <w:rsid w:val="532E2384"/>
    <w:rsid w:val="53384589"/>
    <w:rsid w:val="533C78E6"/>
    <w:rsid w:val="53550BA3"/>
    <w:rsid w:val="53592DAC"/>
    <w:rsid w:val="535F7193"/>
    <w:rsid w:val="53693759"/>
    <w:rsid w:val="537C5247"/>
    <w:rsid w:val="538E2B57"/>
    <w:rsid w:val="539A3992"/>
    <w:rsid w:val="53A44855"/>
    <w:rsid w:val="53B010F1"/>
    <w:rsid w:val="53B73BAD"/>
    <w:rsid w:val="53EC2E48"/>
    <w:rsid w:val="54144BD2"/>
    <w:rsid w:val="541D54EF"/>
    <w:rsid w:val="541F5812"/>
    <w:rsid w:val="542017D9"/>
    <w:rsid w:val="54206626"/>
    <w:rsid w:val="542C2BE5"/>
    <w:rsid w:val="545D2510"/>
    <w:rsid w:val="54933091"/>
    <w:rsid w:val="54A22C06"/>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A6730"/>
    <w:rsid w:val="563C42FC"/>
    <w:rsid w:val="56630034"/>
    <w:rsid w:val="566315B1"/>
    <w:rsid w:val="566845F8"/>
    <w:rsid w:val="5684380C"/>
    <w:rsid w:val="569638DC"/>
    <w:rsid w:val="56A0622D"/>
    <w:rsid w:val="56A84D77"/>
    <w:rsid w:val="56B532BD"/>
    <w:rsid w:val="56C03CB2"/>
    <w:rsid w:val="56C50A07"/>
    <w:rsid w:val="56F07657"/>
    <w:rsid w:val="56F23A83"/>
    <w:rsid w:val="57015702"/>
    <w:rsid w:val="570429AF"/>
    <w:rsid w:val="570A392B"/>
    <w:rsid w:val="573E4E86"/>
    <w:rsid w:val="576C3298"/>
    <w:rsid w:val="57744ED1"/>
    <w:rsid w:val="57876DF9"/>
    <w:rsid w:val="579C3E4C"/>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A95FCB"/>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19618E"/>
    <w:rsid w:val="5D4B66F9"/>
    <w:rsid w:val="5D4E1C0D"/>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E69F2"/>
    <w:rsid w:val="5EC21376"/>
    <w:rsid w:val="5EDE67DE"/>
    <w:rsid w:val="5EFC14B2"/>
    <w:rsid w:val="5F300FD3"/>
    <w:rsid w:val="5F420B33"/>
    <w:rsid w:val="5F4D01E4"/>
    <w:rsid w:val="5F503E6B"/>
    <w:rsid w:val="5F627302"/>
    <w:rsid w:val="5F6842AF"/>
    <w:rsid w:val="5F6A5B27"/>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134752"/>
    <w:rsid w:val="653438E9"/>
    <w:rsid w:val="653E31A1"/>
    <w:rsid w:val="65412CCA"/>
    <w:rsid w:val="65442AE4"/>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977CC0"/>
    <w:rsid w:val="679B1EE5"/>
    <w:rsid w:val="67A36060"/>
    <w:rsid w:val="67AE2A90"/>
    <w:rsid w:val="67B2522F"/>
    <w:rsid w:val="67CD3523"/>
    <w:rsid w:val="67DD1D16"/>
    <w:rsid w:val="67E8255F"/>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FB0949"/>
    <w:rsid w:val="6AFF0939"/>
    <w:rsid w:val="6B0C4215"/>
    <w:rsid w:val="6B15362D"/>
    <w:rsid w:val="6B1B18B4"/>
    <w:rsid w:val="6B2111BF"/>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5535CD"/>
    <w:rsid w:val="6D6068B5"/>
    <w:rsid w:val="6D623CE1"/>
    <w:rsid w:val="6D6C67BC"/>
    <w:rsid w:val="6D6C759B"/>
    <w:rsid w:val="6D8F33D2"/>
    <w:rsid w:val="6DA46816"/>
    <w:rsid w:val="6DA70ACF"/>
    <w:rsid w:val="6DBB1F79"/>
    <w:rsid w:val="6DDB461A"/>
    <w:rsid w:val="6DDD1E81"/>
    <w:rsid w:val="6DF525CF"/>
    <w:rsid w:val="6DF66533"/>
    <w:rsid w:val="6E090092"/>
    <w:rsid w:val="6E0F06CC"/>
    <w:rsid w:val="6E166050"/>
    <w:rsid w:val="6E280CCA"/>
    <w:rsid w:val="6E4747C4"/>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6FDF0301"/>
    <w:rsid w:val="70277D23"/>
    <w:rsid w:val="704050F4"/>
    <w:rsid w:val="70416D95"/>
    <w:rsid w:val="7045465C"/>
    <w:rsid w:val="70487829"/>
    <w:rsid w:val="704C4425"/>
    <w:rsid w:val="70532EFE"/>
    <w:rsid w:val="708419DB"/>
    <w:rsid w:val="708741CD"/>
    <w:rsid w:val="708C338A"/>
    <w:rsid w:val="70A64866"/>
    <w:rsid w:val="70C31531"/>
    <w:rsid w:val="70CE2339"/>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F7172C"/>
    <w:rsid w:val="730C432D"/>
    <w:rsid w:val="733549B0"/>
    <w:rsid w:val="73395FB2"/>
    <w:rsid w:val="73591A22"/>
    <w:rsid w:val="73623EA1"/>
    <w:rsid w:val="736367F3"/>
    <w:rsid w:val="736A5E0C"/>
    <w:rsid w:val="736E707F"/>
    <w:rsid w:val="73733AA3"/>
    <w:rsid w:val="7374098E"/>
    <w:rsid w:val="737A0385"/>
    <w:rsid w:val="737A3B7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360E79"/>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55274F"/>
    <w:rsid w:val="7F5877DF"/>
    <w:rsid w:val="7F675882"/>
    <w:rsid w:val="7F6E0A32"/>
    <w:rsid w:val="7F926436"/>
    <w:rsid w:val="7FBC153D"/>
    <w:rsid w:val="7FCF28BD"/>
    <w:rsid w:val="7FD971C9"/>
    <w:rsid w:val="7FE550FF"/>
    <w:rsid w:val="FFEFF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ind w:firstLine="596" w:firstLineChars="200"/>
      <w:outlineLvl w:val="0"/>
    </w:pPr>
    <w:rPr>
      <w:rFonts w:ascii="黑体" w:eastAsia="黑体"/>
      <w:b/>
      <w:sz w:val="32"/>
      <w:szCs w:val="22"/>
    </w:rPr>
  </w:style>
  <w:style w:type="paragraph" w:styleId="3">
    <w:name w:val="heading 2"/>
    <w:basedOn w:val="1"/>
    <w:next w:val="1"/>
    <w:link w:val="38"/>
    <w:unhideWhenUsed/>
    <w:qFormat/>
    <w:uiPriority w:val="0"/>
    <w:pPr>
      <w:ind w:firstLine="596" w:firstLineChars="200"/>
      <w:outlineLvl w:val="1"/>
    </w:pPr>
    <w:rPr>
      <w:rFonts w:ascii="KaiTi_GB2312" w:eastAsia="KaiTi_GB2312"/>
      <w:b/>
      <w:sz w:val="32"/>
      <w:szCs w:val="2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ind w:firstLine="420" w:firstLineChars="200"/>
    </w:pPr>
    <w:rPr>
      <w:szCs w:val="22"/>
    </w:rPr>
  </w:style>
  <w:style w:type="paragraph" w:styleId="7">
    <w:name w:val="annotation text"/>
    <w:basedOn w:val="1"/>
    <w:semiHidden/>
    <w:qFormat/>
    <w:uiPriority w:val="0"/>
    <w:pPr>
      <w:jc w:val="left"/>
    </w:pPr>
    <w:rPr>
      <w:szCs w:val="20"/>
    </w:rPr>
  </w:style>
  <w:style w:type="paragraph" w:styleId="8">
    <w:name w:val="Body Text"/>
    <w:basedOn w:val="1"/>
    <w:next w:val="1"/>
    <w:qFormat/>
    <w:uiPriority w:val="0"/>
    <w:pPr>
      <w:spacing w:after="120"/>
    </w:p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link w:val="43"/>
    <w:qFormat/>
    <w:uiPriority w:val="99"/>
    <w:pPr>
      <w:widowControl w:val="0"/>
      <w:spacing w:line="480" w:lineRule="exact"/>
      <w:ind w:left="810" w:firstLine="675"/>
      <w:jc w:val="both"/>
    </w:pPr>
    <w:rPr>
      <w:rFonts w:ascii="Calibri" w:hAnsi="Calibri" w:eastAsia="FangSong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1"/>
    <w:unhideWhenUsed/>
    <w:qFormat/>
    <w:uiPriority w:val="0"/>
    <w:pPr>
      <w:snapToGrid w:val="0"/>
      <w:jc w:val="left"/>
    </w:pPr>
    <w:rPr>
      <w:rFonts w:eastAsia="FangSong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qFormat/>
    <w:uiPriority w:val="0"/>
    <w:rPr>
      <w:sz w:val="21"/>
      <w:szCs w:val="21"/>
    </w:rPr>
  </w:style>
  <w:style w:type="character" w:styleId="23">
    <w:name w:val="footnote reference"/>
    <w:unhideWhenUsed/>
    <w:qFormat/>
    <w:uiPriority w:val="0"/>
    <w:rPr>
      <w:vertAlign w:val="superscript"/>
    </w:rPr>
  </w:style>
  <w:style w:type="paragraph" w:styleId="24">
    <w:name w:val="List Paragraph"/>
    <w:basedOn w:val="1"/>
    <w:unhideWhenUsed/>
    <w:qFormat/>
    <w:uiPriority w:val="34"/>
    <w:pPr>
      <w:ind w:firstLine="420" w:firstLineChars="200"/>
    </w:pPr>
  </w:style>
  <w:style w:type="paragraph" w:customStyle="1" w:styleId="25">
    <w:name w:val="_Style 3"/>
    <w:basedOn w:val="1"/>
    <w:qFormat/>
    <w:uiPriority w:val="34"/>
    <w:pPr>
      <w:ind w:firstLine="420" w:firstLineChars="200"/>
    </w:pPr>
  </w:style>
  <w:style w:type="paragraph" w:customStyle="1" w:styleId="26">
    <w:name w:val="p0"/>
    <w:basedOn w:val="1"/>
    <w:qFormat/>
    <w:uiPriority w:val="0"/>
    <w:pPr>
      <w:widowControl/>
      <w:jc w:val="left"/>
    </w:pPr>
    <w:rPr>
      <w:kern w:val="0"/>
      <w:sz w:val="20"/>
      <w:szCs w:val="20"/>
    </w:rPr>
  </w:style>
  <w:style w:type="paragraph" w:customStyle="1" w:styleId="27">
    <w:name w:val="列出段落"/>
    <w:basedOn w:val="1"/>
    <w:qFormat/>
    <w:uiPriority w:val="0"/>
    <w:pPr>
      <w:ind w:firstLine="420" w:firstLineChars="200"/>
    </w:pPr>
    <w:rPr>
      <w:rFonts w:ascii="Calibri" w:hAnsi="Calibri"/>
      <w:szCs w:val="22"/>
    </w:rPr>
  </w:style>
  <w:style w:type="paragraph" w:customStyle="1" w:styleId="28">
    <w:name w:val="默认段落字体 Para Char Char Char Char"/>
    <w:basedOn w:val="1"/>
    <w:qFormat/>
    <w:uiPriority w:val="0"/>
    <w:pPr>
      <w:adjustRightInd w:val="0"/>
      <w:spacing w:line="360" w:lineRule="auto"/>
    </w:pPr>
    <w:rPr>
      <w:szCs w:val="20"/>
    </w:rPr>
  </w:style>
  <w:style w:type="paragraph" w:customStyle="1" w:styleId="29">
    <w:name w:val="Char"/>
    <w:basedOn w:val="1"/>
    <w:qFormat/>
    <w:uiPriority w:val="0"/>
    <w:rPr>
      <w:szCs w:val="20"/>
    </w:rPr>
  </w:style>
  <w:style w:type="paragraph" w:customStyle="1" w:styleId="30">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1">
    <w:name w:val="Char1"/>
    <w:basedOn w:val="1"/>
    <w:qFormat/>
    <w:uiPriority w:val="0"/>
    <w:rPr>
      <w:rFonts w:ascii="Tahoma" w:hAnsi="Tahoma"/>
      <w:sz w:val="24"/>
      <w:szCs w:val="20"/>
    </w:rPr>
  </w:style>
  <w:style w:type="paragraph" w:customStyle="1" w:styleId="32">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3">
    <w:name w:val="Char Char Char1 Char1 Char Char Char"/>
    <w:basedOn w:val="1"/>
    <w:semiHidden/>
    <w:qFormat/>
    <w:uiPriority w:val="0"/>
  </w:style>
  <w:style w:type="paragraph" w:customStyle="1" w:styleId="34">
    <w:name w:val="样式2"/>
    <w:basedOn w:val="1"/>
    <w:qFormat/>
    <w:uiPriority w:val="0"/>
    <w:pPr>
      <w:jc w:val="center"/>
    </w:pPr>
    <w:rPr>
      <w:rFonts w:eastAsia="FangSong_GB2312"/>
      <w:b/>
      <w:bCs/>
      <w:sz w:val="44"/>
    </w:rPr>
  </w:style>
  <w:style w:type="paragraph" w:customStyle="1" w:styleId="35">
    <w:name w:val="1 Char Char Char Char Char Char Char"/>
    <w:basedOn w:val="1"/>
    <w:qFormat/>
    <w:uiPriority w:val="0"/>
  </w:style>
  <w:style w:type="paragraph" w:customStyle="1" w:styleId="36">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7">
    <w:name w:val="font01"/>
    <w:basedOn w:val="20"/>
    <w:qFormat/>
    <w:uiPriority w:val="0"/>
    <w:rPr>
      <w:rFonts w:hint="eastAsia" w:ascii="宋体" w:hAnsi="宋体" w:eastAsia="宋体" w:cs="宋体"/>
      <w:color w:val="333399"/>
      <w:sz w:val="24"/>
      <w:szCs w:val="24"/>
      <w:u w:val="none"/>
    </w:rPr>
  </w:style>
  <w:style w:type="character" w:customStyle="1" w:styleId="38">
    <w:name w:val="標題 2 字元"/>
    <w:link w:val="3"/>
    <w:qFormat/>
    <w:uiPriority w:val="0"/>
    <w:rPr>
      <w:rFonts w:ascii="KaiTi_GB2312" w:eastAsia="KaiTi_GB2312"/>
      <w:b/>
      <w:kern w:val="2"/>
      <w:sz w:val="32"/>
      <w:szCs w:val="22"/>
      <w:lang w:val="en-US" w:eastAsia="zh-CN" w:bidi="ar-SA"/>
    </w:rPr>
  </w:style>
  <w:style w:type="character" w:customStyle="1" w:styleId="39">
    <w:name w:val="font41"/>
    <w:basedOn w:val="20"/>
    <w:qFormat/>
    <w:uiPriority w:val="0"/>
    <w:rPr>
      <w:rFonts w:hint="eastAsia" w:ascii="宋体" w:hAnsi="宋体" w:eastAsia="宋体" w:cs="宋体"/>
      <w:color w:val="FF0000"/>
      <w:sz w:val="24"/>
      <w:szCs w:val="24"/>
      <w:u w:val="none"/>
    </w:rPr>
  </w:style>
  <w:style w:type="character" w:customStyle="1" w:styleId="40">
    <w:name w:val="article_f141"/>
    <w:basedOn w:val="20"/>
    <w:qFormat/>
    <w:uiPriority w:val="0"/>
    <w:rPr>
      <w:color w:val="000000"/>
      <w:sz w:val="21"/>
    </w:rPr>
  </w:style>
  <w:style w:type="character" w:customStyle="1" w:styleId="41">
    <w:name w:val="註腳文字 字元"/>
    <w:link w:val="16"/>
    <w:semiHidden/>
    <w:qFormat/>
    <w:uiPriority w:val="0"/>
    <w:rPr>
      <w:rFonts w:eastAsia="FangSong_GB2312"/>
      <w:kern w:val="2"/>
      <w:sz w:val="18"/>
      <w:szCs w:val="18"/>
      <w:lang w:val="en-US" w:eastAsia="zh-CN" w:bidi="ar-SA"/>
    </w:rPr>
  </w:style>
  <w:style w:type="character" w:customStyle="1" w:styleId="42">
    <w:name w:val="標題 1 字元"/>
    <w:link w:val="2"/>
    <w:qFormat/>
    <w:uiPriority w:val="0"/>
    <w:rPr>
      <w:rFonts w:ascii="黑体" w:eastAsia="黑体"/>
      <w:b/>
      <w:kern w:val="2"/>
      <w:sz w:val="32"/>
      <w:szCs w:val="22"/>
      <w:lang w:val="en-US" w:eastAsia="zh-CN" w:bidi="ar-SA"/>
    </w:rPr>
  </w:style>
  <w:style w:type="character" w:customStyle="1" w:styleId="43">
    <w:name w:val="本文縮排 2 字元"/>
    <w:basedOn w:val="20"/>
    <w:link w:val="12"/>
    <w:qFormat/>
    <w:uiPriority w:val="99"/>
    <w:rPr>
      <w:rFonts w:ascii="Calibri" w:hAnsi="Calibri" w:eastAsia="FangSong_GB2312"/>
      <w:kern w:val="2"/>
      <w:sz w:val="30"/>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16</Pages>
  <Words>5172</Words>
  <Characters>5360</Characters>
  <Lines>228</Lines>
  <Paragraphs>89</Paragraphs>
  <TotalTime>4</TotalTime>
  <ScaleCrop>false</ScaleCrop>
  <LinksUpToDate>false</LinksUpToDate>
  <CharactersWithSpaces>5403</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2024-06-12T08:34:00Z</dcterms:created>
  <dc:creator>陈微:</dc:creator>
  <cp:lastModifiedBy>RaphaelL</cp:lastModifiedBy>
  <cp:lastPrinted>2023-12-07T17:28:00Z</cp:lastPrinted>
  <dcterms:modified xsi:type="dcterms:W3CDTF">2025-04-18T15:52:59Z</dcterms:modified>
  <dc:title>珠横新规国字〔2010〕20号                 签发人：王瑞森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974C9CC09EDB4930AC3E5444623391DC_13</vt:lpwstr>
  </property>
  <property fmtid="{D5CDD505-2E9C-101B-9397-08002B2CF9AE}" pid="4" name="KSOTemplateDocerSaveRecord">
    <vt:lpwstr>eyJoZGlkIjoiMzFhNTI4Njk1ZjliYzg4MWNjNTQxZWVmYmZjMjcyZTUiLCJ1c2VySWQiOiIxNTQ1MjY3NTIyIn0=</vt:lpwstr>
  </property>
</Properties>
</file>