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17FF5">
      <w:pPr>
        <w:spacing w:line="600" w:lineRule="exact"/>
        <w:rPr>
          <w:rFonts w:ascii="仿宋_GB2312" w:hAnsi="仿宋_GB2312" w:eastAsia="仿宋_GB2312" w:cs="仿宋_GB2312"/>
          <w:sz w:val="32"/>
          <w:szCs w:val="32"/>
        </w:rPr>
      </w:pPr>
      <w:bookmarkStart w:id="4" w:name="_GoBack"/>
      <w:bookmarkEnd w:id="4"/>
      <w:r>
        <w:rPr>
          <w:rFonts w:hint="eastAsia" w:ascii="仿宋_GB2312" w:hAnsi="仿宋_GB2312" w:eastAsia="仿宋_GB2312" w:cs="仿宋_GB2312"/>
          <w:sz w:val="32"/>
          <w:szCs w:val="32"/>
        </w:rPr>
        <w:t>附件3</w:t>
      </w:r>
    </w:p>
    <w:p w14:paraId="252F8E3D">
      <w:pPr>
        <w:pStyle w:val="8"/>
        <w:ind w:firstLine="210"/>
      </w:pPr>
    </w:p>
    <w:p w14:paraId="3D5BB864">
      <w:pPr>
        <w:spacing w:line="600" w:lineRule="exact"/>
        <w:jc w:val="center"/>
        <w:rPr>
          <w:rFonts w:hint="default" w:ascii="仿宋" w:hAnsi="仿宋" w:eastAsia="仿宋" w:cs="仿宋"/>
          <w:b/>
          <w:bCs/>
          <w:sz w:val="44"/>
          <w:szCs w:val="44"/>
          <w:lang w:val="en-US"/>
        </w:rPr>
      </w:pPr>
      <w:r>
        <w:rPr>
          <w:rFonts w:hint="eastAsia" w:ascii="仿宋" w:hAnsi="仿宋" w:eastAsia="仿宋" w:cs="仿宋"/>
          <w:b/>
          <w:bCs/>
          <w:sz w:val="44"/>
          <w:szCs w:val="44"/>
          <w:lang w:val="en-US" w:eastAsia="zh-CN"/>
        </w:rPr>
        <w:t>评分标准</w:t>
      </w:r>
    </w:p>
    <w:p w14:paraId="5E9A640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本项目采用综合评分法方法进行评审，具体评分细则详见综合评分表。评价指标及权重：</w:t>
      </w:r>
    </w:p>
    <w:tbl>
      <w:tblPr>
        <w:tblStyle w:val="10"/>
        <w:tblpPr w:leftFromText="180" w:rightFromText="180" w:vertAnchor="text" w:horzAnchor="page" w:tblpX="3370" w:tblpY="195"/>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2078"/>
      </w:tblGrid>
      <w:tr w14:paraId="5FF4A505">
        <w:trPr>
          <w:trHeight w:val="415" w:hRule="atLeast"/>
        </w:trPr>
        <w:tc>
          <w:tcPr>
            <w:tcW w:w="3761" w:type="dxa"/>
            <w:vAlign w:val="center"/>
          </w:tcPr>
          <w:p w14:paraId="758E199C">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评价指标</w:t>
            </w:r>
          </w:p>
        </w:tc>
        <w:tc>
          <w:tcPr>
            <w:tcW w:w="2078" w:type="dxa"/>
            <w:vAlign w:val="center"/>
          </w:tcPr>
          <w:p w14:paraId="29C349DB">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指标权重</w:t>
            </w:r>
          </w:p>
        </w:tc>
      </w:tr>
      <w:tr w14:paraId="7A642BA9">
        <w:trPr>
          <w:cantSplit/>
        </w:trPr>
        <w:tc>
          <w:tcPr>
            <w:tcW w:w="3761" w:type="dxa"/>
            <w:vAlign w:val="center"/>
          </w:tcPr>
          <w:p w14:paraId="2CA67D3C">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2078" w:type="dxa"/>
            <w:vAlign w:val="center"/>
          </w:tcPr>
          <w:p w14:paraId="4F661F32">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w:t>
            </w:r>
          </w:p>
        </w:tc>
      </w:tr>
      <w:tr w14:paraId="6D0A313D">
        <w:trPr>
          <w:cantSplit/>
          <w:trHeight w:val="388" w:hRule="atLeast"/>
        </w:trPr>
        <w:tc>
          <w:tcPr>
            <w:tcW w:w="3761" w:type="dxa"/>
            <w:vAlign w:val="center"/>
          </w:tcPr>
          <w:p w14:paraId="7C609DC1">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c>
          <w:tcPr>
            <w:tcW w:w="2078" w:type="dxa"/>
            <w:vAlign w:val="center"/>
          </w:tcPr>
          <w:p w14:paraId="05A4C7E3">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40</w:t>
            </w:r>
          </w:p>
        </w:tc>
      </w:tr>
      <w:tr w14:paraId="23A382BE">
        <w:trPr>
          <w:cantSplit/>
          <w:trHeight w:val="431" w:hRule="atLeast"/>
        </w:trPr>
        <w:tc>
          <w:tcPr>
            <w:tcW w:w="3761" w:type="dxa"/>
            <w:vAlign w:val="center"/>
          </w:tcPr>
          <w:p w14:paraId="5C5AA010">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经济价格</w:t>
            </w:r>
          </w:p>
        </w:tc>
        <w:tc>
          <w:tcPr>
            <w:tcW w:w="2078" w:type="dxa"/>
            <w:vAlign w:val="center"/>
          </w:tcPr>
          <w:p w14:paraId="0FB93AF6">
            <w:pPr>
              <w:spacing w:line="4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r>
      <w:tr w14:paraId="00E4F944">
        <w:trPr>
          <w:cantSplit/>
          <w:trHeight w:val="431" w:hRule="atLeast"/>
        </w:trPr>
        <w:tc>
          <w:tcPr>
            <w:tcW w:w="3761" w:type="dxa"/>
            <w:vAlign w:val="center"/>
          </w:tcPr>
          <w:p w14:paraId="4B8FEF08">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78" w:type="dxa"/>
            <w:vAlign w:val="center"/>
          </w:tcPr>
          <w:p w14:paraId="69DBCF05">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14:paraId="6F8AF325">
      <w:pPr>
        <w:spacing w:line="600" w:lineRule="exact"/>
        <w:rPr>
          <w:rFonts w:ascii="仿宋_GB2312" w:hAnsi="仿宋_GB2312" w:eastAsia="仿宋_GB2312" w:cs="仿宋_GB2312"/>
          <w:b/>
          <w:bCs/>
          <w:sz w:val="32"/>
          <w:szCs w:val="32"/>
        </w:rPr>
      </w:pPr>
    </w:p>
    <w:p w14:paraId="075332BE">
      <w:pPr>
        <w:spacing w:line="600" w:lineRule="exact"/>
        <w:rPr>
          <w:rFonts w:ascii="仿宋_GB2312" w:hAnsi="仿宋_GB2312" w:eastAsia="仿宋_GB2312" w:cs="仿宋_GB2312"/>
          <w:sz w:val="32"/>
          <w:szCs w:val="32"/>
        </w:rPr>
      </w:pPr>
    </w:p>
    <w:p w14:paraId="0DB66E5C">
      <w:pPr>
        <w:spacing w:line="600" w:lineRule="exact"/>
        <w:rPr>
          <w:rFonts w:ascii="仿宋_GB2312" w:hAnsi="仿宋_GB2312" w:eastAsia="仿宋_GB2312" w:cs="仿宋_GB2312"/>
          <w:sz w:val="32"/>
          <w:szCs w:val="32"/>
        </w:rPr>
      </w:pPr>
    </w:p>
    <w:p w14:paraId="6FCF4DF7">
      <w:pPr>
        <w:spacing w:line="600" w:lineRule="exact"/>
        <w:rPr>
          <w:rFonts w:ascii="仿宋_GB2312" w:hAnsi="仿宋_GB2312" w:eastAsia="仿宋_GB2312" w:cs="仿宋_GB2312"/>
          <w:sz w:val="32"/>
          <w:szCs w:val="32"/>
        </w:rPr>
      </w:pPr>
    </w:p>
    <w:p w14:paraId="21A76C7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特别说明：</w:t>
      </w:r>
    </w:p>
    <w:p w14:paraId="78474FC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（一）将所有商务技术评价指标所得实际评价分数相加，即为该投标人的商务技术评价得分，所有评委评出的商务技术评价得分取平均值为该投标人的商务技术标得分。</w:t>
      </w:r>
    </w:p>
    <w:p w14:paraId="3C60594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（二）经济价格标得分=(评标基准价/投标报价)×价格指标权重×100。</w:t>
      </w:r>
    </w:p>
    <w:p w14:paraId="7F071B6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上述公式中的“评标基准价”是指满足</w:t>
      </w:r>
      <w:r>
        <w:rPr>
          <w:rFonts w:hint="eastAsia" w:ascii="仿宋_GB2312" w:hAnsi="仿宋_GB2312" w:eastAsia="仿宋_GB2312" w:cs="仿宋_GB2312"/>
          <w:sz w:val="32"/>
          <w:szCs w:val="32"/>
          <w:lang w:val="en-US" w:eastAsia="zh-CN"/>
        </w:rPr>
        <w:t>项目采购需求</w:t>
      </w:r>
      <w:r>
        <w:rPr>
          <w:rFonts w:hint="eastAsia" w:ascii="仿宋_GB2312" w:hAnsi="仿宋_GB2312" w:eastAsia="仿宋_GB2312" w:cs="仿宋_GB2312"/>
          <w:sz w:val="32"/>
          <w:szCs w:val="32"/>
        </w:rPr>
        <w:t>且经评审后的最低评审价格，其价格分为满分。上述公式中的“投标报价”是指经评审后的投标报价。</w:t>
      </w:r>
    </w:p>
    <w:p w14:paraId="51A6417B">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投标最终得分 = 商务标得分 + 技术标得分＋经济价格标得分。</w:t>
      </w:r>
    </w:p>
    <w:p w14:paraId="72DB4AF4">
      <w:pPr>
        <w:rPr>
          <w:rFonts w:ascii="仿宋" w:hAnsi="仿宋" w:eastAsia="仿宋"/>
          <w:sz w:val="24"/>
        </w:rPr>
      </w:pPr>
    </w:p>
    <w:p w14:paraId="5CB44EE6">
      <w:pPr>
        <w:pStyle w:val="5"/>
        <w:rPr>
          <w:rFonts w:ascii="仿宋" w:hAnsi="仿宋" w:eastAsia="仿宋"/>
          <w:sz w:val="24"/>
        </w:rPr>
      </w:pPr>
    </w:p>
    <w:tbl>
      <w:tblPr>
        <w:tblStyle w:val="10"/>
        <w:tblpPr w:leftFromText="180" w:rightFromText="180" w:vertAnchor="text" w:horzAnchor="page" w:tblpX="1307" w:tblpY="-3"/>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60"/>
        <w:gridCol w:w="6610"/>
      </w:tblGrid>
      <w:tr w14:paraId="2267B853">
        <w:trPr>
          <w:trHeight w:val="494" w:hRule="atLeast"/>
        </w:trPr>
        <w:tc>
          <w:tcPr>
            <w:tcW w:w="9615" w:type="dxa"/>
            <w:gridSpan w:val="3"/>
            <w:tcBorders>
              <w:top w:val="single" w:color="auto" w:sz="4" w:space="0"/>
              <w:left w:val="single" w:color="auto" w:sz="4" w:space="0"/>
              <w:bottom w:val="single" w:color="auto" w:sz="4" w:space="0"/>
              <w:right w:val="single" w:color="auto" w:sz="4" w:space="0"/>
            </w:tcBorders>
            <w:vAlign w:val="center"/>
          </w:tcPr>
          <w:p w14:paraId="01CE54A8">
            <w:pPr>
              <w:spacing w:line="360" w:lineRule="auto"/>
              <w:jc w:val="center"/>
              <w:rPr>
                <w:rFonts w:ascii="宋体" w:hAnsi="宋体"/>
                <w:sz w:val="24"/>
              </w:rPr>
            </w:pPr>
            <w:r>
              <w:rPr>
                <w:rFonts w:hint="eastAsia" w:ascii="宋体" w:hAnsi="宋体"/>
                <w:b/>
                <w:bCs/>
                <w:sz w:val="24"/>
              </w:rPr>
              <w:t>1、技术部分（50分）</w:t>
            </w:r>
          </w:p>
        </w:tc>
      </w:tr>
      <w:tr w14:paraId="3D248000">
        <w:trPr>
          <w:trHeight w:val="90" w:hRule="atLeast"/>
        </w:trPr>
        <w:tc>
          <w:tcPr>
            <w:tcW w:w="1245" w:type="dxa"/>
            <w:tcBorders>
              <w:top w:val="single" w:color="auto" w:sz="4" w:space="0"/>
              <w:left w:val="single" w:color="auto" w:sz="4" w:space="0"/>
              <w:bottom w:val="single" w:color="auto" w:sz="4" w:space="0"/>
              <w:right w:val="single" w:color="auto" w:sz="4" w:space="0"/>
            </w:tcBorders>
            <w:vAlign w:val="center"/>
          </w:tcPr>
          <w:p w14:paraId="3014FB19">
            <w:pPr>
              <w:spacing w:line="360" w:lineRule="auto"/>
              <w:jc w:val="center"/>
              <w:rPr>
                <w:rFonts w:ascii="宋体" w:hAnsi="宋体"/>
                <w:sz w:val="24"/>
              </w:rPr>
            </w:pPr>
            <w:r>
              <w:rPr>
                <w:rFonts w:hint="eastAsia" w:ascii="宋体" w:hAnsi="宋体"/>
                <w:sz w:val="24"/>
              </w:rPr>
              <w:t>评价指标</w:t>
            </w:r>
          </w:p>
        </w:tc>
        <w:tc>
          <w:tcPr>
            <w:tcW w:w="1760" w:type="dxa"/>
            <w:tcBorders>
              <w:top w:val="single" w:color="auto" w:sz="4" w:space="0"/>
              <w:left w:val="single" w:color="auto" w:sz="4" w:space="0"/>
              <w:bottom w:val="single" w:color="auto" w:sz="4" w:space="0"/>
              <w:right w:val="single" w:color="auto" w:sz="4" w:space="0"/>
            </w:tcBorders>
            <w:vAlign w:val="center"/>
          </w:tcPr>
          <w:p w14:paraId="41F1BF31">
            <w:pPr>
              <w:spacing w:line="360" w:lineRule="auto"/>
              <w:jc w:val="center"/>
              <w:rPr>
                <w:rFonts w:ascii="宋体" w:hAnsi="宋体"/>
                <w:sz w:val="24"/>
              </w:rPr>
            </w:pPr>
            <w:r>
              <w:rPr>
                <w:rFonts w:hint="eastAsia" w:ascii="宋体" w:hAnsi="宋体"/>
                <w:sz w:val="24"/>
              </w:rPr>
              <w:t>分项分值</w:t>
            </w:r>
          </w:p>
        </w:tc>
        <w:tc>
          <w:tcPr>
            <w:tcW w:w="6610" w:type="dxa"/>
            <w:tcBorders>
              <w:top w:val="single" w:color="auto" w:sz="4" w:space="0"/>
              <w:left w:val="single" w:color="auto" w:sz="4" w:space="0"/>
              <w:bottom w:val="single" w:color="auto" w:sz="4" w:space="0"/>
              <w:right w:val="single" w:color="auto" w:sz="4" w:space="0"/>
            </w:tcBorders>
            <w:vAlign w:val="center"/>
          </w:tcPr>
          <w:p w14:paraId="4CD50999">
            <w:pPr>
              <w:spacing w:line="360" w:lineRule="auto"/>
              <w:jc w:val="center"/>
              <w:rPr>
                <w:rFonts w:ascii="宋体" w:hAnsi="宋体"/>
                <w:sz w:val="24"/>
              </w:rPr>
            </w:pPr>
            <w:r>
              <w:rPr>
                <w:rFonts w:hint="eastAsia" w:ascii="宋体" w:hAnsi="宋体"/>
                <w:sz w:val="24"/>
              </w:rPr>
              <w:t>评分细则</w:t>
            </w:r>
          </w:p>
        </w:tc>
      </w:tr>
      <w:tr w14:paraId="5B483D1E">
        <w:trPr>
          <w:trHeight w:val="300" w:hRule="atLeast"/>
        </w:trPr>
        <w:tc>
          <w:tcPr>
            <w:tcW w:w="1245" w:type="dxa"/>
            <w:vMerge w:val="restart"/>
            <w:tcBorders>
              <w:top w:val="single" w:color="auto" w:sz="4" w:space="0"/>
              <w:left w:val="single" w:color="auto" w:sz="4" w:space="0"/>
              <w:right w:val="single" w:color="auto" w:sz="4" w:space="0"/>
            </w:tcBorders>
            <w:vAlign w:val="center"/>
          </w:tcPr>
          <w:p w14:paraId="322FF547">
            <w:pPr>
              <w:adjustRightInd w:val="0"/>
              <w:snapToGrid w:val="0"/>
              <w:spacing w:line="360" w:lineRule="auto"/>
              <w:ind w:left="-6"/>
              <w:jc w:val="center"/>
              <w:rPr>
                <w:rFonts w:ascii="宋体" w:hAnsi="宋体"/>
                <w:sz w:val="24"/>
              </w:rPr>
            </w:pPr>
            <w:r>
              <w:rPr>
                <w:rFonts w:hint="eastAsia" w:ascii="宋体" w:hAnsi="宋体"/>
                <w:sz w:val="24"/>
                <w:lang w:val="en-US" w:eastAsia="zh-CN"/>
              </w:rPr>
              <w:t>运维服务</w:t>
            </w:r>
            <w:r>
              <w:rPr>
                <w:rFonts w:hint="eastAsia" w:ascii="宋体" w:hAnsi="宋体"/>
                <w:sz w:val="24"/>
              </w:rPr>
              <w:t>方案</w:t>
            </w:r>
          </w:p>
          <w:p w14:paraId="4B465074">
            <w:pPr>
              <w:adjustRightInd w:val="0"/>
              <w:snapToGrid w:val="0"/>
              <w:spacing w:line="360" w:lineRule="auto"/>
              <w:ind w:left="-6"/>
              <w:rPr>
                <w:rFonts w:ascii="宋体" w:hAnsi="宋体"/>
                <w:sz w:val="24"/>
              </w:rPr>
            </w:pPr>
            <w:r>
              <w:rPr>
                <w:rFonts w:hint="eastAsia" w:ascii="宋体" w:hAnsi="宋体"/>
                <w:sz w:val="24"/>
              </w:rPr>
              <w:t>（</w:t>
            </w:r>
            <w:r>
              <w:rPr>
                <w:rFonts w:hint="eastAsia" w:ascii="宋体" w:hAnsi="宋体"/>
                <w:sz w:val="24"/>
                <w:lang w:val="en-US" w:eastAsia="zh-CN"/>
              </w:rPr>
              <w:t>50</w:t>
            </w:r>
            <w:r>
              <w:rPr>
                <w:rFonts w:hint="eastAsia" w:ascii="宋体" w:hAnsi="宋体"/>
                <w:sz w:val="24"/>
              </w:rPr>
              <w:t>分）</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22C5E33F">
            <w:pPr>
              <w:spacing w:line="360" w:lineRule="auto"/>
              <w:jc w:val="center"/>
              <w:rPr>
                <w:rFonts w:hint="eastAsia" w:ascii="宋体" w:hAnsi="宋体"/>
                <w:sz w:val="24"/>
                <w:lang w:val="en-US" w:eastAsia="zh-CN"/>
              </w:rPr>
            </w:pPr>
            <w:r>
              <w:rPr>
                <w:rFonts w:hint="eastAsia" w:ascii="宋体" w:hAnsi="宋体"/>
                <w:sz w:val="24"/>
                <w:lang w:val="en-US" w:eastAsia="zh-CN"/>
              </w:rPr>
              <w:t>服务方案</w:t>
            </w:r>
          </w:p>
          <w:p w14:paraId="58B4515A">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20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327BC5EF">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根据投标人提供的</w:t>
            </w:r>
            <w:r>
              <w:rPr>
                <w:rFonts w:hint="eastAsia" w:ascii="宋体" w:hAnsi="宋体" w:cs="宋体"/>
                <w:sz w:val="24"/>
                <w:szCs w:val="24"/>
                <w:highlight w:val="none"/>
                <w:lang w:val="en-US" w:eastAsia="zh-CN"/>
              </w:rPr>
              <w:t>运维运营</w:t>
            </w:r>
            <w:r>
              <w:rPr>
                <w:rFonts w:hint="eastAsia"/>
                <w:sz w:val="24"/>
                <w:szCs w:val="24"/>
                <w:highlight w:val="none"/>
                <w:lang w:eastAsia="zh-CN"/>
              </w:rPr>
              <w:t>服务方案</w:t>
            </w:r>
            <w:r>
              <w:rPr>
                <w:rFonts w:hint="eastAsia" w:ascii="宋体" w:hAnsi="宋体" w:cs="宋体"/>
                <w:sz w:val="24"/>
                <w:szCs w:val="24"/>
                <w:highlight w:val="none"/>
              </w:rPr>
              <w:t>内容进行横向综合评比：</w:t>
            </w:r>
            <w:r>
              <w:rPr>
                <w:rFonts w:hint="eastAsia" w:ascii="宋体" w:hAnsi="宋体" w:cs="宋体"/>
                <w:sz w:val="24"/>
                <w:szCs w:val="24"/>
                <w:highlight w:val="none"/>
                <w:lang w:val="en-US" w:eastAsia="zh-CN"/>
              </w:rPr>
              <w:t>包括但不限于需求分析、运维运营规划、运维服务内容、运维服务计划、运营服务内容、运营服务计划等)</w:t>
            </w:r>
          </w:p>
          <w:p w14:paraId="5295FD5A">
            <w:pPr>
              <w:pStyle w:val="2"/>
              <w:ind w:left="0" w:leftChars="0" w:firstLine="0" w:firstLineChars="0"/>
              <w:rPr>
                <w:rFonts w:hint="eastAsia" w:eastAsia="宋体"/>
                <w:lang w:val="en-US" w:eastAsia="zh-CN"/>
              </w:rPr>
            </w:pPr>
            <w:r>
              <w:rPr>
                <w:rFonts w:hint="eastAsia" w:hAnsi="宋体" w:cs="宋体"/>
                <w:sz w:val="24"/>
                <w:szCs w:val="24"/>
                <w:highlight w:val="none"/>
                <w:lang w:val="en-US" w:eastAsia="zh-CN"/>
              </w:rPr>
              <w:t>完全符合</w:t>
            </w:r>
            <w:r>
              <w:rPr>
                <w:rFonts w:hint="eastAsia" w:ascii="宋体" w:hAnsi="宋体" w:cs="宋体"/>
                <w:sz w:val="24"/>
                <w:szCs w:val="24"/>
                <w:highlight w:val="none"/>
              </w:rPr>
              <w:t>得</w:t>
            </w:r>
            <w:r>
              <w:rPr>
                <w:rFonts w:hint="eastAsia" w:hAnsi="宋体" w:cs="宋体"/>
                <w:sz w:val="24"/>
                <w:szCs w:val="24"/>
                <w:highlight w:val="none"/>
                <w:lang w:val="en-US" w:eastAsia="zh-CN"/>
              </w:rPr>
              <w:t>20</w:t>
            </w:r>
            <w:r>
              <w:rPr>
                <w:rFonts w:hint="eastAsia" w:ascii="宋体" w:hAnsi="宋体" w:cs="宋体"/>
                <w:sz w:val="24"/>
                <w:szCs w:val="24"/>
                <w:highlight w:val="none"/>
              </w:rPr>
              <w:t>分，</w:t>
            </w:r>
            <w:r>
              <w:rPr>
                <w:rFonts w:hint="eastAsia" w:hAnsi="宋体" w:cs="宋体"/>
                <w:sz w:val="24"/>
                <w:szCs w:val="24"/>
                <w:highlight w:val="none"/>
                <w:lang w:val="en-US" w:eastAsia="zh-CN"/>
              </w:rPr>
              <w:t>比较符合</w:t>
            </w:r>
            <w:r>
              <w:rPr>
                <w:rFonts w:hint="eastAsia" w:ascii="宋体" w:hAnsi="宋体" w:cs="宋体"/>
                <w:sz w:val="24"/>
                <w:szCs w:val="24"/>
                <w:highlight w:val="none"/>
              </w:rPr>
              <w:t>得</w:t>
            </w:r>
            <w:r>
              <w:rPr>
                <w:rFonts w:hint="eastAsia" w:hAnsi="宋体" w:cs="宋体"/>
                <w:sz w:val="24"/>
                <w:szCs w:val="24"/>
                <w:highlight w:val="none"/>
                <w:lang w:val="en-US" w:eastAsia="zh-CN"/>
              </w:rPr>
              <w:t>14</w:t>
            </w:r>
            <w:r>
              <w:rPr>
                <w:rFonts w:hint="eastAsia" w:ascii="宋体" w:hAnsi="宋体" w:cs="宋体"/>
                <w:sz w:val="24"/>
                <w:szCs w:val="24"/>
                <w:highlight w:val="none"/>
              </w:rPr>
              <w:t>分，</w:t>
            </w:r>
            <w:r>
              <w:rPr>
                <w:rFonts w:hint="eastAsia" w:hAnsi="宋体" w:cs="宋体"/>
                <w:sz w:val="24"/>
                <w:szCs w:val="24"/>
                <w:highlight w:val="none"/>
                <w:lang w:val="en-US" w:eastAsia="zh-CN"/>
              </w:rPr>
              <w:t>基本符合</w:t>
            </w:r>
            <w:r>
              <w:rPr>
                <w:rFonts w:hint="eastAsia" w:ascii="宋体" w:hAnsi="宋体" w:cs="宋体"/>
                <w:sz w:val="24"/>
                <w:szCs w:val="24"/>
                <w:highlight w:val="none"/>
              </w:rPr>
              <w:t>得</w:t>
            </w:r>
            <w:r>
              <w:rPr>
                <w:rFonts w:hint="eastAsia" w:hAnsi="宋体" w:cs="宋体"/>
                <w:sz w:val="24"/>
                <w:szCs w:val="24"/>
                <w:highlight w:val="none"/>
                <w:lang w:val="en-US" w:eastAsia="zh-CN"/>
              </w:rPr>
              <w:t>7</w:t>
            </w:r>
            <w:r>
              <w:rPr>
                <w:rFonts w:hint="eastAsia" w:ascii="宋体" w:hAnsi="宋体" w:cs="宋体"/>
                <w:sz w:val="24"/>
                <w:szCs w:val="24"/>
                <w:highlight w:val="none"/>
              </w:rPr>
              <w:t>分，</w:t>
            </w:r>
            <w:r>
              <w:rPr>
                <w:rFonts w:hint="eastAsia" w:hAnsi="宋体" w:cs="宋体"/>
                <w:sz w:val="24"/>
                <w:szCs w:val="24"/>
                <w:highlight w:val="none"/>
                <w:lang w:val="en-US" w:eastAsia="zh-CN"/>
              </w:rPr>
              <w:t>不符合</w:t>
            </w:r>
            <w:r>
              <w:rPr>
                <w:rFonts w:hint="eastAsia" w:ascii="宋体" w:hAnsi="宋体" w:cs="宋体"/>
                <w:sz w:val="24"/>
                <w:szCs w:val="24"/>
                <w:highlight w:val="none"/>
              </w:rPr>
              <w:t>得</w:t>
            </w:r>
            <w:r>
              <w:rPr>
                <w:rFonts w:hint="eastAsia" w:hAnsi="宋体" w:cs="宋体"/>
                <w:sz w:val="24"/>
                <w:szCs w:val="24"/>
                <w:highlight w:val="none"/>
                <w:lang w:val="en-US" w:eastAsia="zh-CN"/>
              </w:rPr>
              <w:t>0</w:t>
            </w:r>
            <w:r>
              <w:rPr>
                <w:rFonts w:hint="eastAsia" w:ascii="宋体" w:hAnsi="宋体" w:cs="宋体"/>
                <w:sz w:val="24"/>
                <w:szCs w:val="24"/>
                <w:highlight w:val="none"/>
              </w:rPr>
              <w:t>分。</w:t>
            </w:r>
          </w:p>
        </w:tc>
      </w:tr>
      <w:tr w14:paraId="7EAEB37D">
        <w:trPr>
          <w:trHeight w:val="300" w:hRule="atLeast"/>
        </w:trPr>
        <w:tc>
          <w:tcPr>
            <w:tcW w:w="1245" w:type="dxa"/>
            <w:vMerge w:val="continue"/>
            <w:tcBorders>
              <w:left w:val="single" w:color="auto" w:sz="4" w:space="0"/>
              <w:right w:val="single" w:color="auto" w:sz="4" w:space="0"/>
            </w:tcBorders>
            <w:vAlign w:val="center"/>
          </w:tcPr>
          <w:p w14:paraId="51AE3344">
            <w:pPr>
              <w:adjustRightInd w:val="0"/>
              <w:snapToGrid w:val="0"/>
              <w:spacing w:line="360" w:lineRule="auto"/>
              <w:ind w:left="-6"/>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2F0CEBFC">
            <w:pPr>
              <w:spacing w:line="360" w:lineRule="auto"/>
              <w:ind w:firstLine="0" w:firstLineChars="0"/>
              <w:jc w:val="center"/>
              <w:rPr>
                <w:rFonts w:hint="eastAsia" w:ascii="宋体" w:hAnsi="宋体"/>
                <w:sz w:val="24"/>
                <w:lang w:val="en-US" w:eastAsia="zh-CN"/>
              </w:rPr>
            </w:pPr>
            <w:r>
              <w:rPr>
                <w:rFonts w:hint="eastAsia" w:ascii="宋体" w:hAnsi="宋体"/>
                <w:sz w:val="24"/>
                <w:lang w:val="en-US" w:eastAsia="zh-CN"/>
              </w:rPr>
              <w:t>团队要求</w:t>
            </w:r>
          </w:p>
          <w:p w14:paraId="5D4CF268">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1B51A193">
            <w:pPr>
              <w:spacing w:line="360" w:lineRule="auto"/>
              <w:rPr>
                <w:rFonts w:hint="eastAsia" w:ascii="宋体" w:hAnsi="宋体"/>
                <w:color w:val="000000"/>
                <w:sz w:val="24"/>
                <w:highlight w:val="none"/>
              </w:rPr>
            </w:pPr>
            <w:r>
              <w:rPr>
                <w:rFonts w:hint="eastAsia" w:ascii="宋体" w:hAnsi="宋体"/>
                <w:color w:val="000000"/>
                <w:sz w:val="24"/>
                <w:highlight w:val="none"/>
              </w:rPr>
              <w:t>根据投标人承诺投入本项目的服务团队人数进行评审，投入1人，得1分，最高得10分。</w:t>
            </w:r>
          </w:p>
          <w:p w14:paraId="1CD89188">
            <w:pPr>
              <w:spacing w:line="360" w:lineRule="auto"/>
              <w:rPr>
                <w:rFonts w:hint="eastAsia" w:ascii="宋体" w:hAnsi="宋体"/>
                <w:color w:val="000000"/>
                <w:sz w:val="24"/>
                <w:highlight w:val="none"/>
              </w:rPr>
            </w:pPr>
            <w:r>
              <w:rPr>
                <w:rFonts w:hint="eastAsia" w:ascii="宋体" w:hAnsi="宋体"/>
                <w:color w:val="000000"/>
                <w:sz w:val="24"/>
                <w:highlight w:val="none"/>
              </w:rPr>
              <w:t>注：1.提供投标人为</w:t>
            </w:r>
            <w:r>
              <w:rPr>
                <w:rFonts w:hint="eastAsia" w:ascii="宋体" w:hAnsi="宋体"/>
                <w:color w:val="000000"/>
                <w:sz w:val="24"/>
                <w:highlight w:val="none"/>
                <w:lang w:val="en-US" w:eastAsia="zh-CN"/>
              </w:rPr>
              <w:t>团队</w:t>
            </w:r>
            <w:r>
              <w:rPr>
                <w:rFonts w:hint="eastAsia" w:ascii="宋体" w:hAnsi="宋体"/>
                <w:color w:val="000000"/>
                <w:sz w:val="24"/>
                <w:highlight w:val="none"/>
              </w:rPr>
              <w:t>人员购买的</w:t>
            </w:r>
            <w:r>
              <w:rPr>
                <w:rStyle w:val="11"/>
                <w:rFonts w:hint="eastAsia" w:ascii="宋体" w:hAnsi="宋体" w:eastAsia="宋体" w:cs="Times New Roman"/>
                <w:color w:val="000000"/>
                <w:kern w:val="2"/>
                <w:sz w:val="24"/>
                <w:highlight w:val="none"/>
              </w:rPr>
              <w:t>投标文件递交截止日前</w:t>
            </w:r>
            <w:r>
              <w:rPr>
                <w:rFonts w:hint="eastAsia" w:ascii="宋体" w:hAnsi="宋体"/>
                <w:color w:val="000000"/>
                <w:sz w:val="24"/>
                <w:highlight w:val="none"/>
              </w:rPr>
              <w:t>任意1个月社保或劳动合同扫描件，否则不得分。</w:t>
            </w:r>
          </w:p>
          <w:p w14:paraId="4BAF10E4">
            <w:pPr>
              <w:spacing w:line="360" w:lineRule="auto"/>
              <w:rPr>
                <w:rFonts w:hint="eastAsia"/>
                <w:lang w:val="en-US" w:eastAsia="zh-CN"/>
              </w:rPr>
            </w:pPr>
            <w:r>
              <w:rPr>
                <w:rFonts w:hint="eastAsia" w:ascii="宋体" w:hAnsi="宋体"/>
                <w:color w:val="000000"/>
                <w:sz w:val="24"/>
                <w:highlight w:val="none"/>
              </w:rPr>
              <w:t>2.承诺函（承诺函格式自拟，内容须体现所承诺投入本项目的服务团队人员姓名和负责服务内容）并加盖投标人公章，未按要求提供承诺函，或提供的承诺函未体现上述内容的不得分。</w:t>
            </w:r>
          </w:p>
        </w:tc>
      </w:tr>
      <w:tr w14:paraId="7B623C0D">
        <w:trPr>
          <w:trHeight w:val="300" w:hRule="atLeast"/>
        </w:trPr>
        <w:tc>
          <w:tcPr>
            <w:tcW w:w="1245" w:type="dxa"/>
            <w:vMerge w:val="continue"/>
            <w:tcBorders>
              <w:left w:val="single" w:color="auto" w:sz="4" w:space="0"/>
              <w:right w:val="single" w:color="auto" w:sz="4" w:space="0"/>
            </w:tcBorders>
            <w:vAlign w:val="center"/>
          </w:tcPr>
          <w:p w14:paraId="6A75566E">
            <w:pPr>
              <w:adjustRightInd w:val="0"/>
              <w:snapToGrid w:val="0"/>
              <w:spacing w:line="360" w:lineRule="auto"/>
              <w:ind w:left="-6"/>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509859B0">
            <w:pPr>
              <w:spacing w:line="360" w:lineRule="auto"/>
              <w:jc w:val="center"/>
              <w:rPr>
                <w:rFonts w:hint="eastAsia" w:ascii="宋体" w:hAnsi="宋体"/>
                <w:sz w:val="24"/>
                <w:lang w:val="en-US" w:eastAsia="zh-CN"/>
              </w:rPr>
            </w:pPr>
            <w:r>
              <w:rPr>
                <w:rFonts w:hint="eastAsia" w:ascii="宋体" w:hAnsi="宋体"/>
                <w:sz w:val="24"/>
              </w:rPr>
              <w:t>服务</w:t>
            </w:r>
            <w:r>
              <w:rPr>
                <w:rFonts w:hint="eastAsia" w:ascii="宋体" w:hAnsi="宋体"/>
                <w:sz w:val="24"/>
                <w:lang w:val="en-US" w:eastAsia="zh-CN"/>
              </w:rPr>
              <w:t>承诺</w:t>
            </w:r>
          </w:p>
          <w:p w14:paraId="08A5E9C3">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20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792B6619">
            <w:pPr>
              <w:spacing w:line="360" w:lineRule="auto"/>
              <w:rPr>
                <w:rFonts w:hint="eastAsia" w:ascii="宋体" w:hAnsi="宋体"/>
                <w:color w:val="000000"/>
                <w:sz w:val="24"/>
                <w:highlight w:val="none"/>
              </w:rPr>
            </w:pPr>
            <w:r>
              <w:rPr>
                <w:rFonts w:hint="eastAsia" w:ascii="宋体" w:hAnsi="宋体"/>
                <w:color w:val="000000"/>
                <w:sz w:val="24"/>
                <w:highlight w:val="none"/>
              </w:rPr>
              <w:t>投标人承诺在接到采购人服务需求</w:t>
            </w:r>
            <w:r>
              <w:rPr>
                <w:rFonts w:hint="eastAsia" w:ascii="宋体" w:hAnsi="宋体"/>
                <w:color w:val="000000"/>
                <w:sz w:val="24"/>
                <w:highlight w:val="none"/>
                <w:lang w:val="en-US" w:eastAsia="zh-CN"/>
              </w:rPr>
              <w:t>2</w:t>
            </w:r>
            <w:r>
              <w:rPr>
                <w:rFonts w:hint="eastAsia" w:ascii="宋体" w:hAnsi="宋体"/>
                <w:color w:val="000000"/>
                <w:sz w:val="24"/>
                <w:highlight w:val="none"/>
              </w:rPr>
              <w:t>小时内赶到现场处理的，得20分；承诺在</w:t>
            </w:r>
            <w:r>
              <w:rPr>
                <w:rFonts w:hint="eastAsia" w:ascii="宋体" w:hAnsi="宋体"/>
                <w:color w:val="000000"/>
                <w:sz w:val="24"/>
                <w:highlight w:val="none"/>
                <w:lang w:val="en-US" w:eastAsia="zh-CN"/>
              </w:rPr>
              <w:t>3</w:t>
            </w:r>
            <w:r>
              <w:rPr>
                <w:rFonts w:hint="eastAsia" w:ascii="宋体" w:hAnsi="宋体"/>
                <w:color w:val="000000"/>
                <w:sz w:val="24"/>
                <w:highlight w:val="none"/>
              </w:rPr>
              <w:t>小时内赶到现场处理的，得10分；承诺在4小时内赶到现场处理，得5分；其他情况不得分。</w:t>
            </w:r>
          </w:p>
          <w:p w14:paraId="74D34100">
            <w:pPr>
              <w:spacing w:line="360" w:lineRule="auto"/>
              <w:rPr>
                <w:rFonts w:ascii="宋体" w:hAnsi="宋体" w:eastAsia="宋体" w:cs="Times New Roman"/>
                <w:kern w:val="2"/>
                <w:sz w:val="24"/>
                <w:szCs w:val="24"/>
                <w:lang w:val="en-US" w:eastAsia="zh-CN" w:bidi="ar-SA"/>
              </w:rPr>
            </w:pPr>
            <w:r>
              <w:rPr>
                <w:rFonts w:hint="eastAsia" w:ascii="宋体" w:hAnsi="宋体" w:cs="宋体"/>
                <w:b w:val="0"/>
                <w:bCs w:val="0"/>
                <w:sz w:val="24"/>
                <w:highlight w:val="none"/>
              </w:rPr>
              <w:t>注：需提供服务响应时间承诺（承诺函格式自拟并加盖</w:t>
            </w:r>
            <w:r>
              <w:rPr>
                <w:rFonts w:hint="eastAsia" w:ascii="宋体" w:hAnsi="宋体" w:eastAsia="宋体" w:cs="宋体"/>
                <w:sz w:val="24"/>
                <w:highlight w:val="none"/>
              </w:rPr>
              <w:t>投标人</w:t>
            </w:r>
            <w:r>
              <w:rPr>
                <w:rFonts w:hint="eastAsia" w:ascii="宋体" w:hAnsi="宋体" w:cs="宋体"/>
                <w:b w:val="0"/>
                <w:bCs w:val="0"/>
                <w:sz w:val="24"/>
                <w:highlight w:val="none"/>
              </w:rPr>
              <w:t>公章），未提供或提供的资料不符合要求的，不得分。</w:t>
            </w:r>
          </w:p>
        </w:tc>
      </w:tr>
      <w:tr w14:paraId="6540A653">
        <w:trPr>
          <w:trHeight w:val="614" w:hRule="atLeast"/>
        </w:trPr>
        <w:tc>
          <w:tcPr>
            <w:tcW w:w="9615" w:type="dxa"/>
            <w:gridSpan w:val="3"/>
            <w:tcBorders>
              <w:left w:val="single" w:color="auto" w:sz="4" w:space="0"/>
              <w:right w:val="single" w:color="auto" w:sz="4" w:space="0"/>
            </w:tcBorders>
            <w:vAlign w:val="center"/>
          </w:tcPr>
          <w:p w14:paraId="5A293806">
            <w:pPr>
              <w:spacing w:line="360" w:lineRule="auto"/>
              <w:jc w:val="center"/>
              <w:rPr>
                <w:rFonts w:ascii="宋体" w:hAnsi="宋体"/>
                <w:sz w:val="24"/>
              </w:rPr>
            </w:pPr>
            <w:r>
              <w:rPr>
                <w:rFonts w:hint="eastAsia" w:ascii="宋体" w:hAnsi="宋体"/>
                <w:b/>
                <w:bCs/>
                <w:sz w:val="24"/>
              </w:rPr>
              <w:t>2、商务部分（40）</w:t>
            </w:r>
          </w:p>
        </w:tc>
      </w:tr>
      <w:tr w14:paraId="1C4DD19D">
        <w:trPr>
          <w:trHeight w:val="2547" w:hRule="atLeast"/>
        </w:trPr>
        <w:tc>
          <w:tcPr>
            <w:tcW w:w="1245" w:type="dxa"/>
            <w:tcBorders>
              <w:top w:val="single" w:color="auto" w:sz="4" w:space="0"/>
              <w:left w:val="single" w:color="auto" w:sz="4" w:space="0"/>
              <w:right w:val="single" w:color="auto" w:sz="4" w:space="0"/>
            </w:tcBorders>
            <w:vAlign w:val="center"/>
          </w:tcPr>
          <w:p w14:paraId="7999D3F7">
            <w:pPr>
              <w:widowControl/>
              <w:spacing w:line="360" w:lineRule="auto"/>
              <w:jc w:val="left"/>
              <w:rPr>
                <w:rFonts w:ascii="宋体" w:hAnsi="宋体"/>
                <w:sz w:val="24"/>
              </w:rPr>
            </w:pPr>
            <w:r>
              <w:rPr>
                <w:rFonts w:hint="eastAsia" w:ascii="宋体" w:hAnsi="宋体"/>
                <w:sz w:val="24"/>
                <w:lang w:val="en-US" w:eastAsia="zh-CN"/>
              </w:rPr>
              <w:t>运维服务能力</w:t>
            </w:r>
            <w:r>
              <w:rPr>
                <w:rFonts w:hint="eastAsia" w:ascii="宋体" w:hAnsi="宋体"/>
                <w:sz w:val="24"/>
              </w:rPr>
              <w:t>（40分）</w:t>
            </w:r>
          </w:p>
        </w:tc>
        <w:tc>
          <w:tcPr>
            <w:tcW w:w="1760" w:type="dxa"/>
            <w:tcBorders>
              <w:top w:val="single" w:color="auto" w:sz="4" w:space="0"/>
              <w:left w:val="single" w:color="auto" w:sz="4" w:space="0"/>
              <w:right w:val="single" w:color="auto" w:sz="4" w:space="0"/>
            </w:tcBorders>
            <w:shd w:val="clear" w:color="auto" w:fill="auto"/>
            <w:vAlign w:val="center"/>
          </w:tcPr>
          <w:p w14:paraId="185A8628">
            <w:pPr>
              <w:spacing w:line="360" w:lineRule="auto"/>
              <w:jc w:val="center"/>
              <w:rPr>
                <w:rFonts w:hint="eastAsia" w:ascii="宋体" w:hAnsi="宋体"/>
                <w:sz w:val="24"/>
              </w:rPr>
            </w:pPr>
            <w:r>
              <w:rPr>
                <w:rFonts w:hint="eastAsia" w:ascii="宋体" w:hAnsi="宋体"/>
                <w:sz w:val="24"/>
              </w:rPr>
              <w:t>类似经验</w:t>
            </w:r>
          </w:p>
          <w:p w14:paraId="6AEB7DE6">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w:t>
            </w:r>
            <w:r>
              <w:rPr>
                <w:rFonts w:hint="eastAsia" w:ascii="宋体" w:hAnsi="宋体"/>
                <w:sz w:val="24"/>
                <w:lang w:val="en-US" w:eastAsia="zh-CN"/>
              </w:rPr>
              <w:t>40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shd w:val="clear" w:color="auto" w:fill="auto"/>
            <w:vAlign w:val="center"/>
          </w:tcPr>
          <w:p w14:paraId="717A5217">
            <w:pPr>
              <w:widowControl/>
              <w:spacing w:line="360" w:lineRule="auto"/>
              <w:rPr>
                <w:rFonts w:ascii="宋体" w:hAnsi="宋体"/>
                <w:sz w:val="24"/>
              </w:rPr>
            </w:pPr>
            <w:r>
              <w:rPr>
                <w:rFonts w:hint="eastAsia" w:ascii="宋体" w:hAnsi="宋体"/>
                <w:sz w:val="24"/>
              </w:rPr>
              <w:t>投标人承接过</w:t>
            </w:r>
            <w:r>
              <w:rPr>
                <w:rFonts w:hint="eastAsia" w:ascii="宋体" w:hAnsi="宋体"/>
                <w:sz w:val="24"/>
                <w:lang w:val="en-US" w:eastAsia="zh-CN"/>
              </w:rPr>
              <w:t>房地产领域信息系统及住房保障管理平台</w:t>
            </w:r>
            <w:r>
              <w:rPr>
                <w:rFonts w:hint="eastAsia" w:ascii="宋体" w:hAnsi="宋体"/>
                <w:sz w:val="24"/>
              </w:rPr>
              <w:t>等相关</w:t>
            </w:r>
            <w:r>
              <w:rPr>
                <w:rFonts w:hint="eastAsia" w:ascii="宋体" w:hAnsi="宋体"/>
                <w:sz w:val="24"/>
                <w:lang w:val="en-US" w:eastAsia="zh-CN"/>
              </w:rPr>
              <w:t>运维或运营服务项目</w:t>
            </w:r>
            <w:r>
              <w:rPr>
                <w:rFonts w:hint="eastAsia" w:ascii="宋体" w:hAnsi="宋体"/>
                <w:sz w:val="24"/>
              </w:rPr>
              <w:t>，每个合同得</w:t>
            </w:r>
            <w:r>
              <w:rPr>
                <w:rFonts w:hint="eastAsia" w:ascii="宋体" w:hAnsi="宋体"/>
                <w:sz w:val="24"/>
                <w:lang w:val="en-US" w:eastAsia="zh-CN"/>
              </w:rPr>
              <w:t>4</w:t>
            </w:r>
            <w:r>
              <w:rPr>
                <w:rFonts w:hint="eastAsia" w:ascii="宋体" w:hAnsi="宋体"/>
                <w:sz w:val="24"/>
              </w:rPr>
              <w:t>分，最高得</w:t>
            </w:r>
            <w:r>
              <w:rPr>
                <w:rFonts w:hint="eastAsia" w:ascii="宋体" w:hAnsi="宋体"/>
                <w:sz w:val="24"/>
                <w:lang w:val="en-US" w:eastAsia="zh-CN"/>
              </w:rPr>
              <w:t>40</w:t>
            </w:r>
            <w:r>
              <w:rPr>
                <w:rFonts w:hint="eastAsia" w:ascii="宋体" w:hAnsi="宋体"/>
                <w:sz w:val="24"/>
              </w:rPr>
              <w:t>分。</w:t>
            </w:r>
          </w:p>
          <w:p w14:paraId="50C2826C">
            <w:pPr>
              <w:widowControl/>
              <w:spacing w:line="360" w:lineRule="auto"/>
              <w:rPr>
                <w:rFonts w:ascii="宋体" w:hAnsi="宋体" w:eastAsia="宋体" w:cs="Times New Roman"/>
                <w:kern w:val="2"/>
                <w:sz w:val="24"/>
                <w:szCs w:val="24"/>
                <w:lang w:val="en-US" w:eastAsia="zh-CN" w:bidi="ar-SA"/>
              </w:rPr>
            </w:pPr>
            <w:r>
              <w:rPr>
                <w:rFonts w:hint="eastAsia" w:ascii="宋体" w:hAnsi="宋体"/>
                <w:sz w:val="24"/>
              </w:rPr>
              <w:t>注：证明材料为合同，投标文件提供合同关键页复印件并加盖投标人公章，合同必须为投标人单位名称签订，否则不得分。</w:t>
            </w:r>
          </w:p>
        </w:tc>
      </w:tr>
      <w:tr w14:paraId="04BB4BC7">
        <w:trPr>
          <w:trHeight w:val="659" w:hRule="atLeast"/>
        </w:trPr>
        <w:tc>
          <w:tcPr>
            <w:tcW w:w="9615" w:type="dxa"/>
            <w:gridSpan w:val="3"/>
            <w:tcBorders>
              <w:left w:val="single" w:color="auto" w:sz="4" w:space="0"/>
              <w:right w:val="single" w:color="auto" w:sz="4" w:space="0"/>
            </w:tcBorders>
            <w:vAlign w:val="center"/>
          </w:tcPr>
          <w:p w14:paraId="48794AA1">
            <w:pPr>
              <w:keepNext/>
              <w:keepLines/>
              <w:spacing w:before="100" w:line="360" w:lineRule="auto"/>
              <w:ind w:firstLine="0" w:firstLineChars="0"/>
              <w:jc w:val="center"/>
              <w:rPr>
                <w:rFonts w:ascii="仿宋" w:hAnsi="仿宋" w:eastAsia="仿宋" w:cs="宋体"/>
                <w:b/>
                <w:sz w:val="24"/>
              </w:rPr>
            </w:pPr>
            <w:bookmarkStart w:id="0" w:name="_Toc496095010"/>
            <w:bookmarkStart w:id="1" w:name="_Toc20642"/>
            <w:bookmarkStart w:id="2" w:name="_Toc496618262"/>
            <w:bookmarkStart w:id="3" w:name="_Toc13547"/>
            <w:r>
              <w:rPr>
                <w:rFonts w:hint="eastAsia" w:ascii="宋体" w:hAnsi="宋体"/>
                <w:b/>
                <w:bCs/>
                <w:sz w:val="24"/>
              </w:rPr>
              <w:t>3、</w:t>
            </w:r>
            <w:r>
              <w:rPr>
                <w:rFonts w:hint="eastAsia" w:ascii="宋体" w:hAnsi="宋体"/>
                <w:b/>
                <w:bCs/>
                <w:sz w:val="24"/>
                <w:lang w:val="zh-CN"/>
              </w:rPr>
              <w:t>经济价格指标评（10分）</w:t>
            </w:r>
            <w:bookmarkEnd w:id="0"/>
            <w:bookmarkEnd w:id="1"/>
            <w:bookmarkEnd w:id="2"/>
            <w:bookmarkEnd w:id="3"/>
          </w:p>
        </w:tc>
      </w:tr>
      <w:tr w14:paraId="3F0EED2A">
        <w:trPr>
          <w:trHeight w:val="569" w:hRule="atLeast"/>
        </w:trPr>
        <w:tc>
          <w:tcPr>
            <w:tcW w:w="1245" w:type="dxa"/>
            <w:tcBorders>
              <w:left w:val="single" w:color="auto" w:sz="4" w:space="0"/>
              <w:right w:val="single" w:color="auto" w:sz="4" w:space="0"/>
            </w:tcBorders>
            <w:vAlign w:val="center"/>
          </w:tcPr>
          <w:p w14:paraId="072B0A0D">
            <w:pPr>
              <w:spacing w:line="400" w:lineRule="exact"/>
              <w:jc w:val="center"/>
              <w:rPr>
                <w:rFonts w:ascii="仿宋" w:hAnsi="仿宋" w:eastAsia="仿宋" w:cs="宋体"/>
                <w:sz w:val="24"/>
              </w:rPr>
            </w:pPr>
            <w:r>
              <w:rPr>
                <w:rFonts w:hint="eastAsia" w:ascii="宋体" w:hAnsi="宋体"/>
                <w:sz w:val="24"/>
              </w:rPr>
              <w:t>评审指标</w:t>
            </w:r>
          </w:p>
        </w:tc>
        <w:tc>
          <w:tcPr>
            <w:tcW w:w="1760" w:type="dxa"/>
            <w:tcBorders>
              <w:left w:val="single" w:color="auto" w:sz="4" w:space="0"/>
              <w:right w:val="single" w:color="auto" w:sz="4" w:space="0"/>
            </w:tcBorders>
            <w:vAlign w:val="center"/>
          </w:tcPr>
          <w:p w14:paraId="391920AE">
            <w:pPr>
              <w:spacing w:line="400" w:lineRule="exact"/>
              <w:jc w:val="center"/>
              <w:rPr>
                <w:rFonts w:ascii="仿宋" w:hAnsi="仿宋" w:eastAsia="仿宋" w:cs="宋体"/>
                <w:sz w:val="24"/>
              </w:rPr>
            </w:pPr>
            <w:r>
              <w:rPr>
                <w:rFonts w:hint="eastAsia" w:ascii="宋体" w:hAnsi="宋体"/>
                <w:sz w:val="24"/>
              </w:rPr>
              <w:t>分值</w:t>
            </w:r>
          </w:p>
        </w:tc>
        <w:tc>
          <w:tcPr>
            <w:tcW w:w="6610" w:type="dxa"/>
            <w:tcBorders>
              <w:top w:val="single" w:color="auto" w:sz="4" w:space="0"/>
              <w:left w:val="single" w:color="auto" w:sz="4" w:space="0"/>
              <w:bottom w:val="single" w:color="auto" w:sz="4" w:space="0"/>
              <w:right w:val="single" w:color="auto" w:sz="4" w:space="0"/>
            </w:tcBorders>
            <w:vAlign w:val="center"/>
          </w:tcPr>
          <w:p w14:paraId="1B7D9756">
            <w:pPr>
              <w:spacing w:line="400" w:lineRule="exact"/>
              <w:jc w:val="center"/>
              <w:rPr>
                <w:rFonts w:ascii="仿宋" w:hAnsi="仿宋" w:eastAsia="仿宋" w:cs="宋体"/>
                <w:b/>
                <w:sz w:val="24"/>
              </w:rPr>
            </w:pPr>
            <w:r>
              <w:rPr>
                <w:rFonts w:hint="eastAsia" w:ascii="宋体" w:hAnsi="宋体"/>
                <w:sz w:val="24"/>
              </w:rPr>
              <w:t>评分细则及分值范围</w:t>
            </w:r>
          </w:p>
        </w:tc>
      </w:tr>
      <w:tr w14:paraId="3870335D">
        <w:trPr>
          <w:trHeight w:val="849" w:hRule="atLeast"/>
        </w:trPr>
        <w:tc>
          <w:tcPr>
            <w:tcW w:w="1245" w:type="dxa"/>
            <w:tcBorders>
              <w:left w:val="single" w:color="auto" w:sz="4" w:space="0"/>
              <w:right w:val="single" w:color="auto" w:sz="4" w:space="0"/>
            </w:tcBorders>
            <w:vAlign w:val="center"/>
          </w:tcPr>
          <w:p w14:paraId="24520585">
            <w:pPr>
              <w:spacing w:line="360" w:lineRule="auto"/>
              <w:rPr>
                <w:rFonts w:ascii="仿宋" w:hAnsi="仿宋" w:eastAsia="仿宋" w:cs="宋体"/>
                <w:sz w:val="24"/>
              </w:rPr>
            </w:pPr>
            <w:r>
              <w:rPr>
                <w:rFonts w:hint="eastAsia" w:ascii="宋体" w:hAnsi="宋体"/>
                <w:sz w:val="24"/>
              </w:rPr>
              <w:t>经济价格</w:t>
            </w:r>
          </w:p>
        </w:tc>
        <w:tc>
          <w:tcPr>
            <w:tcW w:w="1760" w:type="dxa"/>
            <w:tcBorders>
              <w:left w:val="single" w:color="auto" w:sz="4" w:space="0"/>
              <w:right w:val="single" w:color="auto" w:sz="4" w:space="0"/>
            </w:tcBorders>
            <w:vAlign w:val="center"/>
          </w:tcPr>
          <w:p w14:paraId="58097EE4">
            <w:pPr>
              <w:spacing w:line="360" w:lineRule="auto"/>
              <w:jc w:val="center"/>
              <w:rPr>
                <w:rFonts w:ascii="仿宋" w:hAnsi="仿宋" w:eastAsia="仿宋" w:cs="宋体"/>
                <w:sz w:val="24"/>
              </w:rPr>
            </w:pPr>
            <w:r>
              <w:rPr>
                <w:rFonts w:hint="eastAsia" w:ascii="宋体" w:hAnsi="宋体"/>
                <w:sz w:val="24"/>
                <w:lang w:val="en-US" w:eastAsia="zh-CN"/>
              </w:rPr>
              <w:t>10</w:t>
            </w:r>
            <w:r>
              <w:rPr>
                <w:rFonts w:hint="eastAsia" w:ascii="宋体" w:hAnsi="宋体"/>
                <w:sz w:val="24"/>
              </w:rPr>
              <w:t>分</w:t>
            </w:r>
          </w:p>
        </w:tc>
        <w:tc>
          <w:tcPr>
            <w:tcW w:w="6610" w:type="dxa"/>
            <w:tcBorders>
              <w:top w:val="single" w:color="auto" w:sz="4" w:space="0"/>
              <w:left w:val="single" w:color="auto" w:sz="4" w:space="0"/>
              <w:bottom w:val="single" w:color="auto" w:sz="4" w:space="0"/>
              <w:right w:val="single" w:color="auto" w:sz="4" w:space="0"/>
            </w:tcBorders>
            <w:vAlign w:val="center"/>
          </w:tcPr>
          <w:p w14:paraId="11ED641D">
            <w:pPr>
              <w:spacing w:line="400" w:lineRule="exact"/>
              <w:rPr>
                <w:rFonts w:ascii="宋体" w:hAnsi="宋体"/>
                <w:sz w:val="24"/>
              </w:rPr>
            </w:pPr>
            <w:r>
              <w:rPr>
                <w:rFonts w:hint="eastAsia" w:ascii="宋体" w:hAnsi="宋体"/>
                <w:sz w:val="24"/>
              </w:rPr>
              <w:t>经济价格标得分=(评标基准价/投标报价)×100×</w:t>
            </w:r>
            <w:r>
              <w:rPr>
                <w:rFonts w:hint="eastAsia" w:ascii="宋体" w:hAnsi="宋体"/>
                <w:sz w:val="24"/>
                <w:lang w:val="en-US" w:eastAsia="zh-CN"/>
              </w:rPr>
              <w:t>1</w:t>
            </w:r>
            <w:r>
              <w:rPr>
                <w:rFonts w:hint="eastAsia" w:ascii="宋体" w:hAnsi="宋体"/>
                <w:sz w:val="24"/>
              </w:rPr>
              <w:t>0%</w:t>
            </w:r>
          </w:p>
          <w:p w14:paraId="55C3E847">
            <w:pPr>
              <w:spacing w:line="360" w:lineRule="auto"/>
              <w:rPr>
                <w:rFonts w:ascii="仿宋" w:hAnsi="仿宋" w:eastAsia="仿宋" w:cs="宋体"/>
                <w:b/>
                <w:sz w:val="24"/>
              </w:rPr>
            </w:pPr>
            <w:r>
              <w:rPr>
                <w:rFonts w:hint="eastAsia" w:ascii="宋体" w:hAnsi="宋体"/>
                <w:sz w:val="24"/>
              </w:rPr>
              <w:t>上述公式中的“评标基准价”是指满足</w:t>
            </w:r>
            <w:r>
              <w:rPr>
                <w:rFonts w:hint="eastAsia" w:ascii="宋体" w:hAnsi="宋体"/>
                <w:sz w:val="24"/>
                <w:lang w:val="en-US" w:eastAsia="zh-CN"/>
              </w:rPr>
              <w:t>项目采购需求</w:t>
            </w:r>
            <w:r>
              <w:rPr>
                <w:rFonts w:hint="eastAsia" w:ascii="宋体" w:hAnsi="宋体"/>
                <w:sz w:val="24"/>
              </w:rPr>
              <w:t>且经评审后的最低评审价格，其价格分为满分。上述公式中的“投标报价”是指经评审后的投标报价。</w:t>
            </w:r>
          </w:p>
        </w:tc>
      </w:tr>
    </w:tbl>
    <w:p w14:paraId="55382C4E">
      <w:pPr>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747907"/>
      <w:docPartObj>
        <w:docPartGallery w:val="autotext"/>
      </w:docPartObj>
    </w:sdtPr>
    <w:sdtContent>
      <w:p w14:paraId="59CB07D0">
        <w:pPr>
          <w:pStyle w:val="6"/>
          <w:jc w:val="center"/>
        </w:pPr>
        <w:r>
          <w:fldChar w:fldCharType="begin"/>
        </w:r>
        <w:r>
          <w:instrText xml:space="preserve">PAGE   \* MERGEFORMAT</w:instrText>
        </w:r>
        <w:r>
          <w:fldChar w:fldCharType="separate"/>
        </w:r>
        <w:r>
          <w:rPr>
            <w:lang w:val="zh-CN"/>
          </w:rPr>
          <w:t>2</w:t>
        </w:r>
        <w:r>
          <w:fldChar w:fldCharType="end"/>
        </w:r>
      </w:p>
    </w:sdtContent>
  </w:sdt>
  <w:p w14:paraId="4B09F3B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D9AB7"/>
    <w:multiLevelType w:val="singleLevel"/>
    <w:tmpl w:val="80DD9A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2Y5MTMyMTcxZTVhNDUxMTQ4MWI5NzRhMjQzOWYifQ=="/>
  </w:docVars>
  <w:rsids>
    <w:rsidRoot w:val="0017274B"/>
    <w:rsid w:val="00025749"/>
    <w:rsid w:val="0005174D"/>
    <w:rsid w:val="000B5BB5"/>
    <w:rsid w:val="000B7D95"/>
    <w:rsid w:val="00103C68"/>
    <w:rsid w:val="0013474C"/>
    <w:rsid w:val="0017274B"/>
    <w:rsid w:val="001930E7"/>
    <w:rsid w:val="001E209E"/>
    <w:rsid w:val="0020242C"/>
    <w:rsid w:val="00223C47"/>
    <w:rsid w:val="002577F7"/>
    <w:rsid w:val="002B5B41"/>
    <w:rsid w:val="002D5D6B"/>
    <w:rsid w:val="00365A11"/>
    <w:rsid w:val="003D50E9"/>
    <w:rsid w:val="005017C0"/>
    <w:rsid w:val="0061662D"/>
    <w:rsid w:val="0062728A"/>
    <w:rsid w:val="006707A6"/>
    <w:rsid w:val="00673B37"/>
    <w:rsid w:val="00721168"/>
    <w:rsid w:val="008000A8"/>
    <w:rsid w:val="0080380F"/>
    <w:rsid w:val="00824649"/>
    <w:rsid w:val="0086446B"/>
    <w:rsid w:val="00872C8F"/>
    <w:rsid w:val="008938A7"/>
    <w:rsid w:val="009314DC"/>
    <w:rsid w:val="00952BA9"/>
    <w:rsid w:val="009C4897"/>
    <w:rsid w:val="00AC7064"/>
    <w:rsid w:val="00AF2D67"/>
    <w:rsid w:val="00BB0FAA"/>
    <w:rsid w:val="00BD506B"/>
    <w:rsid w:val="00D70537"/>
    <w:rsid w:val="00D858E9"/>
    <w:rsid w:val="00DA594B"/>
    <w:rsid w:val="00DC101A"/>
    <w:rsid w:val="00E93C7D"/>
    <w:rsid w:val="00EC1AE9"/>
    <w:rsid w:val="00ED2605"/>
    <w:rsid w:val="00F31ED3"/>
    <w:rsid w:val="00F36F67"/>
    <w:rsid w:val="00F4427E"/>
    <w:rsid w:val="00FF78BB"/>
    <w:rsid w:val="07C71432"/>
    <w:rsid w:val="0887371F"/>
    <w:rsid w:val="08FD2E32"/>
    <w:rsid w:val="093F3355"/>
    <w:rsid w:val="0D935970"/>
    <w:rsid w:val="15770D31"/>
    <w:rsid w:val="18BE6E88"/>
    <w:rsid w:val="226574EF"/>
    <w:rsid w:val="22C91E20"/>
    <w:rsid w:val="297C2B13"/>
    <w:rsid w:val="2AAB1046"/>
    <w:rsid w:val="2EC17EC2"/>
    <w:rsid w:val="2F866DEF"/>
    <w:rsid w:val="301E34B8"/>
    <w:rsid w:val="328B5842"/>
    <w:rsid w:val="33730FAB"/>
    <w:rsid w:val="34907373"/>
    <w:rsid w:val="355C275C"/>
    <w:rsid w:val="39550235"/>
    <w:rsid w:val="3A9705AC"/>
    <w:rsid w:val="3B9207DF"/>
    <w:rsid w:val="3BF74C67"/>
    <w:rsid w:val="439238FA"/>
    <w:rsid w:val="441F5D36"/>
    <w:rsid w:val="45F076DA"/>
    <w:rsid w:val="472B0A76"/>
    <w:rsid w:val="4AC30FB8"/>
    <w:rsid w:val="4BAF71E2"/>
    <w:rsid w:val="4E9E34D8"/>
    <w:rsid w:val="4F6E6F82"/>
    <w:rsid w:val="50AA2ED0"/>
    <w:rsid w:val="50E952CC"/>
    <w:rsid w:val="52F96AF8"/>
    <w:rsid w:val="53DE35E3"/>
    <w:rsid w:val="54AA7276"/>
    <w:rsid w:val="56883D1B"/>
    <w:rsid w:val="5AC14087"/>
    <w:rsid w:val="5AC346F6"/>
    <w:rsid w:val="5C026392"/>
    <w:rsid w:val="60975D06"/>
    <w:rsid w:val="6773320D"/>
    <w:rsid w:val="67BD6B66"/>
    <w:rsid w:val="68C3403E"/>
    <w:rsid w:val="69DF5058"/>
    <w:rsid w:val="6D096532"/>
    <w:rsid w:val="6D2C4979"/>
    <w:rsid w:val="70715169"/>
    <w:rsid w:val="72BE2DB6"/>
    <w:rsid w:val="72EE6B71"/>
    <w:rsid w:val="77EF532A"/>
    <w:rsid w:val="7AEA70B6"/>
    <w:rsid w:val="7BE161B8"/>
    <w:rsid w:val="7E321E1A"/>
    <w:rsid w:val="7FA5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3">
    <w:name w:val="Body Text"/>
    <w:basedOn w:val="1"/>
    <w:next w:val="1"/>
    <w:link w:val="17"/>
    <w:semiHidden/>
    <w:unhideWhenUsed/>
    <w:qFormat/>
    <w:uiPriority w:val="99"/>
    <w:pPr>
      <w:spacing w:after="120"/>
    </w:pPr>
  </w:style>
  <w:style w:type="paragraph" w:styleId="4">
    <w:name w:val="Body Text Indent"/>
    <w:basedOn w:val="1"/>
    <w:link w:val="12"/>
    <w:semiHidden/>
    <w:unhideWhenUsed/>
    <w:qFormat/>
    <w:uiPriority w:val="99"/>
    <w:pPr>
      <w:spacing w:after="120"/>
      <w:ind w:left="420" w:leftChars="200"/>
    </w:pPr>
  </w:style>
  <w:style w:type="paragraph" w:styleId="5">
    <w:name w:val="Plain Text"/>
    <w:basedOn w:val="1"/>
    <w:link w:val="14"/>
    <w:unhideWhenUsed/>
    <w:qFormat/>
    <w:uiPriority w:val="0"/>
    <w:rPr>
      <w:rFonts w:hAnsi="Courier New" w:cs="Courier New" w:asciiTheme="minorEastAsia" w:eastAsiaTheme="minorEastAsia"/>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link w:val="18"/>
    <w:unhideWhenUsed/>
    <w:qFormat/>
    <w:uiPriority w:val="99"/>
    <w:pPr>
      <w:ind w:firstLine="420" w:firstLineChars="100"/>
    </w:pPr>
    <w:rPr>
      <w:rFonts w:ascii="Calibri" w:hAnsi="Calibri"/>
    </w:rPr>
  </w:style>
  <w:style w:type="paragraph" w:styleId="9">
    <w:name w:val="Body Text First Indent 2"/>
    <w:basedOn w:val="4"/>
    <w:link w:val="13"/>
    <w:qFormat/>
    <w:uiPriority w:val="0"/>
    <w:pPr>
      <w:adjustRightInd w:val="0"/>
      <w:snapToGrid w:val="0"/>
      <w:spacing w:after="0" w:line="360" w:lineRule="auto"/>
      <w:ind w:left="0" w:leftChars="0" w:firstLine="420" w:firstLineChars="200"/>
    </w:pPr>
  </w:style>
  <w:style w:type="character" w:customStyle="1" w:styleId="12">
    <w:name w:val="正文文本缩进 字符"/>
    <w:basedOn w:val="11"/>
    <w:link w:val="4"/>
    <w:semiHidden/>
    <w:qFormat/>
    <w:uiPriority w:val="99"/>
    <w:rPr>
      <w:rFonts w:ascii="Times New Roman" w:hAnsi="Times New Roman" w:eastAsia="宋体" w:cs="Times New Roman"/>
      <w:szCs w:val="24"/>
    </w:rPr>
  </w:style>
  <w:style w:type="character" w:customStyle="1" w:styleId="13">
    <w:name w:val="正文文本首行缩进 2 字符"/>
    <w:basedOn w:val="12"/>
    <w:link w:val="9"/>
    <w:qFormat/>
    <w:uiPriority w:val="0"/>
    <w:rPr>
      <w:rFonts w:ascii="Times New Roman" w:hAnsi="Times New Roman" w:eastAsia="宋体" w:cs="Times New Roman"/>
      <w:szCs w:val="24"/>
    </w:rPr>
  </w:style>
  <w:style w:type="character" w:customStyle="1" w:styleId="14">
    <w:name w:val="纯文本 字符"/>
    <w:basedOn w:val="11"/>
    <w:link w:val="5"/>
    <w:qFormat/>
    <w:uiPriority w:val="0"/>
    <w:rPr>
      <w:rFonts w:hAnsi="Courier New" w:cs="Courier New" w:asciiTheme="minorEastAsia"/>
      <w:szCs w:val="24"/>
    </w:rPr>
  </w:style>
  <w:style w:type="character" w:customStyle="1" w:styleId="15">
    <w:name w:val="页眉 字符"/>
    <w:basedOn w:val="11"/>
    <w:link w:val="7"/>
    <w:qFormat/>
    <w:uiPriority w:val="99"/>
    <w:rPr>
      <w:rFonts w:ascii="Times New Roman" w:hAnsi="Times New Roman" w:eastAsia="宋体" w:cs="Times New Roman"/>
      <w:sz w:val="18"/>
      <w:szCs w:val="18"/>
    </w:rPr>
  </w:style>
  <w:style w:type="character" w:customStyle="1" w:styleId="16">
    <w:name w:val="页脚 字符"/>
    <w:basedOn w:val="11"/>
    <w:link w:val="6"/>
    <w:qFormat/>
    <w:uiPriority w:val="99"/>
    <w:rPr>
      <w:rFonts w:ascii="Times New Roman" w:hAnsi="Times New Roman" w:eastAsia="宋体" w:cs="Times New Roman"/>
      <w:sz w:val="18"/>
      <w:szCs w:val="18"/>
    </w:rPr>
  </w:style>
  <w:style w:type="character" w:customStyle="1" w:styleId="17">
    <w:name w:val="正文文本 字符"/>
    <w:basedOn w:val="11"/>
    <w:link w:val="3"/>
    <w:semiHidden/>
    <w:qFormat/>
    <w:uiPriority w:val="99"/>
    <w:rPr>
      <w:rFonts w:ascii="Times New Roman" w:hAnsi="Times New Roman" w:eastAsia="宋体" w:cs="Times New Roman"/>
      <w:szCs w:val="24"/>
    </w:rPr>
  </w:style>
  <w:style w:type="character" w:customStyle="1" w:styleId="18">
    <w:name w:val="正文文本首行缩进 字符"/>
    <w:basedOn w:val="17"/>
    <w:link w:val="8"/>
    <w:qFormat/>
    <w:uiPriority w:val="99"/>
    <w:rPr>
      <w:rFonts w:ascii="Calibri" w:hAnsi="Calibri" w:eastAsia="宋体" w:cs="Times New Roman"/>
      <w:szCs w:val="24"/>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font41"/>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3</Pages>
  <Words>1146</Words>
  <Characters>1195</Characters>
  <Lines>9</Lines>
  <Paragraphs>2</Paragraphs>
  <TotalTime>0</TotalTime>
  <ScaleCrop>false</ScaleCrop>
  <LinksUpToDate>false</LinksUpToDate>
  <CharactersWithSpaces>1199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2023-12-04T14:29:00Z</dcterms:created>
  <dc:creator>Administrator</dc:creator>
  <cp:lastModifiedBy>RaphaelL</cp:lastModifiedBy>
  <dcterms:modified xsi:type="dcterms:W3CDTF">2025-04-24T17:43:32Z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33FDD9DBABC44DA7B2359AB630CCB06A</vt:lpwstr>
  </property>
  <property fmtid="{D5CDD505-2E9C-101B-9397-08002B2CF9AE}" pid="4" name="KSOTemplateDocerSaveRecord">
    <vt:lpwstr>eyJoZGlkIjoiNDE5N2Y5MTMyMTcxZTVhNDUxMTQ4MWI5NzRhMjQzOWYiLCJ1c2VySWQiOiI5ODMwMDE3NTUifQ==</vt:lpwstr>
  </property>
</Properties>
</file>