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2A10C5">
      <w:pPr>
        <w:suppressAutoHyphens/>
        <w:spacing w:line="560" w:lineRule="exact"/>
        <w:jc w:val="center"/>
        <w:rPr>
          <w:rFonts w:ascii="方正小标宋_GBK" w:hAnsi="方正小标宋_GBK" w:eastAsia="方正小标宋_GBK" w:cs="方正小标宋_GBK"/>
          <w:sz w:val="44"/>
          <w:szCs w:val="44"/>
        </w:rPr>
      </w:pPr>
      <w:bookmarkStart w:id="0" w:name="_GoBack"/>
      <w:bookmarkEnd w:id="0"/>
      <w:r>
        <w:rPr>
          <w:rFonts w:hint="eastAsia" w:ascii="方正小标宋_GBK" w:hAnsi="方正小标宋_GBK" w:eastAsia="方正小标宋_GBK" w:cs="方正小标宋_GBK"/>
          <w:sz w:val="44"/>
          <w:szCs w:val="44"/>
        </w:rPr>
        <w:t>项目需求书</w:t>
      </w:r>
    </w:p>
    <w:p w14:paraId="0F9E4F3B">
      <w:pPr>
        <w:pStyle w:val="9"/>
      </w:pPr>
    </w:p>
    <w:p w14:paraId="73DF6AD8">
      <w:pPr>
        <w:pStyle w:val="4"/>
        <w:numPr>
          <w:ilvl w:val="0"/>
          <w:numId w:val="1"/>
        </w:numPr>
        <w:bidi w:val="0"/>
        <w:outlineLvl w:val="0"/>
        <w:rPr>
          <w:sz w:val="40"/>
          <w:szCs w:val="40"/>
        </w:rPr>
      </w:pPr>
      <w:r>
        <w:rPr>
          <w:rFonts w:hint="eastAsia"/>
          <w:sz w:val="40"/>
          <w:szCs w:val="40"/>
        </w:rPr>
        <w:t>项目概述</w:t>
      </w:r>
    </w:p>
    <w:tbl>
      <w:tblPr>
        <w:tblStyle w:val="15"/>
        <w:tblW w:w="8500" w:type="dxa"/>
        <w:tblInd w:w="-32"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2508"/>
        <w:gridCol w:w="1916"/>
        <w:gridCol w:w="986"/>
        <w:gridCol w:w="1830"/>
        <w:gridCol w:w="1260"/>
      </w:tblGrid>
      <w:tr w14:paraId="3D71EB4E">
        <w:tc>
          <w:tcPr>
            <w:tcW w:w="2508" w:type="dxa"/>
            <w:tcBorders>
              <w:top w:val="single" w:color="000000" w:sz="4" w:space="0"/>
              <w:left w:val="single" w:color="000000" w:sz="4" w:space="0"/>
              <w:bottom w:val="single" w:color="000000" w:sz="4" w:space="0"/>
              <w:right w:val="single" w:color="000000" w:sz="4" w:space="0"/>
            </w:tcBorders>
            <w:shd w:val="clear" w:color="auto" w:fill="FEF2CC"/>
            <w:tcMar>
              <w:top w:w="0" w:type="dxa"/>
              <w:left w:w="105" w:type="dxa"/>
              <w:bottom w:w="0" w:type="dxa"/>
              <w:right w:w="105" w:type="dxa"/>
            </w:tcMar>
            <w:vAlign w:val="center"/>
          </w:tcPr>
          <w:p w14:paraId="3D3D3C8E">
            <w:pPr>
              <w:pStyle w:val="25"/>
              <w:jc w:val="center"/>
            </w:pPr>
            <w:r>
              <w:rPr>
                <w:b/>
                <w:sz w:val="21"/>
              </w:rPr>
              <w:t>项目名称</w:t>
            </w:r>
          </w:p>
        </w:tc>
        <w:tc>
          <w:tcPr>
            <w:tcW w:w="1916" w:type="dxa"/>
            <w:tcBorders>
              <w:top w:val="single" w:color="000000" w:sz="4" w:space="0"/>
              <w:left w:val="nil"/>
              <w:bottom w:val="single" w:color="000000" w:sz="4" w:space="0"/>
              <w:right w:val="single" w:color="000000" w:sz="4" w:space="0"/>
            </w:tcBorders>
            <w:shd w:val="clear" w:color="auto" w:fill="FEF2CC"/>
            <w:tcMar>
              <w:top w:w="0" w:type="dxa"/>
              <w:left w:w="105" w:type="dxa"/>
              <w:bottom w:w="0" w:type="dxa"/>
              <w:right w:w="105" w:type="dxa"/>
            </w:tcMar>
            <w:vAlign w:val="center"/>
          </w:tcPr>
          <w:p w14:paraId="00FA2591">
            <w:pPr>
              <w:pStyle w:val="25"/>
              <w:jc w:val="center"/>
            </w:pPr>
            <w:r>
              <w:rPr>
                <w:b/>
                <w:sz w:val="21"/>
              </w:rPr>
              <w:t>分类名称</w:t>
            </w:r>
          </w:p>
        </w:tc>
        <w:tc>
          <w:tcPr>
            <w:tcW w:w="986" w:type="dxa"/>
            <w:tcBorders>
              <w:top w:val="single" w:color="000000" w:sz="4" w:space="0"/>
              <w:left w:val="nil"/>
              <w:bottom w:val="single" w:color="000000" w:sz="4" w:space="0"/>
              <w:right w:val="single" w:color="000000" w:sz="4" w:space="0"/>
            </w:tcBorders>
            <w:shd w:val="clear" w:color="auto" w:fill="FEF2CC"/>
            <w:tcMar>
              <w:top w:w="0" w:type="dxa"/>
              <w:left w:w="105" w:type="dxa"/>
              <w:bottom w:w="0" w:type="dxa"/>
              <w:right w:w="105" w:type="dxa"/>
            </w:tcMar>
            <w:vAlign w:val="center"/>
          </w:tcPr>
          <w:p w14:paraId="61E8D22D">
            <w:pPr>
              <w:pStyle w:val="25"/>
              <w:jc w:val="center"/>
            </w:pPr>
            <w:r>
              <w:rPr>
                <w:b/>
                <w:sz w:val="21"/>
              </w:rPr>
              <w:t>服务期</w:t>
            </w:r>
          </w:p>
        </w:tc>
        <w:tc>
          <w:tcPr>
            <w:tcW w:w="1830" w:type="dxa"/>
            <w:tcBorders>
              <w:top w:val="single" w:color="000000" w:sz="4" w:space="0"/>
              <w:left w:val="nil"/>
              <w:bottom w:val="single" w:color="000000" w:sz="4" w:space="0"/>
              <w:right w:val="single" w:color="000000" w:sz="4" w:space="0"/>
            </w:tcBorders>
            <w:shd w:val="clear" w:color="auto" w:fill="FEF2CC"/>
            <w:tcMar>
              <w:top w:w="0" w:type="dxa"/>
              <w:left w:w="105" w:type="dxa"/>
              <w:bottom w:w="0" w:type="dxa"/>
              <w:right w:w="105" w:type="dxa"/>
            </w:tcMar>
            <w:vAlign w:val="center"/>
          </w:tcPr>
          <w:p w14:paraId="3F7C499A">
            <w:pPr>
              <w:pStyle w:val="25"/>
              <w:jc w:val="center"/>
            </w:pPr>
            <w:r>
              <w:rPr>
                <w:b/>
                <w:sz w:val="21"/>
              </w:rPr>
              <w:t>最高限价</w:t>
            </w:r>
          </w:p>
          <w:p w14:paraId="17115A98">
            <w:pPr>
              <w:pStyle w:val="25"/>
              <w:jc w:val="center"/>
            </w:pPr>
            <w:r>
              <w:rPr>
                <w:b/>
                <w:sz w:val="21"/>
              </w:rPr>
              <w:t>（人民币 元）</w:t>
            </w:r>
          </w:p>
        </w:tc>
        <w:tc>
          <w:tcPr>
            <w:tcW w:w="1260" w:type="dxa"/>
            <w:tcBorders>
              <w:top w:val="single" w:color="000000" w:sz="4" w:space="0"/>
              <w:left w:val="nil"/>
              <w:bottom w:val="single" w:color="000000" w:sz="4" w:space="0"/>
              <w:right w:val="single" w:color="000000" w:sz="4" w:space="0"/>
            </w:tcBorders>
            <w:shd w:val="clear" w:color="auto" w:fill="FEF2CC"/>
            <w:tcMar>
              <w:top w:w="0" w:type="dxa"/>
              <w:left w:w="105" w:type="dxa"/>
              <w:bottom w:w="0" w:type="dxa"/>
              <w:right w:w="105" w:type="dxa"/>
            </w:tcMar>
            <w:vAlign w:val="center"/>
          </w:tcPr>
          <w:p w14:paraId="365068FE">
            <w:pPr>
              <w:pStyle w:val="25"/>
              <w:ind w:firstLine="0"/>
              <w:jc w:val="center"/>
            </w:pPr>
            <w:r>
              <w:rPr>
                <w:b/>
                <w:sz w:val="21"/>
              </w:rPr>
              <w:t>备注</w:t>
            </w:r>
          </w:p>
        </w:tc>
      </w:tr>
      <w:tr w14:paraId="69DC1DB2">
        <w:trPr>
          <w:trHeight w:val="1096" w:hRule="atLeast"/>
        </w:trPr>
        <w:tc>
          <w:tcPr>
            <w:tcW w:w="2508" w:type="dxa"/>
            <w:tcBorders>
              <w:top w:val="nil"/>
              <w:left w:val="single" w:color="000000" w:sz="4" w:space="0"/>
              <w:bottom w:val="nil"/>
              <w:right w:val="single" w:color="000000" w:sz="4" w:space="0"/>
            </w:tcBorders>
            <w:tcMar>
              <w:top w:w="0" w:type="dxa"/>
              <w:left w:w="105" w:type="dxa"/>
              <w:bottom w:w="0" w:type="dxa"/>
              <w:right w:w="105" w:type="dxa"/>
            </w:tcMar>
            <w:vAlign w:val="center"/>
          </w:tcPr>
          <w:p w14:paraId="47147168">
            <w:pPr>
              <w:pStyle w:val="25"/>
              <w:jc w:val="center"/>
              <w:rPr>
                <w:rFonts w:hint="default" w:eastAsiaTheme="minorEastAsia"/>
                <w:sz w:val="21"/>
                <w:szCs w:val="21"/>
                <w:lang w:val="en-US" w:eastAsia="zh-CN"/>
              </w:rPr>
            </w:pPr>
            <w:r>
              <w:rPr>
                <w:rFonts w:hint="eastAsia"/>
                <w:sz w:val="21"/>
                <w:szCs w:val="21"/>
              </w:rPr>
              <w:t>横琴粤澳深度合作区闲置地、公园及天桥垃圾站监控传输服务运维项目</w:t>
            </w:r>
          </w:p>
        </w:tc>
        <w:tc>
          <w:tcPr>
            <w:tcW w:w="191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D7E44BE">
            <w:pPr>
              <w:pStyle w:val="25"/>
              <w:jc w:val="center"/>
              <w:rPr>
                <w:rFonts w:hint="default" w:eastAsiaTheme="minorEastAsia"/>
                <w:sz w:val="21"/>
                <w:szCs w:val="21"/>
                <w:lang w:val="en-US" w:eastAsia="zh-CN"/>
              </w:rPr>
            </w:pPr>
            <w:r>
              <w:rPr>
                <w:rFonts w:hint="eastAsia"/>
                <w:sz w:val="21"/>
                <w:szCs w:val="21"/>
                <w:lang w:val="en-US" w:eastAsia="zh-CN"/>
              </w:rPr>
              <w:t>413个视频点位传输服务运维</w:t>
            </w:r>
          </w:p>
        </w:tc>
        <w:tc>
          <w:tcPr>
            <w:tcW w:w="98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6743175">
            <w:pPr>
              <w:pStyle w:val="25"/>
              <w:jc w:val="center"/>
              <w:rPr>
                <w:rFonts w:hint="eastAsia" w:eastAsiaTheme="minorEastAsia"/>
                <w:sz w:val="21"/>
                <w:szCs w:val="21"/>
                <w:lang w:val="en-US" w:eastAsia="zh-CN"/>
              </w:rPr>
            </w:pPr>
            <w:r>
              <w:rPr>
                <w:rFonts w:hint="eastAsia"/>
                <w:sz w:val="21"/>
                <w:szCs w:val="21"/>
                <w:lang w:val="en-US" w:eastAsia="zh-CN"/>
              </w:rPr>
              <w:t>一年</w:t>
            </w:r>
          </w:p>
        </w:tc>
        <w:tc>
          <w:tcPr>
            <w:tcW w:w="183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BA200A7">
            <w:pPr>
              <w:pStyle w:val="25"/>
              <w:ind w:firstLine="0"/>
              <w:jc w:val="center"/>
              <w:rPr>
                <w:rFonts w:hint="default" w:eastAsiaTheme="minorEastAsia"/>
                <w:sz w:val="21"/>
                <w:szCs w:val="21"/>
                <w:lang w:val="en-US" w:eastAsia="zh-CN"/>
              </w:rPr>
            </w:pPr>
            <w:r>
              <w:rPr>
                <w:rFonts w:hint="default" w:eastAsia="宋体" w:cs="宋体" w:asciiTheme="minorAscii" w:hAnsiTheme="minorAscii"/>
                <w:b/>
                <w:bCs/>
                <w:i w:val="0"/>
                <w:iCs w:val="0"/>
                <w:color w:val="000000"/>
                <w:kern w:val="0"/>
                <w:sz w:val="21"/>
                <w:szCs w:val="21"/>
                <w:u w:val="none"/>
                <w:lang w:val="en-US" w:eastAsia="zh-CN" w:bidi="ar"/>
              </w:rPr>
              <w:t>720</w:t>
            </w:r>
            <w:r>
              <w:rPr>
                <w:rFonts w:hint="default" w:eastAsia="宋体" w:cs="宋体" w:asciiTheme="minorAscii" w:hAnsiTheme="minorAscii"/>
                <w:b/>
                <w:bCs/>
                <w:i w:val="0"/>
                <w:iCs w:val="0"/>
                <w:color w:val="000000"/>
                <w:kern w:val="0"/>
                <w:sz w:val="21"/>
                <w:szCs w:val="21"/>
                <w:u w:val="none"/>
                <w:lang w:val="en-US" w:eastAsia="zh-CN" w:bidi="ar"/>
              </w:rPr>
              <w:t>,</w:t>
            </w:r>
            <w:r>
              <w:rPr>
                <w:rFonts w:hint="default" w:eastAsia="宋体" w:cs="宋体" w:asciiTheme="minorAscii" w:hAnsiTheme="minorAscii"/>
                <w:b/>
                <w:bCs/>
                <w:i w:val="0"/>
                <w:iCs w:val="0"/>
                <w:color w:val="000000"/>
                <w:kern w:val="0"/>
                <w:sz w:val="21"/>
                <w:szCs w:val="21"/>
                <w:u w:val="none"/>
                <w:lang w:val="en-US" w:eastAsia="zh-CN" w:bidi="ar"/>
              </w:rPr>
              <w:t>900</w:t>
            </w:r>
            <w:r>
              <w:rPr>
                <w:rFonts w:hint="default" w:eastAsia="宋体" w:cs="宋体" w:asciiTheme="minorAscii" w:hAnsiTheme="minorAscii"/>
                <w:b/>
                <w:bCs/>
                <w:i w:val="0"/>
                <w:iCs w:val="0"/>
                <w:color w:val="000000"/>
                <w:kern w:val="0"/>
                <w:sz w:val="21"/>
                <w:szCs w:val="21"/>
                <w:u w:val="none"/>
                <w:lang w:val="en-US" w:eastAsia="zh-CN" w:bidi="ar"/>
              </w:rPr>
              <w:t>.00</w:t>
            </w:r>
          </w:p>
        </w:tc>
        <w:tc>
          <w:tcPr>
            <w:tcW w:w="126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B5F5AF2">
            <w:pPr>
              <w:pStyle w:val="25"/>
              <w:ind w:firstLine="0"/>
              <w:jc w:val="both"/>
              <w:rPr>
                <w:sz w:val="21"/>
                <w:szCs w:val="21"/>
              </w:rPr>
            </w:pPr>
          </w:p>
        </w:tc>
      </w:tr>
      <w:tr w14:paraId="460259DD">
        <w:trPr>
          <w:trHeight w:val="517" w:hRule="atLeast"/>
        </w:trPr>
        <w:tc>
          <w:tcPr>
            <w:tcW w:w="5410" w:type="dxa"/>
            <w:gridSpan w:val="3"/>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0F560DFF">
            <w:pPr>
              <w:pStyle w:val="25"/>
              <w:ind w:firstLine="380"/>
              <w:jc w:val="center"/>
              <w:rPr>
                <w:sz w:val="21"/>
                <w:szCs w:val="21"/>
              </w:rPr>
            </w:pPr>
            <w:r>
              <w:rPr>
                <w:sz w:val="21"/>
                <w:szCs w:val="21"/>
              </w:rPr>
              <w:t>合计</w:t>
            </w:r>
          </w:p>
        </w:tc>
        <w:tc>
          <w:tcPr>
            <w:tcW w:w="3090" w:type="dxa"/>
            <w:gridSpan w:val="2"/>
            <w:tcBorders>
              <w:top w:val="nil"/>
              <w:left w:val="nil"/>
              <w:bottom w:val="single" w:color="000000" w:sz="4" w:space="0"/>
              <w:right w:val="single" w:color="000000" w:sz="4" w:space="0"/>
            </w:tcBorders>
            <w:tcMar>
              <w:top w:w="0" w:type="dxa"/>
              <w:left w:w="105" w:type="dxa"/>
              <w:bottom w:w="0" w:type="dxa"/>
              <w:right w:w="105" w:type="dxa"/>
            </w:tcMar>
            <w:vAlign w:val="center"/>
          </w:tcPr>
          <w:p w14:paraId="01041E7C">
            <w:pPr>
              <w:pStyle w:val="25"/>
              <w:ind w:firstLine="380"/>
              <w:jc w:val="center"/>
              <w:rPr>
                <w:rFonts w:hint="default"/>
                <w:sz w:val="21"/>
                <w:szCs w:val="21"/>
                <w:lang w:val="en-US"/>
              </w:rPr>
            </w:pPr>
            <w:r>
              <w:rPr>
                <w:rFonts w:hint="default" w:eastAsia="宋体" w:cs="宋体" w:asciiTheme="minorAscii" w:hAnsiTheme="minorAscii"/>
                <w:b/>
                <w:bCs/>
                <w:i w:val="0"/>
                <w:iCs w:val="0"/>
                <w:color w:val="000000"/>
                <w:kern w:val="0"/>
                <w:sz w:val="21"/>
                <w:szCs w:val="21"/>
                <w:u w:val="none"/>
                <w:lang w:val="en-US" w:eastAsia="zh-CN" w:bidi="ar"/>
              </w:rPr>
              <w:t>720</w:t>
            </w:r>
            <w:r>
              <w:rPr>
                <w:rFonts w:hint="default" w:eastAsia="宋体" w:cs="宋体" w:asciiTheme="minorAscii" w:hAnsiTheme="minorAscii"/>
                <w:b/>
                <w:bCs/>
                <w:i w:val="0"/>
                <w:iCs w:val="0"/>
                <w:color w:val="000000"/>
                <w:kern w:val="0"/>
                <w:sz w:val="21"/>
                <w:szCs w:val="21"/>
                <w:u w:val="none"/>
                <w:lang w:val="en-US" w:eastAsia="zh-CN" w:bidi="ar"/>
              </w:rPr>
              <w:t>,</w:t>
            </w:r>
            <w:r>
              <w:rPr>
                <w:rFonts w:hint="default" w:eastAsia="宋体" w:cs="宋体" w:asciiTheme="minorAscii" w:hAnsiTheme="minorAscii"/>
                <w:b/>
                <w:bCs/>
                <w:i w:val="0"/>
                <w:iCs w:val="0"/>
                <w:color w:val="000000"/>
                <w:kern w:val="0"/>
                <w:sz w:val="21"/>
                <w:szCs w:val="21"/>
                <w:u w:val="none"/>
                <w:lang w:val="en-US" w:eastAsia="zh-CN" w:bidi="ar"/>
              </w:rPr>
              <w:t>900.00</w:t>
            </w:r>
            <w:r>
              <w:rPr>
                <w:rFonts w:hint="eastAsia" w:ascii="宋体" w:hAnsi="宋体" w:eastAsia="宋体" w:cs="宋体"/>
                <w:b/>
                <w:bCs/>
                <w:i w:val="0"/>
                <w:iCs w:val="0"/>
                <w:color w:val="000000"/>
                <w:kern w:val="0"/>
                <w:sz w:val="21"/>
                <w:szCs w:val="21"/>
                <w:u w:val="none"/>
                <w:lang w:val="en-US" w:eastAsia="zh-CN" w:bidi="ar"/>
              </w:rPr>
              <w:t>元</w:t>
            </w:r>
          </w:p>
        </w:tc>
      </w:tr>
    </w:tbl>
    <w:p w14:paraId="7A3B8D7A">
      <w:pPr>
        <w:pStyle w:val="25"/>
        <w:jc w:val="both"/>
        <w:rPr>
          <w:rFonts w:hint="eastAsia"/>
          <w:sz w:val="21"/>
          <w:szCs w:val="21"/>
        </w:rPr>
      </w:pPr>
    </w:p>
    <w:p w14:paraId="3BD92E14">
      <w:pPr>
        <w:pStyle w:val="25"/>
        <w:jc w:val="both"/>
        <w:rPr>
          <w:rFonts w:hint="eastAsia"/>
          <w:sz w:val="21"/>
          <w:szCs w:val="21"/>
        </w:rPr>
      </w:pPr>
      <w:r>
        <w:rPr>
          <w:rFonts w:hint="eastAsia"/>
          <w:sz w:val="21"/>
          <w:szCs w:val="21"/>
        </w:rPr>
        <w:t>备注：</w:t>
      </w:r>
    </w:p>
    <w:p w14:paraId="0F6AE13E">
      <w:pPr>
        <w:pStyle w:val="25"/>
        <w:keepNext w:val="0"/>
        <w:keepLines w:val="0"/>
        <w:pageBreakBefore w:val="0"/>
        <w:widowControl/>
        <w:kinsoku/>
        <w:wordWrap/>
        <w:overflowPunct/>
        <w:topLinePunct w:val="0"/>
        <w:autoSpaceDE/>
        <w:autoSpaceDN/>
        <w:bidi w:val="0"/>
        <w:adjustRightInd/>
        <w:snapToGrid/>
        <w:spacing w:line="480" w:lineRule="auto"/>
        <w:ind w:firstLine="420" w:firstLineChars="200"/>
        <w:jc w:val="both"/>
        <w:textAlignment w:val="auto"/>
        <w:rPr>
          <w:rFonts w:hint="eastAsia"/>
          <w:sz w:val="21"/>
          <w:szCs w:val="21"/>
        </w:rPr>
      </w:pPr>
      <w:r>
        <w:rPr>
          <w:rFonts w:hint="eastAsia"/>
          <w:sz w:val="21"/>
          <w:szCs w:val="21"/>
        </w:rPr>
        <w:t>1.为了避免重复建设浪费资源，</w:t>
      </w:r>
      <w:r>
        <w:rPr>
          <w:rFonts w:hint="eastAsia"/>
          <w:sz w:val="21"/>
          <w:szCs w:val="21"/>
          <w:lang w:val="en-US" w:eastAsia="zh-CN"/>
        </w:rPr>
        <w:t>建议</w:t>
      </w:r>
      <w:r>
        <w:rPr>
          <w:rFonts w:hint="eastAsia"/>
          <w:sz w:val="21"/>
          <w:szCs w:val="21"/>
        </w:rPr>
        <w:t>中标人</w:t>
      </w:r>
      <w:r>
        <w:rPr>
          <w:rFonts w:hint="eastAsia"/>
          <w:sz w:val="21"/>
          <w:szCs w:val="21"/>
          <w:lang w:val="en-US" w:eastAsia="zh-CN"/>
        </w:rPr>
        <w:t>沿用</w:t>
      </w:r>
      <w:r>
        <w:rPr>
          <w:rFonts w:hint="eastAsia"/>
          <w:sz w:val="21"/>
          <w:szCs w:val="21"/>
        </w:rPr>
        <w:t>现有运营商提供的</w:t>
      </w:r>
      <w:r>
        <w:rPr>
          <w:rFonts w:hint="eastAsia"/>
          <w:sz w:val="21"/>
          <w:szCs w:val="21"/>
          <w:lang w:val="en-US" w:eastAsia="zh-CN"/>
        </w:rPr>
        <w:t>视频传输</w:t>
      </w:r>
      <w:r>
        <w:rPr>
          <w:rFonts w:hint="eastAsia"/>
          <w:sz w:val="21"/>
          <w:szCs w:val="21"/>
        </w:rPr>
        <w:t>服务</w:t>
      </w:r>
      <w:r>
        <w:rPr>
          <w:rFonts w:hint="eastAsia"/>
          <w:sz w:val="21"/>
          <w:szCs w:val="21"/>
          <w:lang w:eastAsia="zh-CN"/>
        </w:rPr>
        <w:t>。</w:t>
      </w:r>
      <w:r>
        <w:rPr>
          <w:rFonts w:hint="eastAsia"/>
          <w:sz w:val="21"/>
          <w:szCs w:val="21"/>
          <w:lang w:val="en-US" w:eastAsia="zh-CN"/>
        </w:rPr>
        <w:t>若需要更换</w:t>
      </w:r>
      <w:r>
        <w:rPr>
          <w:rFonts w:hint="eastAsia"/>
          <w:sz w:val="21"/>
          <w:szCs w:val="21"/>
        </w:rPr>
        <w:t>现有运营商</w:t>
      </w:r>
      <w:r>
        <w:rPr>
          <w:rFonts w:hint="eastAsia"/>
          <w:sz w:val="21"/>
          <w:szCs w:val="21"/>
          <w:lang w:val="en-US" w:eastAsia="zh-CN"/>
        </w:rPr>
        <w:t>提供的</w:t>
      </w:r>
      <w:r>
        <w:rPr>
          <w:rFonts w:hint="eastAsia"/>
          <w:sz w:val="21"/>
          <w:szCs w:val="21"/>
        </w:rPr>
        <w:t>服务</w:t>
      </w:r>
      <w:r>
        <w:rPr>
          <w:rFonts w:hint="eastAsia"/>
          <w:sz w:val="21"/>
          <w:szCs w:val="21"/>
          <w:lang w:eastAsia="zh-CN"/>
        </w:rPr>
        <w:t>，</w:t>
      </w:r>
      <w:r>
        <w:rPr>
          <w:rFonts w:hint="eastAsia"/>
          <w:sz w:val="21"/>
          <w:szCs w:val="21"/>
          <w:lang w:val="en-US" w:eastAsia="zh-CN"/>
        </w:rPr>
        <w:t>中标人</w:t>
      </w:r>
      <w:r>
        <w:rPr>
          <w:rFonts w:hint="eastAsia"/>
          <w:sz w:val="21"/>
          <w:szCs w:val="21"/>
        </w:rPr>
        <w:t>无法提供正常服务超过</w:t>
      </w:r>
      <w:r>
        <w:rPr>
          <w:rFonts w:hint="eastAsia"/>
          <w:sz w:val="21"/>
          <w:szCs w:val="21"/>
          <w:lang w:val="en-US" w:eastAsia="zh-CN"/>
        </w:rPr>
        <w:t>7</w:t>
      </w:r>
      <w:r>
        <w:rPr>
          <w:rFonts w:hint="eastAsia"/>
          <w:sz w:val="21"/>
          <w:szCs w:val="21"/>
        </w:rPr>
        <w:t>日的，采购人</w:t>
      </w:r>
      <w:r>
        <w:rPr>
          <w:rFonts w:hint="eastAsia"/>
          <w:sz w:val="21"/>
          <w:szCs w:val="21"/>
          <w:lang w:val="en-US" w:eastAsia="zh-CN"/>
        </w:rPr>
        <w:t>有权利取消服务合同，若出现相关</w:t>
      </w:r>
      <w:r>
        <w:rPr>
          <w:rFonts w:hint="eastAsia"/>
          <w:sz w:val="21"/>
          <w:szCs w:val="21"/>
        </w:rPr>
        <w:t>服务费</w:t>
      </w:r>
      <w:r>
        <w:rPr>
          <w:rFonts w:hint="eastAsia"/>
          <w:sz w:val="21"/>
          <w:szCs w:val="21"/>
          <w:lang w:val="en-US" w:eastAsia="zh-CN"/>
        </w:rPr>
        <w:t>按</w:t>
      </w:r>
      <w:r>
        <w:rPr>
          <w:rFonts w:hint="eastAsia"/>
          <w:sz w:val="21"/>
          <w:szCs w:val="21"/>
        </w:rPr>
        <w:t>实际使用情况结算。</w:t>
      </w:r>
    </w:p>
    <w:p w14:paraId="5F427E9D">
      <w:pPr>
        <w:pStyle w:val="25"/>
        <w:keepNext w:val="0"/>
        <w:keepLines w:val="0"/>
        <w:pageBreakBefore w:val="0"/>
        <w:widowControl/>
        <w:kinsoku/>
        <w:wordWrap/>
        <w:overflowPunct/>
        <w:topLinePunct w:val="0"/>
        <w:autoSpaceDE/>
        <w:autoSpaceDN/>
        <w:bidi w:val="0"/>
        <w:adjustRightInd/>
        <w:snapToGrid/>
        <w:spacing w:line="480" w:lineRule="auto"/>
        <w:ind w:firstLine="420" w:firstLineChars="200"/>
        <w:jc w:val="both"/>
        <w:textAlignment w:val="auto"/>
        <w:rPr>
          <w:rFonts w:hint="eastAsia"/>
          <w:sz w:val="21"/>
          <w:szCs w:val="21"/>
        </w:rPr>
      </w:pPr>
      <w:r>
        <w:rPr>
          <w:rFonts w:hint="eastAsia"/>
          <w:sz w:val="21"/>
          <w:szCs w:val="21"/>
        </w:rPr>
        <w:t>2.</w:t>
      </w:r>
      <w:r>
        <w:rPr>
          <w:rFonts w:hint="eastAsia"/>
          <w:sz w:val="21"/>
          <w:szCs w:val="21"/>
          <w:lang w:val="en-US" w:eastAsia="zh-CN"/>
        </w:rPr>
        <w:t>目前共使用视频传输服务413个点位，其中30M带宽的为402个，1000M带宽的为2个，500M带宽的为7个，100M带宽的为2个（详见整体实施及服务要求）</w:t>
      </w:r>
      <w:r>
        <w:rPr>
          <w:rFonts w:hint="eastAsia"/>
          <w:sz w:val="21"/>
          <w:szCs w:val="21"/>
        </w:rPr>
        <w:t>。</w:t>
      </w:r>
    </w:p>
    <w:p w14:paraId="515F88F7">
      <w:pPr>
        <w:pStyle w:val="25"/>
        <w:keepNext w:val="0"/>
        <w:keepLines w:val="0"/>
        <w:pageBreakBefore w:val="0"/>
        <w:widowControl/>
        <w:kinsoku/>
        <w:wordWrap/>
        <w:overflowPunct/>
        <w:topLinePunct w:val="0"/>
        <w:autoSpaceDE/>
        <w:autoSpaceDN/>
        <w:bidi w:val="0"/>
        <w:adjustRightInd/>
        <w:snapToGrid/>
        <w:spacing w:line="480" w:lineRule="auto"/>
        <w:ind w:firstLine="420" w:firstLineChars="200"/>
        <w:jc w:val="both"/>
        <w:textAlignment w:val="auto"/>
        <w:rPr>
          <w:rFonts w:hint="eastAsia"/>
          <w:sz w:val="21"/>
          <w:szCs w:val="21"/>
        </w:rPr>
      </w:pPr>
      <w:r>
        <w:rPr>
          <w:rFonts w:hint="eastAsia"/>
          <w:sz w:val="21"/>
          <w:szCs w:val="21"/>
          <w:lang w:val="en-US" w:eastAsia="zh-CN"/>
        </w:rPr>
        <w:t>3</w:t>
      </w:r>
      <w:r>
        <w:rPr>
          <w:rFonts w:hint="eastAsia"/>
          <w:sz w:val="21"/>
          <w:szCs w:val="21"/>
        </w:rPr>
        <w:t>.供应商的总价及分项报价均不得超过</w:t>
      </w:r>
      <w:r>
        <w:rPr>
          <w:rFonts w:hint="eastAsia"/>
          <w:sz w:val="21"/>
          <w:szCs w:val="21"/>
          <w:lang w:val="en-US" w:eastAsia="zh-CN"/>
        </w:rPr>
        <w:t>项目需求书</w:t>
      </w:r>
      <w:r>
        <w:rPr>
          <w:rFonts w:hint="eastAsia"/>
          <w:sz w:val="21"/>
          <w:szCs w:val="21"/>
        </w:rPr>
        <w:t>规定的最高限价，否则作无效投标处理。</w:t>
      </w:r>
    </w:p>
    <w:p w14:paraId="4AD7A76F">
      <w:pPr>
        <w:pStyle w:val="25"/>
        <w:keepNext w:val="0"/>
        <w:keepLines w:val="0"/>
        <w:pageBreakBefore w:val="0"/>
        <w:widowControl/>
        <w:kinsoku/>
        <w:wordWrap/>
        <w:overflowPunct/>
        <w:topLinePunct w:val="0"/>
        <w:autoSpaceDE/>
        <w:autoSpaceDN/>
        <w:bidi w:val="0"/>
        <w:adjustRightInd/>
        <w:snapToGrid/>
        <w:spacing w:line="480" w:lineRule="auto"/>
        <w:ind w:firstLine="420" w:firstLineChars="200"/>
        <w:jc w:val="both"/>
        <w:textAlignment w:val="auto"/>
        <w:rPr>
          <w:rFonts w:hint="eastAsia"/>
          <w:sz w:val="21"/>
          <w:szCs w:val="21"/>
        </w:rPr>
      </w:pPr>
      <w:r>
        <w:rPr>
          <w:rFonts w:hint="eastAsia"/>
          <w:sz w:val="21"/>
          <w:szCs w:val="21"/>
          <w:lang w:val="en-US" w:eastAsia="zh-CN"/>
        </w:rPr>
        <w:t>4</w:t>
      </w:r>
      <w:r>
        <w:rPr>
          <w:rFonts w:hint="eastAsia"/>
          <w:sz w:val="21"/>
          <w:szCs w:val="21"/>
        </w:rPr>
        <w:t>.本采购包不接受联合体投标。</w:t>
      </w:r>
    </w:p>
    <w:p w14:paraId="2D7CCF6E">
      <w:pPr>
        <w:pStyle w:val="4"/>
        <w:numPr>
          <w:ilvl w:val="0"/>
          <w:numId w:val="1"/>
        </w:numPr>
        <w:bidi w:val="0"/>
        <w:outlineLvl w:val="0"/>
        <w:rPr>
          <w:rFonts w:hint="eastAsia"/>
          <w:sz w:val="40"/>
          <w:szCs w:val="40"/>
          <w:lang w:val="en-US" w:eastAsia="zh-CN"/>
        </w:rPr>
      </w:pPr>
      <w:r>
        <w:rPr>
          <w:rFonts w:hint="eastAsia"/>
          <w:sz w:val="40"/>
          <w:szCs w:val="40"/>
          <w:lang w:val="en-US" w:eastAsia="zh-CN"/>
        </w:rPr>
        <w:t>服务清单</w:t>
      </w:r>
    </w:p>
    <w:tbl>
      <w:tblPr>
        <w:tblStyle w:val="15"/>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7"/>
        <w:gridCol w:w="427"/>
        <w:gridCol w:w="1504"/>
        <w:gridCol w:w="2391"/>
        <w:gridCol w:w="637"/>
        <w:gridCol w:w="637"/>
        <w:gridCol w:w="741"/>
        <w:gridCol w:w="848"/>
        <w:gridCol w:w="696"/>
      </w:tblGrid>
      <w:tr w14:paraId="55BA71B7">
        <w:trPr>
          <w:trHeight w:val="300" w:hRule="atLeast"/>
        </w:trPr>
        <w:tc>
          <w:tcPr>
            <w:tcW w:w="372"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8F6EE9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349" w:type="pct"/>
            <w:tcBorders>
              <w:top w:val="single" w:color="000000" w:sz="8" w:space="0"/>
              <w:left w:val="nil"/>
              <w:bottom w:val="single" w:color="000000" w:sz="8" w:space="0"/>
              <w:right w:val="single" w:color="000000" w:sz="8" w:space="0"/>
            </w:tcBorders>
            <w:shd w:val="clear" w:color="auto" w:fill="auto"/>
            <w:vAlign w:val="center"/>
          </w:tcPr>
          <w:p w14:paraId="43A7061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分类</w:t>
            </w:r>
          </w:p>
        </w:tc>
        <w:tc>
          <w:tcPr>
            <w:tcW w:w="550" w:type="pct"/>
            <w:tcBorders>
              <w:top w:val="single" w:color="000000" w:sz="8" w:space="0"/>
              <w:left w:val="nil"/>
              <w:bottom w:val="single" w:color="000000" w:sz="8" w:space="0"/>
              <w:right w:val="single" w:color="000000" w:sz="8" w:space="0"/>
            </w:tcBorders>
            <w:shd w:val="clear" w:color="auto" w:fill="auto"/>
            <w:noWrap/>
            <w:vAlign w:val="center"/>
          </w:tcPr>
          <w:p w14:paraId="382C6D5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w:t>
            </w:r>
          </w:p>
        </w:tc>
        <w:tc>
          <w:tcPr>
            <w:tcW w:w="1655" w:type="pct"/>
            <w:tcBorders>
              <w:top w:val="single" w:color="000000" w:sz="8" w:space="0"/>
              <w:left w:val="nil"/>
              <w:bottom w:val="single" w:color="000000" w:sz="8" w:space="0"/>
              <w:right w:val="single" w:color="000000" w:sz="8" w:space="0"/>
            </w:tcBorders>
            <w:shd w:val="clear" w:color="auto" w:fill="auto"/>
            <w:noWrap/>
            <w:vAlign w:val="center"/>
          </w:tcPr>
          <w:p w14:paraId="22E770CF">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内容</w:t>
            </w:r>
          </w:p>
        </w:tc>
        <w:tc>
          <w:tcPr>
            <w:tcW w:w="372" w:type="pct"/>
            <w:tcBorders>
              <w:top w:val="single" w:color="000000" w:sz="8" w:space="0"/>
              <w:left w:val="nil"/>
              <w:bottom w:val="single" w:color="000000" w:sz="8" w:space="0"/>
              <w:right w:val="single" w:color="000000" w:sz="8" w:space="0"/>
            </w:tcBorders>
            <w:shd w:val="clear" w:color="auto" w:fill="auto"/>
            <w:noWrap/>
            <w:vAlign w:val="center"/>
          </w:tcPr>
          <w:p w14:paraId="53B6E1E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372" w:type="pct"/>
            <w:tcBorders>
              <w:top w:val="single" w:color="000000" w:sz="8" w:space="0"/>
              <w:left w:val="nil"/>
              <w:bottom w:val="single" w:color="000000" w:sz="8" w:space="0"/>
              <w:right w:val="single" w:color="000000" w:sz="8" w:space="0"/>
            </w:tcBorders>
            <w:shd w:val="clear" w:color="auto" w:fill="auto"/>
            <w:noWrap/>
            <w:vAlign w:val="center"/>
          </w:tcPr>
          <w:p w14:paraId="54EBDBBF">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372" w:type="pct"/>
            <w:tcBorders>
              <w:top w:val="single" w:color="000000" w:sz="8" w:space="0"/>
              <w:left w:val="nil"/>
              <w:bottom w:val="single" w:color="000000" w:sz="8" w:space="0"/>
              <w:right w:val="single" w:color="000000" w:sz="8" w:space="0"/>
            </w:tcBorders>
            <w:shd w:val="clear" w:color="auto" w:fill="auto"/>
            <w:noWrap/>
            <w:vAlign w:val="center"/>
          </w:tcPr>
          <w:p w14:paraId="1635A2C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单价</w:t>
            </w:r>
          </w:p>
        </w:tc>
        <w:tc>
          <w:tcPr>
            <w:tcW w:w="372" w:type="pct"/>
            <w:tcBorders>
              <w:top w:val="single" w:color="000000" w:sz="8" w:space="0"/>
              <w:left w:val="nil"/>
              <w:bottom w:val="single" w:color="000000" w:sz="8" w:space="0"/>
              <w:right w:val="single" w:color="000000" w:sz="8" w:space="0"/>
            </w:tcBorders>
            <w:shd w:val="clear" w:color="auto" w:fill="auto"/>
            <w:noWrap/>
            <w:vAlign w:val="center"/>
          </w:tcPr>
          <w:p w14:paraId="2454B909">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总价</w:t>
            </w:r>
          </w:p>
        </w:tc>
        <w:tc>
          <w:tcPr>
            <w:tcW w:w="584" w:type="pct"/>
            <w:tcBorders>
              <w:top w:val="single" w:color="000000" w:sz="8" w:space="0"/>
              <w:left w:val="nil"/>
              <w:bottom w:val="single" w:color="000000" w:sz="8" w:space="0"/>
              <w:right w:val="single" w:color="000000" w:sz="8" w:space="0"/>
            </w:tcBorders>
            <w:shd w:val="clear" w:color="auto" w:fill="auto"/>
            <w:noWrap/>
            <w:vAlign w:val="center"/>
          </w:tcPr>
          <w:p w14:paraId="7182391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14:paraId="4B8AD732">
        <w:trPr>
          <w:trHeight w:val="920" w:hRule="atLeast"/>
        </w:trPr>
        <w:tc>
          <w:tcPr>
            <w:tcW w:w="372" w:type="pct"/>
            <w:tcBorders>
              <w:top w:val="nil"/>
              <w:left w:val="single" w:color="000000" w:sz="8" w:space="0"/>
              <w:bottom w:val="single" w:color="000000" w:sz="8" w:space="0"/>
              <w:right w:val="single" w:color="000000" w:sz="8" w:space="0"/>
            </w:tcBorders>
            <w:shd w:val="clear" w:color="auto" w:fill="auto"/>
            <w:noWrap/>
            <w:vAlign w:val="center"/>
          </w:tcPr>
          <w:p w14:paraId="725DF6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349" w:type="pct"/>
            <w:vMerge w:val="restart"/>
            <w:tcBorders>
              <w:top w:val="nil"/>
              <w:left w:val="nil"/>
              <w:bottom w:val="single" w:color="000000" w:sz="8" w:space="0"/>
              <w:right w:val="single" w:color="000000" w:sz="8" w:space="0"/>
            </w:tcBorders>
            <w:shd w:val="clear" w:color="auto" w:fill="auto"/>
            <w:vAlign w:val="center"/>
          </w:tcPr>
          <w:p w14:paraId="2F5D3C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链路传输</w:t>
            </w:r>
          </w:p>
        </w:tc>
        <w:tc>
          <w:tcPr>
            <w:tcW w:w="550" w:type="pct"/>
            <w:vMerge w:val="restart"/>
            <w:tcBorders>
              <w:top w:val="nil"/>
              <w:left w:val="nil"/>
              <w:bottom w:val="single" w:color="000000" w:sz="8" w:space="0"/>
              <w:right w:val="single" w:color="000000" w:sz="8" w:space="0"/>
            </w:tcBorders>
            <w:shd w:val="clear" w:color="auto" w:fill="auto"/>
            <w:noWrap/>
            <w:vAlign w:val="center"/>
          </w:tcPr>
          <w:p w14:paraId="505B5C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VPN视频专线</w:t>
            </w:r>
          </w:p>
        </w:tc>
        <w:tc>
          <w:tcPr>
            <w:tcW w:w="1655" w:type="pct"/>
            <w:tcBorders>
              <w:top w:val="nil"/>
              <w:left w:val="nil"/>
              <w:bottom w:val="single" w:color="000000" w:sz="8" w:space="0"/>
              <w:right w:val="single" w:color="000000" w:sz="8" w:space="0"/>
            </w:tcBorders>
            <w:shd w:val="clear" w:color="auto" w:fill="auto"/>
            <w:vAlign w:val="center"/>
          </w:tcPr>
          <w:p w14:paraId="0F34A7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1000M，用于监控数据传至汇聚中心（专线）、上下对等专线，2025年5月至2026年4月，服务期共12个月</w:t>
            </w:r>
          </w:p>
        </w:tc>
        <w:tc>
          <w:tcPr>
            <w:tcW w:w="372" w:type="pct"/>
            <w:tcBorders>
              <w:top w:val="nil"/>
              <w:left w:val="nil"/>
              <w:bottom w:val="single" w:color="000000" w:sz="8" w:space="0"/>
              <w:right w:val="single" w:color="000000" w:sz="8" w:space="0"/>
            </w:tcBorders>
            <w:shd w:val="clear" w:color="auto" w:fill="auto"/>
            <w:noWrap/>
            <w:vAlign w:val="center"/>
          </w:tcPr>
          <w:p w14:paraId="109B7B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372" w:type="pct"/>
            <w:tcBorders>
              <w:top w:val="nil"/>
              <w:left w:val="nil"/>
              <w:bottom w:val="single" w:color="000000" w:sz="8" w:space="0"/>
              <w:right w:val="single" w:color="000000" w:sz="8" w:space="0"/>
            </w:tcBorders>
            <w:shd w:val="clear" w:color="auto" w:fill="auto"/>
            <w:noWrap/>
            <w:vAlign w:val="center"/>
          </w:tcPr>
          <w:p w14:paraId="236274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c>
          <w:tcPr>
            <w:tcW w:w="372" w:type="pct"/>
            <w:tcBorders>
              <w:top w:val="nil"/>
              <w:left w:val="nil"/>
              <w:bottom w:val="single" w:color="000000" w:sz="8" w:space="0"/>
              <w:right w:val="single" w:color="000000" w:sz="8" w:space="0"/>
            </w:tcBorders>
            <w:shd w:val="clear" w:color="auto" w:fill="auto"/>
            <w:noWrap/>
            <w:vAlign w:val="center"/>
          </w:tcPr>
          <w:p w14:paraId="02A913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60000</w:t>
            </w:r>
          </w:p>
        </w:tc>
        <w:tc>
          <w:tcPr>
            <w:tcW w:w="372" w:type="pct"/>
            <w:tcBorders>
              <w:top w:val="nil"/>
              <w:left w:val="nil"/>
              <w:bottom w:val="single" w:color="000000" w:sz="8" w:space="0"/>
              <w:right w:val="single" w:color="000000" w:sz="8" w:space="0"/>
            </w:tcBorders>
            <w:shd w:val="clear" w:color="auto" w:fill="auto"/>
            <w:noWrap/>
            <w:vAlign w:val="center"/>
          </w:tcPr>
          <w:p w14:paraId="34B3C0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60000</w:t>
            </w:r>
          </w:p>
        </w:tc>
        <w:tc>
          <w:tcPr>
            <w:tcW w:w="584" w:type="pct"/>
            <w:tcBorders>
              <w:top w:val="nil"/>
              <w:left w:val="nil"/>
              <w:bottom w:val="single" w:color="000000" w:sz="8" w:space="0"/>
              <w:right w:val="single" w:color="000000" w:sz="8" w:space="0"/>
            </w:tcBorders>
            <w:shd w:val="clear" w:color="auto" w:fill="auto"/>
            <w:vAlign w:val="center"/>
          </w:tcPr>
          <w:p w14:paraId="1FC1DE26">
            <w:pPr>
              <w:rPr>
                <w:rFonts w:hint="eastAsia" w:ascii="宋体" w:hAnsi="宋体" w:eastAsia="宋体" w:cs="宋体"/>
                <w:i w:val="0"/>
                <w:iCs w:val="0"/>
                <w:color w:val="000000"/>
                <w:sz w:val="21"/>
                <w:szCs w:val="21"/>
                <w:u w:val="none"/>
              </w:rPr>
            </w:pPr>
          </w:p>
        </w:tc>
      </w:tr>
      <w:tr w14:paraId="0D0E9D36">
        <w:trPr>
          <w:trHeight w:val="825" w:hRule="atLeast"/>
        </w:trPr>
        <w:tc>
          <w:tcPr>
            <w:tcW w:w="372" w:type="pct"/>
            <w:tcBorders>
              <w:top w:val="nil"/>
              <w:left w:val="single" w:color="000000" w:sz="8" w:space="0"/>
              <w:bottom w:val="single" w:color="000000" w:sz="8" w:space="0"/>
              <w:right w:val="single" w:color="000000" w:sz="8" w:space="0"/>
            </w:tcBorders>
            <w:shd w:val="clear" w:color="auto" w:fill="auto"/>
            <w:noWrap/>
            <w:vAlign w:val="center"/>
          </w:tcPr>
          <w:p w14:paraId="5980E2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349" w:type="pct"/>
            <w:vMerge w:val="continue"/>
            <w:tcBorders>
              <w:top w:val="nil"/>
              <w:left w:val="nil"/>
              <w:bottom w:val="single" w:color="000000" w:sz="8" w:space="0"/>
              <w:right w:val="single" w:color="000000" w:sz="8" w:space="0"/>
            </w:tcBorders>
            <w:shd w:val="clear" w:color="auto" w:fill="auto"/>
            <w:vAlign w:val="center"/>
          </w:tcPr>
          <w:p w14:paraId="106556A2">
            <w:pPr>
              <w:jc w:val="center"/>
              <w:rPr>
                <w:rFonts w:hint="eastAsia" w:ascii="宋体" w:hAnsi="宋体" w:eastAsia="宋体" w:cs="宋体"/>
                <w:i w:val="0"/>
                <w:iCs w:val="0"/>
                <w:color w:val="000000"/>
                <w:sz w:val="21"/>
                <w:szCs w:val="21"/>
                <w:u w:val="none"/>
              </w:rPr>
            </w:pPr>
          </w:p>
        </w:tc>
        <w:tc>
          <w:tcPr>
            <w:tcW w:w="550" w:type="pct"/>
            <w:vMerge w:val="continue"/>
            <w:tcBorders>
              <w:top w:val="nil"/>
              <w:left w:val="nil"/>
              <w:bottom w:val="single" w:color="000000" w:sz="8" w:space="0"/>
              <w:right w:val="single" w:color="000000" w:sz="8" w:space="0"/>
            </w:tcBorders>
            <w:shd w:val="clear" w:color="auto" w:fill="auto"/>
            <w:noWrap/>
            <w:vAlign w:val="center"/>
          </w:tcPr>
          <w:p w14:paraId="4AC66A76">
            <w:pPr>
              <w:jc w:val="center"/>
              <w:rPr>
                <w:rFonts w:hint="eastAsia" w:ascii="宋体" w:hAnsi="宋体" w:eastAsia="宋体" w:cs="宋体"/>
                <w:i w:val="0"/>
                <w:iCs w:val="0"/>
                <w:color w:val="000000"/>
                <w:sz w:val="21"/>
                <w:szCs w:val="21"/>
                <w:u w:val="none"/>
              </w:rPr>
            </w:pPr>
          </w:p>
        </w:tc>
        <w:tc>
          <w:tcPr>
            <w:tcW w:w="1655" w:type="pct"/>
            <w:tcBorders>
              <w:top w:val="nil"/>
              <w:left w:val="nil"/>
              <w:bottom w:val="single" w:color="000000" w:sz="8" w:space="0"/>
              <w:right w:val="single" w:color="000000" w:sz="8" w:space="0"/>
            </w:tcBorders>
            <w:shd w:val="clear" w:color="auto" w:fill="auto"/>
            <w:vAlign w:val="center"/>
          </w:tcPr>
          <w:p w14:paraId="3E376C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500M VPN视频专线，上下对等，用于监控数据传至汇聚中心（专线）上下对等，2025年5月至2026年4月，服务期共12个月</w:t>
            </w:r>
          </w:p>
        </w:tc>
        <w:tc>
          <w:tcPr>
            <w:tcW w:w="372" w:type="pct"/>
            <w:tcBorders>
              <w:top w:val="nil"/>
              <w:left w:val="nil"/>
              <w:bottom w:val="single" w:color="000000" w:sz="8" w:space="0"/>
              <w:right w:val="single" w:color="000000" w:sz="8" w:space="0"/>
            </w:tcBorders>
            <w:shd w:val="clear" w:color="auto" w:fill="auto"/>
            <w:noWrap/>
            <w:vAlign w:val="center"/>
          </w:tcPr>
          <w:p w14:paraId="6C8DE1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372" w:type="pct"/>
            <w:tcBorders>
              <w:top w:val="nil"/>
              <w:left w:val="nil"/>
              <w:bottom w:val="single" w:color="000000" w:sz="8" w:space="0"/>
              <w:right w:val="single" w:color="000000" w:sz="8" w:space="0"/>
            </w:tcBorders>
            <w:shd w:val="clear" w:color="auto" w:fill="auto"/>
            <w:noWrap/>
            <w:vAlign w:val="center"/>
          </w:tcPr>
          <w:p w14:paraId="496051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c>
          <w:tcPr>
            <w:tcW w:w="372" w:type="pct"/>
            <w:tcBorders>
              <w:top w:val="nil"/>
              <w:left w:val="nil"/>
              <w:bottom w:val="single" w:color="000000" w:sz="8" w:space="0"/>
              <w:right w:val="single" w:color="000000" w:sz="8" w:space="0"/>
            </w:tcBorders>
            <w:shd w:val="clear" w:color="auto" w:fill="auto"/>
            <w:noWrap/>
            <w:vAlign w:val="center"/>
          </w:tcPr>
          <w:p w14:paraId="48F178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6000</w:t>
            </w:r>
          </w:p>
        </w:tc>
        <w:tc>
          <w:tcPr>
            <w:tcW w:w="372" w:type="pct"/>
            <w:tcBorders>
              <w:top w:val="nil"/>
              <w:left w:val="nil"/>
              <w:bottom w:val="single" w:color="000000" w:sz="8" w:space="0"/>
              <w:right w:val="single" w:color="000000" w:sz="8" w:space="0"/>
            </w:tcBorders>
            <w:shd w:val="clear" w:color="auto" w:fill="auto"/>
            <w:noWrap/>
            <w:vAlign w:val="center"/>
          </w:tcPr>
          <w:p w14:paraId="2E0F31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12000</w:t>
            </w:r>
          </w:p>
        </w:tc>
        <w:tc>
          <w:tcPr>
            <w:tcW w:w="584" w:type="pct"/>
            <w:tcBorders>
              <w:top w:val="nil"/>
              <w:left w:val="nil"/>
              <w:bottom w:val="single" w:color="000000" w:sz="8" w:space="0"/>
              <w:right w:val="single" w:color="000000" w:sz="8" w:space="0"/>
            </w:tcBorders>
            <w:shd w:val="clear" w:color="auto" w:fill="auto"/>
            <w:vAlign w:val="center"/>
          </w:tcPr>
          <w:p w14:paraId="3616D5ED">
            <w:pPr>
              <w:rPr>
                <w:rFonts w:hint="eastAsia" w:ascii="宋体" w:hAnsi="宋体" w:eastAsia="宋体" w:cs="宋体"/>
                <w:i w:val="0"/>
                <w:iCs w:val="0"/>
                <w:color w:val="000000"/>
                <w:sz w:val="21"/>
                <w:szCs w:val="21"/>
                <w:u w:val="none"/>
              </w:rPr>
            </w:pPr>
          </w:p>
        </w:tc>
      </w:tr>
      <w:tr w14:paraId="17D46B56">
        <w:trPr>
          <w:trHeight w:val="825" w:hRule="atLeast"/>
        </w:trPr>
        <w:tc>
          <w:tcPr>
            <w:tcW w:w="372" w:type="pct"/>
            <w:tcBorders>
              <w:top w:val="nil"/>
              <w:left w:val="single" w:color="000000" w:sz="8" w:space="0"/>
              <w:bottom w:val="single" w:color="000000" w:sz="8" w:space="0"/>
              <w:right w:val="single" w:color="000000" w:sz="8" w:space="0"/>
            </w:tcBorders>
            <w:shd w:val="clear" w:color="auto" w:fill="auto"/>
            <w:noWrap/>
            <w:vAlign w:val="center"/>
          </w:tcPr>
          <w:p w14:paraId="1A1A71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349" w:type="pct"/>
            <w:vMerge w:val="continue"/>
            <w:tcBorders>
              <w:top w:val="nil"/>
              <w:left w:val="nil"/>
              <w:bottom w:val="single" w:color="000000" w:sz="8" w:space="0"/>
              <w:right w:val="single" w:color="000000" w:sz="8" w:space="0"/>
            </w:tcBorders>
            <w:shd w:val="clear" w:color="auto" w:fill="auto"/>
            <w:vAlign w:val="center"/>
          </w:tcPr>
          <w:p w14:paraId="158A9F78">
            <w:pPr>
              <w:jc w:val="center"/>
              <w:rPr>
                <w:rFonts w:hint="eastAsia" w:ascii="宋体" w:hAnsi="宋体" w:eastAsia="宋体" w:cs="宋体"/>
                <w:i w:val="0"/>
                <w:iCs w:val="0"/>
                <w:color w:val="000000"/>
                <w:sz w:val="21"/>
                <w:szCs w:val="21"/>
                <w:u w:val="none"/>
              </w:rPr>
            </w:pPr>
          </w:p>
        </w:tc>
        <w:tc>
          <w:tcPr>
            <w:tcW w:w="550" w:type="pct"/>
            <w:vMerge w:val="continue"/>
            <w:tcBorders>
              <w:top w:val="nil"/>
              <w:left w:val="nil"/>
              <w:bottom w:val="single" w:color="000000" w:sz="8" w:space="0"/>
              <w:right w:val="single" w:color="000000" w:sz="8" w:space="0"/>
            </w:tcBorders>
            <w:shd w:val="clear" w:color="auto" w:fill="auto"/>
            <w:noWrap/>
            <w:vAlign w:val="center"/>
          </w:tcPr>
          <w:p w14:paraId="5B5D7DC4">
            <w:pPr>
              <w:jc w:val="center"/>
              <w:rPr>
                <w:rFonts w:hint="eastAsia" w:ascii="宋体" w:hAnsi="宋体" w:eastAsia="宋体" w:cs="宋体"/>
                <w:i w:val="0"/>
                <w:iCs w:val="0"/>
                <w:color w:val="000000"/>
                <w:sz w:val="21"/>
                <w:szCs w:val="21"/>
                <w:u w:val="none"/>
              </w:rPr>
            </w:pPr>
          </w:p>
        </w:tc>
        <w:tc>
          <w:tcPr>
            <w:tcW w:w="1655" w:type="pct"/>
            <w:tcBorders>
              <w:top w:val="nil"/>
              <w:left w:val="nil"/>
              <w:bottom w:val="single" w:color="000000" w:sz="8" w:space="0"/>
              <w:right w:val="single" w:color="000000" w:sz="8" w:space="0"/>
            </w:tcBorders>
            <w:shd w:val="clear" w:color="auto" w:fill="auto"/>
            <w:vAlign w:val="center"/>
          </w:tcPr>
          <w:p w14:paraId="0E6592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30M VPN视频专线，上下对等，用于监控数据传至汇聚中心（专线），2025年5月至2026年4月，服务期共12个月</w:t>
            </w:r>
          </w:p>
        </w:tc>
        <w:tc>
          <w:tcPr>
            <w:tcW w:w="372" w:type="pct"/>
            <w:tcBorders>
              <w:top w:val="nil"/>
              <w:left w:val="nil"/>
              <w:bottom w:val="single" w:color="000000" w:sz="8" w:space="0"/>
              <w:right w:val="single" w:color="000000" w:sz="8" w:space="0"/>
            </w:tcBorders>
            <w:shd w:val="clear" w:color="auto" w:fill="auto"/>
            <w:noWrap/>
            <w:vAlign w:val="center"/>
          </w:tcPr>
          <w:p w14:paraId="4362EE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260</w:t>
            </w:r>
          </w:p>
        </w:tc>
        <w:tc>
          <w:tcPr>
            <w:tcW w:w="372" w:type="pct"/>
            <w:tcBorders>
              <w:top w:val="nil"/>
              <w:left w:val="nil"/>
              <w:bottom w:val="single" w:color="000000" w:sz="8" w:space="0"/>
              <w:right w:val="single" w:color="000000" w:sz="8" w:space="0"/>
            </w:tcBorders>
            <w:shd w:val="clear" w:color="auto" w:fill="auto"/>
            <w:noWrap/>
            <w:vAlign w:val="center"/>
          </w:tcPr>
          <w:p w14:paraId="5894B9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c>
          <w:tcPr>
            <w:tcW w:w="372" w:type="pct"/>
            <w:tcBorders>
              <w:top w:val="nil"/>
              <w:left w:val="nil"/>
              <w:bottom w:val="single" w:color="000000" w:sz="8" w:space="0"/>
              <w:right w:val="single" w:color="000000" w:sz="8" w:space="0"/>
            </w:tcBorders>
            <w:shd w:val="clear" w:color="auto" w:fill="auto"/>
            <w:noWrap/>
            <w:vAlign w:val="center"/>
          </w:tcPr>
          <w:p w14:paraId="0201BB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1920</w:t>
            </w:r>
          </w:p>
        </w:tc>
        <w:tc>
          <w:tcPr>
            <w:tcW w:w="372" w:type="pct"/>
            <w:tcBorders>
              <w:top w:val="nil"/>
              <w:left w:val="nil"/>
              <w:bottom w:val="single" w:color="000000" w:sz="8" w:space="0"/>
              <w:right w:val="single" w:color="000000" w:sz="8" w:space="0"/>
            </w:tcBorders>
            <w:shd w:val="clear" w:color="auto" w:fill="auto"/>
            <w:noWrap/>
            <w:vAlign w:val="center"/>
          </w:tcPr>
          <w:p w14:paraId="5F5EB9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499200</w:t>
            </w:r>
          </w:p>
        </w:tc>
        <w:tc>
          <w:tcPr>
            <w:tcW w:w="584" w:type="pct"/>
            <w:tcBorders>
              <w:top w:val="nil"/>
              <w:left w:val="nil"/>
              <w:bottom w:val="single" w:color="000000" w:sz="8" w:space="0"/>
              <w:right w:val="single" w:color="000000" w:sz="8" w:space="0"/>
            </w:tcBorders>
            <w:shd w:val="clear" w:color="auto" w:fill="auto"/>
            <w:vAlign w:val="center"/>
          </w:tcPr>
          <w:p w14:paraId="7A0E57D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含260套摄像机维护费</w:t>
            </w:r>
          </w:p>
        </w:tc>
      </w:tr>
      <w:tr w14:paraId="56306947">
        <w:trPr>
          <w:trHeight w:val="825" w:hRule="atLeast"/>
        </w:trPr>
        <w:tc>
          <w:tcPr>
            <w:tcW w:w="372" w:type="pct"/>
            <w:tcBorders>
              <w:top w:val="nil"/>
              <w:left w:val="single" w:color="000000" w:sz="8" w:space="0"/>
              <w:bottom w:val="single" w:color="000000" w:sz="8" w:space="0"/>
              <w:right w:val="single" w:color="000000" w:sz="8" w:space="0"/>
            </w:tcBorders>
            <w:shd w:val="clear" w:color="auto" w:fill="auto"/>
            <w:noWrap/>
            <w:vAlign w:val="center"/>
          </w:tcPr>
          <w:p w14:paraId="211729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349" w:type="pct"/>
            <w:vMerge w:val="continue"/>
            <w:tcBorders>
              <w:top w:val="nil"/>
              <w:left w:val="nil"/>
              <w:bottom w:val="single" w:color="000000" w:sz="8" w:space="0"/>
              <w:right w:val="single" w:color="000000" w:sz="8" w:space="0"/>
            </w:tcBorders>
            <w:shd w:val="clear" w:color="auto" w:fill="auto"/>
            <w:vAlign w:val="center"/>
          </w:tcPr>
          <w:p w14:paraId="6B804B99">
            <w:pPr>
              <w:jc w:val="center"/>
              <w:rPr>
                <w:rFonts w:hint="eastAsia" w:ascii="宋体" w:hAnsi="宋体" w:eastAsia="宋体" w:cs="宋体"/>
                <w:i w:val="0"/>
                <w:iCs w:val="0"/>
                <w:color w:val="000000"/>
                <w:sz w:val="21"/>
                <w:szCs w:val="21"/>
                <w:u w:val="none"/>
              </w:rPr>
            </w:pPr>
          </w:p>
        </w:tc>
        <w:tc>
          <w:tcPr>
            <w:tcW w:w="550" w:type="pct"/>
            <w:vMerge w:val="continue"/>
            <w:tcBorders>
              <w:top w:val="nil"/>
              <w:left w:val="nil"/>
              <w:bottom w:val="single" w:color="000000" w:sz="8" w:space="0"/>
              <w:right w:val="single" w:color="000000" w:sz="8" w:space="0"/>
            </w:tcBorders>
            <w:shd w:val="clear" w:color="auto" w:fill="auto"/>
            <w:noWrap/>
            <w:vAlign w:val="center"/>
          </w:tcPr>
          <w:p w14:paraId="544F6EB9">
            <w:pPr>
              <w:jc w:val="center"/>
              <w:rPr>
                <w:rFonts w:hint="eastAsia" w:ascii="宋体" w:hAnsi="宋体" w:eastAsia="宋体" w:cs="宋体"/>
                <w:i w:val="0"/>
                <w:iCs w:val="0"/>
                <w:color w:val="000000"/>
                <w:sz w:val="21"/>
                <w:szCs w:val="21"/>
                <w:u w:val="none"/>
              </w:rPr>
            </w:pPr>
          </w:p>
        </w:tc>
        <w:tc>
          <w:tcPr>
            <w:tcW w:w="1655" w:type="pct"/>
            <w:tcBorders>
              <w:top w:val="nil"/>
              <w:left w:val="nil"/>
              <w:bottom w:val="single" w:color="000000" w:sz="8" w:space="0"/>
              <w:right w:val="single" w:color="000000" w:sz="8" w:space="0"/>
            </w:tcBorders>
            <w:shd w:val="clear" w:color="auto" w:fill="auto"/>
            <w:vAlign w:val="center"/>
          </w:tcPr>
          <w:p w14:paraId="33217A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30M VPN视频专线，上下对等，用于监控数据传至汇聚中心（专线），2025年11月至2026年4月，服务期共6个月</w:t>
            </w:r>
          </w:p>
        </w:tc>
        <w:tc>
          <w:tcPr>
            <w:tcW w:w="372" w:type="pct"/>
            <w:tcBorders>
              <w:top w:val="nil"/>
              <w:left w:val="nil"/>
              <w:bottom w:val="single" w:color="000000" w:sz="8" w:space="0"/>
              <w:right w:val="single" w:color="000000" w:sz="8" w:space="0"/>
            </w:tcBorders>
            <w:shd w:val="clear" w:color="auto" w:fill="auto"/>
            <w:noWrap/>
            <w:vAlign w:val="center"/>
          </w:tcPr>
          <w:p w14:paraId="1DAF1B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101</w:t>
            </w:r>
          </w:p>
        </w:tc>
        <w:tc>
          <w:tcPr>
            <w:tcW w:w="372" w:type="pct"/>
            <w:tcBorders>
              <w:top w:val="nil"/>
              <w:left w:val="nil"/>
              <w:bottom w:val="single" w:color="000000" w:sz="8" w:space="0"/>
              <w:right w:val="single" w:color="000000" w:sz="8" w:space="0"/>
            </w:tcBorders>
            <w:shd w:val="clear" w:color="auto" w:fill="auto"/>
            <w:noWrap/>
            <w:vAlign w:val="center"/>
          </w:tcPr>
          <w:p w14:paraId="3151A8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c>
          <w:tcPr>
            <w:tcW w:w="372" w:type="pct"/>
            <w:tcBorders>
              <w:top w:val="nil"/>
              <w:left w:val="nil"/>
              <w:bottom w:val="single" w:color="000000" w:sz="8" w:space="0"/>
              <w:right w:val="single" w:color="000000" w:sz="8" w:space="0"/>
            </w:tcBorders>
            <w:shd w:val="clear" w:color="auto" w:fill="auto"/>
            <w:noWrap/>
            <w:vAlign w:val="center"/>
          </w:tcPr>
          <w:p w14:paraId="02807C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800</w:t>
            </w:r>
          </w:p>
        </w:tc>
        <w:tc>
          <w:tcPr>
            <w:tcW w:w="372" w:type="pct"/>
            <w:tcBorders>
              <w:top w:val="nil"/>
              <w:left w:val="nil"/>
              <w:bottom w:val="single" w:color="000000" w:sz="8" w:space="0"/>
              <w:right w:val="single" w:color="000000" w:sz="8" w:space="0"/>
            </w:tcBorders>
            <w:shd w:val="clear" w:color="auto" w:fill="auto"/>
            <w:noWrap/>
            <w:vAlign w:val="center"/>
          </w:tcPr>
          <w:p w14:paraId="119091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80800</w:t>
            </w:r>
          </w:p>
        </w:tc>
        <w:tc>
          <w:tcPr>
            <w:tcW w:w="584" w:type="pct"/>
            <w:vMerge w:val="restart"/>
            <w:tcBorders>
              <w:top w:val="nil"/>
              <w:left w:val="nil"/>
              <w:bottom w:val="single" w:color="000000" w:sz="8" w:space="0"/>
              <w:right w:val="single" w:color="000000" w:sz="8" w:space="0"/>
            </w:tcBorders>
            <w:shd w:val="clear" w:color="auto" w:fill="auto"/>
            <w:vAlign w:val="center"/>
          </w:tcPr>
          <w:p w14:paraId="66D8F6C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含107套摄像机维护费</w:t>
            </w:r>
          </w:p>
        </w:tc>
      </w:tr>
      <w:tr w14:paraId="4CB9BAED">
        <w:trPr>
          <w:trHeight w:val="825" w:hRule="atLeast"/>
        </w:trPr>
        <w:tc>
          <w:tcPr>
            <w:tcW w:w="372" w:type="pct"/>
            <w:tcBorders>
              <w:top w:val="nil"/>
              <w:left w:val="single" w:color="000000" w:sz="8" w:space="0"/>
              <w:bottom w:val="single" w:color="000000" w:sz="8" w:space="0"/>
              <w:right w:val="single" w:color="000000" w:sz="8" w:space="0"/>
            </w:tcBorders>
            <w:shd w:val="clear" w:color="auto" w:fill="auto"/>
            <w:noWrap/>
            <w:vAlign w:val="center"/>
          </w:tcPr>
          <w:p w14:paraId="76D982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349" w:type="pct"/>
            <w:vMerge w:val="continue"/>
            <w:tcBorders>
              <w:top w:val="nil"/>
              <w:left w:val="nil"/>
              <w:bottom w:val="single" w:color="000000" w:sz="8" w:space="0"/>
              <w:right w:val="single" w:color="000000" w:sz="8" w:space="0"/>
            </w:tcBorders>
            <w:shd w:val="clear" w:color="auto" w:fill="auto"/>
            <w:vAlign w:val="center"/>
          </w:tcPr>
          <w:p w14:paraId="0C9E6C7F">
            <w:pPr>
              <w:jc w:val="center"/>
              <w:rPr>
                <w:rFonts w:hint="eastAsia" w:ascii="宋体" w:hAnsi="宋体" w:eastAsia="宋体" w:cs="宋体"/>
                <w:i w:val="0"/>
                <w:iCs w:val="0"/>
                <w:color w:val="000000"/>
                <w:sz w:val="21"/>
                <w:szCs w:val="21"/>
                <w:u w:val="none"/>
              </w:rPr>
            </w:pPr>
          </w:p>
        </w:tc>
        <w:tc>
          <w:tcPr>
            <w:tcW w:w="550" w:type="pct"/>
            <w:vMerge w:val="continue"/>
            <w:tcBorders>
              <w:top w:val="nil"/>
              <w:left w:val="nil"/>
              <w:bottom w:val="single" w:color="000000" w:sz="8" w:space="0"/>
              <w:right w:val="single" w:color="000000" w:sz="8" w:space="0"/>
            </w:tcBorders>
            <w:shd w:val="clear" w:color="auto" w:fill="auto"/>
            <w:noWrap/>
            <w:vAlign w:val="center"/>
          </w:tcPr>
          <w:p w14:paraId="1C79CFBB">
            <w:pPr>
              <w:jc w:val="center"/>
              <w:rPr>
                <w:rFonts w:hint="eastAsia" w:ascii="宋体" w:hAnsi="宋体" w:eastAsia="宋体" w:cs="宋体"/>
                <w:i w:val="0"/>
                <w:iCs w:val="0"/>
                <w:color w:val="000000"/>
                <w:sz w:val="21"/>
                <w:szCs w:val="21"/>
                <w:u w:val="none"/>
              </w:rPr>
            </w:pPr>
          </w:p>
        </w:tc>
        <w:tc>
          <w:tcPr>
            <w:tcW w:w="1655" w:type="pct"/>
            <w:tcBorders>
              <w:top w:val="nil"/>
              <w:left w:val="nil"/>
              <w:bottom w:val="single" w:color="000000" w:sz="8" w:space="0"/>
              <w:right w:val="single" w:color="000000" w:sz="8" w:space="0"/>
            </w:tcBorders>
            <w:shd w:val="clear" w:color="auto" w:fill="auto"/>
            <w:vAlign w:val="center"/>
          </w:tcPr>
          <w:p w14:paraId="16D9EE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100M VPN视频专线，上下对等，用于监控数据传至汇聚中心（专线），2025年11月至2026年4月，服务期共6个月</w:t>
            </w:r>
          </w:p>
        </w:tc>
        <w:tc>
          <w:tcPr>
            <w:tcW w:w="372" w:type="pct"/>
            <w:tcBorders>
              <w:top w:val="nil"/>
              <w:left w:val="nil"/>
              <w:bottom w:val="single" w:color="000000" w:sz="8" w:space="0"/>
              <w:right w:val="single" w:color="000000" w:sz="8" w:space="0"/>
            </w:tcBorders>
            <w:shd w:val="clear" w:color="auto" w:fill="auto"/>
            <w:noWrap/>
            <w:vAlign w:val="center"/>
          </w:tcPr>
          <w:p w14:paraId="467B46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372" w:type="pct"/>
            <w:tcBorders>
              <w:top w:val="nil"/>
              <w:left w:val="nil"/>
              <w:bottom w:val="single" w:color="000000" w:sz="8" w:space="0"/>
              <w:right w:val="single" w:color="000000" w:sz="8" w:space="0"/>
            </w:tcBorders>
            <w:shd w:val="clear" w:color="auto" w:fill="auto"/>
            <w:noWrap/>
            <w:vAlign w:val="center"/>
          </w:tcPr>
          <w:p w14:paraId="782F52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c>
          <w:tcPr>
            <w:tcW w:w="372" w:type="pct"/>
            <w:tcBorders>
              <w:top w:val="nil"/>
              <w:left w:val="nil"/>
              <w:bottom w:val="single" w:color="000000" w:sz="8" w:space="0"/>
              <w:right w:val="single" w:color="000000" w:sz="8" w:space="0"/>
            </w:tcBorders>
            <w:shd w:val="clear" w:color="auto" w:fill="auto"/>
            <w:noWrap/>
            <w:vAlign w:val="center"/>
          </w:tcPr>
          <w:p w14:paraId="180E45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1500</w:t>
            </w:r>
          </w:p>
        </w:tc>
        <w:tc>
          <w:tcPr>
            <w:tcW w:w="372" w:type="pct"/>
            <w:tcBorders>
              <w:top w:val="nil"/>
              <w:left w:val="nil"/>
              <w:bottom w:val="single" w:color="000000" w:sz="8" w:space="0"/>
              <w:right w:val="single" w:color="000000" w:sz="8" w:space="0"/>
            </w:tcBorders>
            <w:shd w:val="clear" w:color="auto" w:fill="auto"/>
            <w:noWrap/>
            <w:vAlign w:val="center"/>
          </w:tcPr>
          <w:p w14:paraId="5C5EA5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584" w:type="pct"/>
            <w:vMerge w:val="continue"/>
            <w:tcBorders>
              <w:top w:val="nil"/>
              <w:left w:val="nil"/>
              <w:bottom w:val="single" w:color="000000" w:sz="8" w:space="0"/>
              <w:right w:val="single" w:color="000000" w:sz="8" w:space="0"/>
            </w:tcBorders>
            <w:shd w:val="clear" w:color="auto" w:fill="auto"/>
            <w:vAlign w:val="center"/>
          </w:tcPr>
          <w:p w14:paraId="74FB8FF2">
            <w:pPr>
              <w:jc w:val="left"/>
              <w:rPr>
                <w:rFonts w:hint="eastAsia" w:ascii="宋体" w:hAnsi="宋体" w:eastAsia="宋体" w:cs="宋体"/>
                <w:i w:val="0"/>
                <w:iCs w:val="0"/>
                <w:color w:val="000000"/>
                <w:sz w:val="21"/>
                <w:szCs w:val="21"/>
                <w:u w:val="none"/>
              </w:rPr>
            </w:pPr>
          </w:p>
        </w:tc>
      </w:tr>
      <w:tr w14:paraId="14B3B823">
        <w:trPr>
          <w:trHeight w:val="825" w:hRule="atLeast"/>
        </w:trPr>
        <w:tc>
          <w:tcPr>
            <w:tcW w:w="372" w:type="pct"/>
            <w:tcBorders>
              <w:top w:val="nil"/>
              <w:left w:val="single" w:color="000000" w:sz="8" w:space="0"/>
              <w:bottom w:val="single" w:color="000000" w:sz="8" w:space="0"/>
              <w:right w:val="single" w:color="000000" w:sz="8" w:space="0"/>
            </w:tcBorders>
            <w:shd w:val="clear" w:color="auto" w:fill="auto"/>
            <w:noWrap/>
            <w:vAlign w:val="center"/>
          </w:tcPr>
          <w:p w14:paraId="3DAC2F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349" w:type="pct"/>
            <w:vMerge w:val="continue"/>
            <w:tcBorders>
              <w:top w:val="nil"/>
              <w:left w:val="nil"/>
              <w:bottom w:val="single" w:color="000000" w:sz="8" w:space="0"/>
              <w:right w:val="single" w:color="000000" w:sz="8" w:space="0"/>
            </w:tcBorders>
            <w:shd w:val="clear" w:color="auto" w:fill="auto"/>
            <w:vAlign w:val="center"/>
          </w:tcPr>
          <w:p w14:paraId="494922DB">
            <w:pPr>
              <w:jc w:val="center"/>
              <w:rPr>
                <w:rFonts w:hint="eastAsia" w:ascii="宋体" w:hAnsi="宋体" w:eastAsia="宋体" w:cs="宋体"/>
                <w:i w:val="0"/>
                <w:iCs w:val="0"/>
                <w:color w:val="000000"/>
                <w:sz w:val="21"/>
                <w:szCs w:val="21"/>
                <w:u w:val="none"/>
              </w:rPr>
            </w:pPr>
          </w:p>
        </w:tc>
        <w:tc>
          <w:tcPr>
            <w:tcW w:w="550" w:type="pct"/>
            <w:vMerge w:val="continue"/>
            <w:tcBorders>
              <w:top w:val="nil"/>
              <w:left w:val="nil"/>
              <w:bottom w:val="single" w:color="000000" w:sz="8" w:space="0"/>
              <w:right w:val="single" w:color="000000" w:sz="8" w:space="0"/>
            </w:tcBorders>
            <w:shd w:val="clear" w:color="auto" w:fill="auto"/>
            <w:noWrap/>
            <w:vAlign w:val="center"/>
          </w:tcPr>
          <w:p w14:paraId="7238E2F5">
            <w:pPr>
              <w:jc w:val="center"/>
              <w:rPr>
                <w:rFonts w:hint="eastAsia" w:ascii="宋体" w:hAnsi="宋体" w:eastAsia="宋体" w:cs="宋体"/>
                <w:i w:val="0"/>
                <w:iCs w:val="0"/>
                <w:color w:val="000000"/>
                <w:sz w:val="21"/>
                <w:szCs w:val="21"/>
                <w:u w:val="none"/>
              </w:rPr>
            </w:pPr>
          </w:p>
        </w:tc>
        <w:tc>
          <w:tcPr>
            <w:tcW w:w="1655" w:type="pct"/>
            <w:tcBorders>
              <w:top w:val="nil"/>
              <w:left w:val="nil"/>
              <w:bottom w:val="single" w:color="000000" w:sz="8" w:space="0"/>
              <w:right w:val="single" w:color="000000" w:sz="8" w:space="0"/>
            </w:tcBorders>
            <w:shd w:val="clear" w:color="auto" w:fill="auto"/>
            <w:vAlign w:val="center"/>
          </w:tcPr>
          <w:p w14:paraId="56DB1B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500M VPN视频专线，上下对等，用于监控数据传至汇聚中心（专线），2025年11月至2026年4月，服务期共6个月</w:t>
            </w:r>
          </w:p>
        </w:tc>
        <w:tc>
          <w:tcPr>
            <w:tcW w:w="372" w:type="pct"/>
            <w:tcBorders>
              <w:top w:val="nil"/>
              <w:left w:val="nil"/>
              <w:bottom w:val="single" w:color="000000" w:sz="8" w:space="0"/>
              <w:right w:val="single" w:color="000000" w:sz="8" w:space="0"/>
            </w:tcBorders>
            <w:shd w:val="clear" w:color="auto" w:fill="auto"/>
            <w:noWrap/>
            <w:vAlign w:val="center"/>
          </w:tcPr>
          <w:p w14:paraId="74E062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372" w:type="pct"/>
            <w:tcBorders>
              <w:top w:val="nil"/>
              <w:left w:val="nil"/>
              <w:bottom w:val="single" w:color="000000" w:sz="8" w:space="0"/>
              <w:right w:val="single" w:color="000000" w:sz="8" w:space="0"/>
            </w:tcBorders>
            <w:shd w:val="clear" w:color="auto" w:fill="auto"/>
            <w:noWrap/>
            <w:vAlign w:val="center"/>
          </w:tcPr>
          <w:p w14:paraId="77E844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c>
          <w:tcPr>
            <w:tcW w:w="372" w:type="pct"/>
            <w:tcBorders>
              <w:top w:val="nil"/>
              <w:left w:val="nil"/>
              <w:bottom w:val="single" w:color="000000" w:sz="8" w:space="0"/>
              <w:right w:val="single" w:color="000000" w:sz="8" w:space="0"/>
            </w:tcBorders>
            <w:shd w:val="clear" w:color="auto" w:fill="auto"/>
            <w:noWrap/>
            <w:vAlign w:val="center"/>
          </w:tcPr>
          <w:p w14:paraId="3F5DE1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2500</w:t>
            </w:r>
          </w:p>
        </w:tc>
        <w:tc>
          <w:tcPr>
            <w:tcW w:w="372" w:type="pct"/>
            <w:tcBorders>
              <w:top w:val="nil"/>
              <w:left w:val="nil"/>
              <w:bottom w:val="single" w:color="000000" w:sz="8" w:space="0"/>
              <w:right w:val="single" w:color="000000" w:sz="8" w:space="0"/>
            </w:tcBorders>
            <w:shd w:val="clear" w:color="auto" w:fill="auto"/>
            <w:noWrap/>
            <w:vAlign w:val="center"/>
          </w:tcPr>
          <w:p w14:paraId="331948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10000</w:t>
            </w:r>
          </w:p>
        </w:tc>
        <w:tc>
          <w:tcPr>
            <w:tcW w:w="584" w:type="pct"/>
            <w:vMerge w:val="continue"/>
            <w:tcBorders>
              <w:top w:val="nil"/>
              <w:left w:val="nil"/>
              <w:bottom w:val="single" w:color="000000" w:sz="8" w:space="0"/>
              <w:right w:val="single" w:color="000000" w:sz="8" w:space="0"/>
            </w:tcBorders>
            <w:shd w:val="clear" w:color="auto" w:fill="auto"/>
            <w:vAlign w:val="center"/>
          </w:tcPr>
          <w:p w14:paraId="0C498446">
            <w:pPr>
              <w:jc w:val="left"/>
              <w:rPr>
                <w:rFonts w:hint="eastAsia" w:ascii="宋体" w:hAnsi="宋体" w:eastAsia="宋体" w:cs="宋体"/>
                <w:i w:val="0"/>
                <w:iCs w:val="0"/>
                <w:color w:val="000000"/>
                <w:sz w:val="21"/>
                <w:szCs w:val="21"/>
                <w:u w:val="none"/>
              </w:rPr>
            </w:pPr>
          </w:p>
        </w:tc>
      </w:tr>
      <w:tr w14:paraId="243BF751">
        <w:trPr>
          <w:trHeight w:val="825" w:hRule="atLeast"/>
        </w:trPr>
        <w:tc>
          <w:tcPr>
            <w:tcW w:w="372" w:type="pct"/>
            <w:tcBorders>
              <w:top w:val="nil"/>
              <w:left w:val="single" w:color="000000" w:sz="8" w:space="0"/>
              <w:bottom w:val="single" w:color="000000" w:sz="8" w:space="0"/>
              <w:right w:val="single" w:color="000000" w:sz="8" w:space="0"/>
            </w:tcBorders>
            <w:shd w:val="clear" w:color="auto" w:fill="auto"/>
            <w:noWrap/>
            <w:vAlign w:val="center"/>
          </w:tcPr>
          <w:p w14:paraId="0BA7FB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349" w:type="pct"/>
            <w:vMerge w:val="continue"/>
            <w:tcBorders>
              <w:top w:val="nil"/>
              <w:left w:val="nil"/>
              <w:bottom w:val="single" w:color="000000" w:sz="8" w:space="0"/>
              <w:right w:val="single" w:color="000000" w:sz="8" w:space="0"/>
            </w:tcBorders>
            <w:shd w:val="clear" w:color="auto" w:fill="auto"/>
            <w:vAlign w:val="center"/>
          </w:tcPr>
          <w:p w14:paraId="16CD437B">
            <w:pPr>
              <w:jc w:val="center"/>
              <w:rPr>
                <w:rFonts w:hint="eastAsia" w:ascii="宋体" w:hAnsi="宋体" w:eastAsia="宋体" w:cs="宋体"/>
                <w:i w:val="0"/>
                <w:iCs w:val="0"/>
                <w:color w:val="000000"/>
                <w:sz w:val="21"/>
                <w:szCs w:val="21"/>
                <w:u w:val="none"/>
              </w:rPr>
            </w:pPr>
          </w:p>
        </w:tc>
        <w:tc>
          <w:tcPr>
            <w:tcW w:w="550" w:type="pct"/>
            <w:vMerge w:val="continue"/>
            <w:tcBorders>
              <w:top w:val="nil"/>
              <w:left w:val="nil"/>
              <w:bottom w:val="single" w:color="000000" w:sz="8" w:space="0"/>
              <w:right w:val="single" w:color="000000" w:sz="8" w:space="0"/>
            </w:tcBorders>
            <w:shd w:val="clear" w:color="auto" w:fill="auto"/>
            <w:noWrap/>
            <w:vAlign w:val="center"/>
          </w:tcPr>
          <w:p w14:paraId="4F639093">
            <w:pPr>
              <w:jc w:val="center"/>
              <w:rPr>
                <w:rFonts w:hint="eastAsia" w:ascii="宋体" w:hAnsi="宋体" w:eastAsia="宋体" w:cs="宋体"/>
                <w:i w:val="0"/>
                <w:iCs w:val="0"/>
                <w:color w:val="000000"/>
                <w:sz w:val="21"/>
                <w:szCs w:val="21"/>
                <w:u w:val="none"/>
              </w:rPr>
            </w:pPr>
          </w:p>
        </w:tc>
        <w:tc>
          <w:tcPr>
            <w:tcW w:w="1655" w:type="pct"/>
            <w:tcBorders>
              <w:top w:val="nil"/>
              <w:left w:val="nil"/>
              <w:bottom w:val="single" w:color="000000" w:sz="8" w:space="0"/>
              <w:right w:val="single" w:color="000000" w:sz="8" w:space="0"/>
            </w:tcBorders>
            <w:shd w:val="clear" w:color="auto" w:fill="auto"/>
            <w:vAlign w:val="center"/>
          </w:tcPr>
          <w:p w14:paraId="633A8F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30M VPN视频专线，上下对等，用于监控数据传至汇聚中心（专线），2025年12月至2026年4月，服务期共5个月</w:t>
            </w:r>
          </w:p>
        </w:tc>
        <w:tc>
          <w:tcPr>
            <w:tcW w:w="372" w:type="pct"/>
            <w:tcBorders>
              <w:top w:val="nil"/>
              <w:left w:val="nil"/>
              <w:bottom w:val="single" w:color="000000" w:sz="8" w:space="0"/>
              <w:right w:val="single" w:color="000000" w:sz="8" w:space="0"/>
            </w:tcBorders>
            <w:shd w:val="clear" w:color="auto" w:fill="auto"/>
            <w:noWrap/>
            <w:vAlign w:val="center"/>
          </w:tcPr>
          <w:p w14:paraId="275225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372" w:type="pct"/>
            <w:tcBorders>
              <w:top w:val="nil"/>
              <w:left w:val="nil"/>
              <w:bottom w:val="single" w:color="000000" w:sz="8" w:space="0"/>
              <w:right w:val="single" w:color="000000" w:sz="8" w:space="0"/>
            </w:tcBorders>
            <w:shd w:val="clear" w:color="auto" w:fill="auto"/>
            <w:noWrap/>
            <w:vAlign w:val="center"/>
          </w:tcPr>
          <w:p w14:paraId="00DFBF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c>
          <w:tcPr>
            <w:tcW w:w="372" w:type="pct"/>
            <w:tcBorders>
              <w:top w:val="nil"/>
              <w:left w:val="nil"/>
              <w:bottom w:val="single" w:color="000000" w:sz="8" w:space="0"/>
              <w:right w:val="single" w:color="000000" w:sz="8" w:space="0"/>
            </w:tcBorders>
            <w:shd w:val="clear" w:color="auto" w:fill="auto"/>
            <w:noWrap/>
            <w:vAlign w:val="center"/>
          </w:tcPr>
          <w:p w14:paraId="7E8571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640</w:t>
            </w:r>
          </w:p>
        </w:tc>
        <w:tc>
          <w:tcPr>
            <w:tcW w:w="372" w:type="pct"/>
            <w:tcBorders>
              <w:top w:val="nil"/>
              <w:left w:val="nil"/>
              <w:bottom w:val="single" w:color="000000" w:sz="8" w:space="0"/>
              <w:right w:val="single" w:color="000000" w:sz="8" w:space="0"/>
            </w:tcBorders>
            <w:shd w:val="clear" w:color="auto" w:fill="auto"/>
            <w:noWrap/>
            <w:vAlign w:val="center"/>
          </w:tcPr>
          <w:p w14:paraId="2F7CF7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17280</w:t>
            </w:r>
          </w:p>
        </w:tc>
        <w:tc>
          <w:tcPr>
            <w:tcW w:w="584" w:type="pct"/>
            <w:tcBorders>
              <w:top w:val="nil"/>
              <w:left w:val="nil"/>
              <w:bottom w:val="single" w:color="000000" w:sz="8" w:space="0"/>
              <w:right w:val="single" w:color="000000" w:sz="8" w:space="0"/>
            </w:tcBorders>
            <w:shd w:val="clear" w:color="auto" w:fill="auto"/>
            <w:vAlign w:val="center"/>
          </w:tcPr>
          <w:p w14:paraId="45F5C9D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含27套摄像机维护费</w:t>
            </w:r>
          </w:p>
        </w:tc>
      </w:tr>
      <w:tr w14:paraId="39CB4F1B">
        <w:trPr>
          <w:trHeight w:val="880" w:hRule="atLeast"/>
        </w:trPr>
        <w:tc>
          <w:tcPr>
            <w:tcW w:w="372" w:type="pct"/>
            <w:tcBorders>
              <w:top w:val="nil"/>
              <w:left w:val="single" w:color="000000" w:sz="8" w:space="0"/>
              <w:bottom w:val="single" w:color="000000" w:sz="8" w:space="0"/>
              <w:right w:val="single" w:color="000000" w:sz="8" w:space="0"/>
            </w:tcBorders>
            <w:shd w:val="clear" w:color="auto" w:fill="auto"/>
            <w:noWrap/>
            <w:vAlign w:val="center"/>
          </w:tcPr>
          <w:p w14:paraId="69CA96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349" w:type="pct"/>
            <w:vMerge w:val="continue"/>
            <w:tcBorders>
              <w:top w:val="nil"/>
              <w:left w:val="nil"/>
              <w:bottom w:val="single" w:color="000000" w:sz="8" w:space="0"/>
              <w:right w:val="single" w:color="000000" w:sz="8" w:space="0"/>
            </w:tcBorders>
            <w:shd w:val="clear" w:color="auto" w:fill="auto"/>
            <w:vAlign w:val="center"/>
          </w:tcPr>
          <w:p w14:paraId="3C4064FA">
            <w:pPr>
              <w:jc w:val="center"/>
              <w:rPr>
                <w:rFonts w:hint="eastAsia" w:ascii="宋体" w:hAnsi="宋体" w:eastAsia="宋体" w:cs="宋体"/>
                <w:i w:val="0"/>
                <w:iCs w:val="0"/>
                <w:color w:val="000000"/>
                <w:sz w:val="21"/>
                <w:szCs w:val="21"/>
                <w:u w:val="none"/>
              </w:rPr>
            </w:pPr>
          </w:p>
        </w:tc>
        <w:tc>
          <w:tcPr>
            <w:tcW w:w="550" w:type="pct"/>
            <w:vMerge w:val="continue"/>
            <w:tcBorders>
              <w:top w:val="nil"/>
              <w:left w:val="nil"/>
              <w:bottom w:val="single" w:color="000000" w:sz="8" w:space="0"/>
              <w:right w:val="single" w:color="000000" w:sz="8" w:space="0"/>
            </w:tcBorders>
            <w:shd w:val="clear" w:color="auto" w:fill="auto"/>
            <w:noWrap/>
            <w:vAlign w:val="center"/>
          </w:tcPr>
          <w:p w14:paraId="123164B9">
            <w:pPr>
              <w:jc w:val="center"/>
              <w:rPr>
                <w:rFonts w:hint="eastAsia" w:ascii="宋体" w:hAnsi="宋体" w:eastAsia="宋体" w:cs="宋体"/>
                <w:i w:val="0"/>
                <w:iCs w:val="0"/>
                <w:color w:val="000000"/>
                <w:sz w:val="21"/>
                <w:szCs w:val="21"/>
                <w:u w:val="none"/>
              </w:rPr>
            </w:pPr>
          </w:p>
        </w:tc>
        <w:tc>
          <w:tcPr>
            <w:tcW w:w="1655" w:type="pct"/>
            <w:tcBorders>
              <w:top w:val="nil"/>
              <w:left w:val="nil"/>
              <w:bottom w:val="single" w:color="000000" w:sz="8" w:space="0"/>
              <w:right w:val="single" w:color="000000" w:sz="8" w:space="0"/>
            </w:tcBorders>
            <w:shd w:val="clear" w:color="auto" w:fill="auto"/>
            <w:vAlign w:val="center"/>
          </w:tcPr>
          <w:p w14:paraId="253713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30M VPN视频专线，上下对等，用于监控数据传至汇聚中心（专线），2025年11月至2026年4月，服务期共6个月</w:t>
            </w:r>
          </w:p>
        </w:tc>
        <w:tc>
          <w:tcPr>
            <w:tcW w:w="372" w:type="pct"/>
            <w:tcBorders>
              <w:top w:val="nil"/>
              <w:left w:val="nil"/>
              <w:bottom w:val="single" w:color="000000" w:sz="8" w:space="0"/>
              <w:right w:val="single" w:color="000000" w:sz="8" w:space="0"/>
            </w:tcBorders>
            <w:shd w:val="clear" w:color="auto" w:fill="auto"/>
            <w:noWrap/>
            <w:vAlign w:val="center"/>
          </w:tcPr>
          <w:p w14:paraId="764954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372" w:type="pct"/>
            <w:tcBorders>
              <w:top w:val="nil"/>
              <w:left w:val="nil"/>
              <w:bottom w:val="single" w:color="000000" w:sz="8" w:space="0"/>
              <w:right w:val="single" w:color="000000" w:sz="8" w:space="0"/>
            </w:tcBorders>
            <w:shd w:val="clear" w:color="auto" w:fill="auto"/>
            <w:noWrap/>
            <w:vAlign w:val="center"/>
          </w:tcPr>
          <w:p w14:paraId="459D5E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c>
          <w:tcPr>
            <w:tcW w:w="372" w:type="pct"/>
            <w:tcBorders>
              <w:top w:val="nil"/>
              <w:left w:val="nil"/>
              <w:bottom w:val="single" w:color="000000" w:sz="8" w:space="0"/>
              <w:right w:val="single" w:color="000000" w:sz="8" w:space="0"/>
            </w:tcBorders>
            <w:shd w:val="clear" w:color="auto" w:fill="auto"/>
            <w:noWrap/>
            <w:vAlign w:val="center"/>
          </w:tcPr>
          <w:p w14:paraId="079F09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800</w:t>
            </w:r>
          </w:p>
        </w:tc>
        <w:tc>
          <w:tcPr>
            <w:tcW w:w="372" w:type="pct"/>
            <w:tcBorders>
              <w:top w:val="nil"/>
              <w:left w:val="nil"/>
              <w:bottom w:val="single" w:color="000000" w:sz="8" w:space="0"/>
              <w:right w:val="single" w:color="000000" w:sz="8" w:space="0"/>
            </w:tcBorders>
            <w:shd w:val="clear" w:color="auto" w:fill="auto"/>
            <w:noWrap/>
            <w:vAlign w:val="center"/>
          </w:tcPr>
          <w:p w14:paraId="7834BC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11200</w:t>
            </w:r>
          </w:p>
        </w:tc>
        <w:tc>
          <w:tcPr>
            <w:tcW w:w="584" w:type="pct"/>
            <w:tcBorders>
              <w:top w:val="nil"/>
              <w:left w:val="nil"/>
              <w:bottom w:val="single" w:color="000000" w:sz="8" w:space="0"/>
              <w:right w:val="single" w:color="000000" w:sz="8" w:space="0"/>
            </w:tcBorders>
            <w:shd w:val="clear" w:color="auto" w:fill="auto"/>
            <w:vAlign w:val="center"/>
          </w:tcPr>
          <w:p w14:paraId="4EC60A6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含14套摄像机维护费</w:t>
            </w:r>
          </w:p>
        </w:tc>
      </w:tr>
      <w:tr w14:paraId="456230DD">
        <w:trPr>
          <w:trHeight w:val="900" w:hRule="atLeast"/>
        </w:trPr>
        <w:tc>
          <w:tcPr>
            <w:tcW w:w="372" w:type="pct"/>
            <w:tcBorders>
              <w:top w:val="nil"/>
              <w:left w:val="single" w:color="000000" w:sz="8" w:space="0"/>
              <w:bottom w:val="single" w:color="000000" w:sz="8" w:space="0"/>
              <w:right w:val="single" w:color="000000" w:sz="8" w:space="0"/>
            </w:tcBorders>
            <w:shd w:val="clear" w:color="auto" w:fill="auto"/>
            <w:noWrap/>
            <w:vAlign w:val="center"/>
          </w:tcPr>
          <w:p w14:paraId="6C4AAF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349" w:type="pct"/>
            <w:vMerge w:val="continue"/>
            <w:tcBorders>
              <w:top w:val="nil"/>
              <w:left w:val="nil"/>
              <w:bottom w:val="single" w:color="000000" w:sz="8" w:space="0"/>
              <w:right w:val="single" w:color="000000" w:sz="8" w:space="0"/>
            </w:tcBorders>
            <w:shd w:val="clear" w:color="auto" w:fill="auto"/>
            <w:vAlign w:val="center"/>
          </w:tcPr>
          <w:p w14:paraId="17192B53">
            <w:pPr>
              <w:jc w:val="center"/>
              <w:rPr>
                <w:rFonts w:hint="eastAsia" w:ascii="宋体" w:hAnsi="宋体" w:eastAsia="宋体" w:cs="宋体"/>
                <w:i w:val="0"/>
                <w:iCs w:val="0"/>
                <w:color w:val="000000"/>
                <w:sz w:val="21"/>
                <w:szCs w:val="21"/>
                <w:u w:val="none"/>
              </w:rPr>
            </w:pPr>
          </w:p>
        </w:tc>
        <w:tc>
          <w:tcPr>
            <w:tcW w:w="550" w:type="pct"/>
            <w:vMerge w:val="continue"/>
            <w:tcBorders>
              <w:top w:val="nil"/>
              <w:left w:val="nil"/>
              <w:bottom w:val="single" w:color="000000" w:sz="8" w:space="0"/>
              <w:right w:val="single" w:color="000000" w:sz="8" w:space="0"/>
            </w:tcBorders>
            <w:shd w:val="clear" w:color="auto" w:fill="auto"/>
            <w:noWrap/>
            <w:vAlign w:val="center"/>
          </w:tcPr>
          <w:p w14:paraId="08381A02">
            <w:pPr>
              <w:jc w:val="center"/>
              <w:rPr>
                <w:rFonts w:hint="eastAsia" w:ascii="宋体" w:hAnsi="宋体" w:eastAsia="宋体" w:cs="宋体"/>
                <w:i w:val="0"/>
                <w:iCs w:val="0"/>
                <w:color w:val="000000"/>
                <w:sz w:val="21"/>
                <w:szCs w:val="21"/>
                <w:u w:val="none"/>
              </w:rPr>
            </w:pPr>
          </w:p>
        </w:tc>
        <w:tc>
          <w:tcPr>
            <w:tcW w:w="1655" w:type="pct"/>
            <w:tcBorders>
              <w:top w:val="nil"/>
              <w:left w:val="nil"/>
              <w:bottom w:val="single" w:color="000000" w:sz="8" w:space="0"/>
              <w:right w:val="single" w:color="000000" w:sz="8" w:space="0"/>
            </w:tcBorders>
            <w:shd w:val="clear" w:color="auto" w:fill="auto"/>
            <w:vAlign w:val="center"/>
          </w:tcPr>
          <w:p w14:paraId="15086C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不于低500M，用于监控数据传至汇聚中心（专线），2025年11月至2026年4月，服务期共6个月</w:t>
            </w:r>
          </w:p>
        </w:tc>
        <w:tc>
          <w:tcPr>
            <w:tcW w:w="372" w:type="pct"/>
            <w:tcBorders>
              <w:top w:val="nil"/>
              <w:left w:val="nil"/>
              <w:bottom w:val="single" w:color="000000" w:sz="8" w:space="0"/>
              <w:right w:val="single" w:color="000000" w:sz="8" w:space="0"/>
            </w:tcBorders>
            <w:shd w:val="clear" w:color="auto" w:fill="auto"/>
            <w:noWrap/>
            <w:vAlign w:val="center"/>
          </w:tcPr>
          <w:p w14:paraId="7F606A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372" w:type="pct"/>
            <w:tcBorders>
              <w:top w:val="nil"/>
              <w:left w:val="nil"/>
              <w:bottom w:val="single" w:color="000000" w:sz="8" w:space="0"/>
              <w:right w:val="single" w:color="000000" w:sz="8" w:space="0"/>
            </w:tcBorders>
            <w:shd w:val="clear" w:color="auto" w:fill="auto"/>
            <w:noWrap/>
            <w:vAlign w:val="center"/>
          </w:tcPr>
          <w:p w14:paraId="310BBB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c>
          <w:tcPr>
            <w:tcW w:w="372" w:type="pct"/>
            <w:tcBorders>
              <w:top w:val="nil"/>
              <w:left w:val="nil"/>
              <w:bottom w:val="single" w:color="000000" w:sz="8" w:space="0"/>
              <w:right w:val="single" w:color="000000" w:sz="8" w:space="0"/>
            </w:tcBorders>
            <w:shd w:val="clear" w:color="auto" w:fill="auto"/>
            <w:noWrap/>
            <w:vAlign w:val="center"/>
          </w:tcPr>
          <w:p w14:paraId="7AD9B8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2500</w:t>
            </w:r>
          </w:p>
        </w:tc>
        <w:tc>
          <w:tcPr>
            <w:tcW w:w="372" w:type="pct"/>
            <w:tcBorders>
              <w:top w:val="nil"/>
              <w:left w:val="nil"/>
              <w:bottom w:val="single" w:color="000000" w:sz="8" w:space="0"/>
              <w:right w:val="single" w:color="000000" w:sz="8" w:space="0"/>
            </w:tcBorders>
            <w:shd w:val="clear" w:color="auto" w:fill="auto"/>
            <w:noWrap/>
            <w:vAlign w:val="center"/>
          </w:tcPr>
          <w:p w14:paraId="05408B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2500</w:t>
            </w:r>
          </w:p>
        </w:tc>
        <w:tc>
          <w:tcPr>
            <w:tcW w:w="584" w:type="pct"/>
            <w:tcBorders>
              <w:top w:val="nil"/>
              <w:left w:val="nil"/>
              <w:bottom w:val="single" w:color="000000" w:sz="8" w:space="0"/>
              <w:right w:val="single" w:color="000000" w:sz="8" w:space="0"/>
            </w:tcBorders>
            <w:shd w:val="clear" w:color="auto" w:fill="auto"/>
            <w:vAlign w:val="center"/>
          </w:tcPr>
          <w:p w14:paraId="4180BD7E">
            <w:pPr>
              <w:jc w:val="left"/>
              <w:rPr>
                <w:rFonts w:hint="eastAsia" w:ascii="宋体" w:hAnsi="宋体" w:eastAsia="宋体" w:cs="宋体"/>
                <w:i w:val="0"/>
                <w:iCs w:val="0"/>
                <w:color w:val="000000"/>
                <w:sz w:val="21"/>
                <w:szCs w:val="21"/>
                <w:u w:val="none"/>
              </w:rPr>
            </w:pPr>
          </w:p>
        </w:tc>
      </w:tr>
      <w:tr w14:paraId="6D0D5125">
        <w:trPr>
          <w:trHeight w:val="825" w:hRule="atLeast"/>
        </w:trPr>
        <w:tc>
          <w:tcPr>
            <w:tcW w:w="372" w:type="pct"/>
            <w:tcBorders>
              <w:top w:val="nil"/>
              <w:left w:val="single" w:color="000000" w:sz="8" w:space="0"/>
              <w:bottom w:val="single" w:color="000000" w:sz="8" w:space="0"/>
              <w:right w:val="single" w:color="000000" w:sz="8" w:space="0"/>
            </w:tcBorders>
            <w:shd w:val="clear" w:color="auto" w:fill="auto"/>
            <w:noWrap/>
            <w:vAlign w:val="center"/>
          </w:tcPr>
          <w:p w14:paraId="601494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349" w:type="pct"/>
            <w:vMerge w:val="continue"/>
            <w:tcBorders>
              <w:top w:val="nil"/>
              <w:left w:val="nil"/>
              <w:bottom w:val="single" w:color="000000" w:sz="8" w:space="0"/>
              <w:right w:val="single" w:color="000000" w:sz="8" w:space="0"/>
            </w:tcBorders>
            <w:shd w:val="clear" w:color="auto" w:fill="auto"/>
            <w:vAlign w:val="center"/>
          </w:tcPr>
          <w:p w14:paraId="5F7F52EF">
            <w:pPr>
              <w:jc w:val="center"/>
              <w:rPr>
                <w:rFonts w:hint="eastAsia" w:ascii="宋体" w:hAnsi="宋体" w:eastAsia="宋体" w:cs="宋体"/>
                <w:i w:val="0"/>
                <w:iCs w:val="0"/>
                <w:color w:val="000000"/>
                <w:sz w:val="21"/>
                <w:szCs w:val="21"/>
                <w:u w:val="none"/>
              </w:rPr>
            </w:pPr>
          </w:p>
        </w:tc>
        <w:tc>
          <w:tcPr>
            <w:tcW w:w="550" w:type="pct"/>
            <w:vMerge w:val="continue"/>
            <w:tcBorders>
              <w:top w:val="nil"/>
              <w:left w:val="nil"/>
              <w:bottom w:val="single" w:color="000000" w:sz="8" w:space="0"/>
              <w:right w:val="single" w:color="000000" w:sz="8" w:space="0"/>
            </w:tcBorders>
            <w:shd w:val="clear" w:color="auto" w:fill="auto"/>
            <w:noWrap/>
            <w:vAlign w:val="center"/>
          </w:tcPr>
          <w:p w14:paraId="54AE7991">
            <w:pPr>
              <w:jc w:val="center"/>
              <w:rPr>
                <w:rFonts w:hint="eastAsia" w:ascii="宋体" w:hAnsi="宋体" w:eastAsia="宋体" w:cs="宋体"/>
                <w:i w:val="0"/>
                <w:iCs w:val="0"/>
                <w:color w:val="000000"/>
                <w:sz w:val="21"/>
                <w:szCs w:val="21"/>
                <w:u w:val="none"/>
              </w:rPr>
            </w:pPr>
          </w:p>
        </w:tc>
        <w:tc>
          <w:tcPr>
            <w:tcW w:w="1655" w:type="pct"/>
            <w:tcBorders>
              <w:top w:val="nil"/>
              <w:left w:val="nil"/>
              <w:bottom w:val="single" w:color="000000" w:sz="8" w:space="0"/>
              <w:right w:val="single" w:color="000000" w:sz="8" w:space="0"/>
            </w:tcBorders>
            <w:shd w:val="clear" w:color="auto" w:fill="auto"/>
            <w:vAlign w:val="center"/>
          </w:tcPr>
          <w:p w14:paraId="133910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不于低1000M，用于监控数据传至汇聚中心（专线）、上下对等专线，2025年11月至2026年4月，服务期共6个月</w:t>
            </w:r>
          </w:p>
        </w:tc>
        <w:tc>
          <w:tcPr>
            <w:tcW w:w="372" w:type="pct"/>
            <w:tcBorders>
              <w:top w:val="nil"/>
              <w:left w:val="nil"/>
              <w:bottom w:val="single" w:color="000000" w:sz="8" w:space="0"/>
              <w:right w:val="single" w:color="000000" w:sz="8" w:space="0"/>
            </w:tcBorders>
            <w:shd w:val="clear" w:color="auto" w:fill="auto"/>
            <w:noWrap/>
            <w:vAlign w:val="center"/>
          </w:tcPr>
          <w:p w14:paraId="40E851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372" w:type="pct"/>
            <w:tcBorders>
              <w:top w:val="nil"/>
              <w:left w:val="nil"/>
              <w:bottom w:val="single" w:color="000000" w:sz="8" w:space="0"/>
              <w:right w:val="single" w:color="000000" w:sz="8" w:space="0"/>
            </w:tcBorders>
            <w:shd w:val="clear" w:color="auto" w:fill="auto"/>
            <w:noWrap/>
            <w:vAlign w:val="center"/>
          </w:tcPr>
          <w:p w14:paraId="431CD2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c>
          <w:tcPr>
            <w:tcW w:w="372" w:type="pct"/>
            <w:tcBorders>
              <w:top w:val="nil"/>
              <w:left w:val="nil"/>
              <w:bottom w:val="single" w:color="000000" w:sz="8" w:space="0"/>
              <w:right w:val="single" w:color="000000" w:sz="8" w:space="0"/>
            </w:tcBorders>
            <w:shd w:val="clear" w:color="auto" w:fill="auto"/>
            <w:noWrap/>
            <w:vAlign w:val="center"/>
          </w:tcPr>
          <w:p w14:paraId="301D7688">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24920</w:t>
            </w:r>
          </w:p>
        </w:tc>
        <w:tc>
          <w:tcPr>
            <w:tcW w:w="372" w:type="pct"/>
            <w:tcBorders>
              <w:top w:val="nil"/>
              <w:left w:val="nil"/>
              <w:bottom w:val="single" w:color="000000" w:sz="8" w:space="0"/>
              <w:right w:val="single" w:color="000000" w:sz="8" w:space="0"/>
            </w:tcBorders>
            <w:shd w:val="clear" w:color="auto" w:fill="auto"/>
            <w:noWrap/>
            <w:vAlign w:val="center"/>
          </w:tcPr>
          <w:p w14:paraId="39DFD8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24920</w:t>
            </w:r>
          </w:p>
        </w:tc>
        <w:tc>
          <w:tcPr>
            <w:tcW w:w="584" w:type="pct"/>
            <w:tcBorders>
              <w:top w:val="nil"/>
              <w:left w:val="nil"/>
              <w:bottom w:val="single" w:color="000000" w:sz="8" w:space="0"/>
              <w:right w:val="single" w:color="000000" w:sz="8" w:space="0"/>
            </w:tcBorders>
            <w:shd w:val="clear" w:color="auto" w:fill="auto"/>
            <w:vAlign w:val="center"/>
          </w:tcPr>
          <w:p w14:paraId="0FA5A792">
            <w:pPr>
              <w:jc w:val="left"/>
              <w:rPr>
                <w:rFonts w:hint="eastAsia" w:ascii="宋体" w:hAnsi="宋体" w:eastAsia="宋体" w:cs="宋体"/>
                <w:i w:val="0"/>
                <w:iCs w:val="0"/>
                <w:color w:val="000000"/>
                <w:sz w:val="21"/>
                <w:szCs w:val="21"/>
                <w:u w:val="none"/>
              </w:rPr>
            </w:pPr>
          </w:p>
        </w:tc>
      </w:tr>
      <w:tr w14:paraId="7C73378C">
        <w:trPr>
          <w:trHeight w:val="480" w:hRule="atLeast"/>
        </w:trPr>
        <w:tc>
          <w:tcPr>
            <w:tcW w:w="372" w:type="pct"/>
            <w:tcBorders>
              <w:top w:val="nil"/>
              <w:left w:val="single" w:color="000000" w:sz="8" w:space="0"/>
              <w:bottom w:val="single" w:color="000000" w:sz="8" w:space="0"/>
              <w:right w:val="single" w:color="000000" w:sz="8" w:space="0"/>
            </w:tcBorders>
            <w:shd w:val="clear" w:color="auto" w:fill="auto"/>
            <w:noWrap/>
            <w:vAlign w:val="center"/>
          </w:tcPr>
          <w:p w14:paraId="59ACC4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3671" w:type="pct"/>
            <w:gridSpan w:val="6"/>
            <w:tcBorders>
              <w:top w:val="nil"/>
              <w:left w:val="nil"/>
              <w:bottom w:val="single" w:color="000000" w:sz="8" w:space="0"/>
              <w:right w:val="single" w:color="000000" w:sz="8" w:space="0"/>
            </w:tcBorders>
            <w:shd w:val="clear" w:color="auto" w:fill="auto"/>
            <w:vAlign w:val="center"/>
          </w:tcPr>
          <w:p w14:paraId="365862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总计</w:t>
            </w:r>
          </w:p>
        </w:tc>
        <w:tc>
          <w:tcPr>
            <w:tcW w:w="372" w:type="pct"/>
            <w:tcBorders>
              <w:top w:val="nil"/>
              <w:left w:val="nil"/>
              <w:bottom w:val="single" w:color="000000" w:sz="8" w:space="0"/>
              <w:right w:val="single" w:color="000000" w:sz="8" w:space="0"/>
            </w:tcBorders>
            <w:shd w:val="clear" w:color="auto" w:fill="auto"/>
            <w:noWrap/>
            <w:vAlign w:val="center"/>
          </w:tcPr>
          <w:p w14:paraId="41707192">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720900</w:t>
            </w:r>
          </w:p>
        </w:tc>
        <w:tc>
          <w:tcPr>
            <w:tcW w:w="584" w:type="pct"/>
            <w:tcBorders>
              <w:top w:val="nil"/>
              <w:left w:val="nil"/>
              <w:bottom w:val="single" w:color="000000" w:sz="8" w:space="0"/>
              <w:right w:val="single" w:color="000000" w:sz="8" w:space="0"/>
            </w:tcBorders>
            <w:shd w:val="clear" w:color="auto" w:fill="auto"/>
            <w:noWrap/>
            <w:vAlign w:val="bottom"/>
          </w:tcPr>
          <w:p w14:paraId="609A3F2C">
            <w:pPr>
              <w:rPr>
                <w:rFonts w:hint="eastAsia" w:ascii="宋体" w:hAnsi="宋体" w:eastAsia="宋体" w:cs="宋体"/>
                <w:i w:val="0"/>
                <w:iCs w:val="0"/>
                <w:color w:val="000000"/>
                <w:sz w:val="21"/>
                <w:szCs w:val="21"/>
                <w:u w:val="none"/>
              </w:rPr>
            </w:pPr>
          </w:p>
        </w:tc>
      </w:tr>
    </w:tbl>
    <w:p w14:paraId="189BE55E">
      <w:pPr>
        <w:pStyle w:val="25"/>
        <w:keepNext w:val="0"/>
        <w:keepLines w:val="0"/>
        <w:pageBreakBefore w:val="0"/>
        <w:widowControl/>
        <w:kinsoku/>
        <w:wordWrap/>
        <w:overflowPunct/>
        <w:topLinePunct w:val="0"/>
        <w:autoSpaceDE/>
        <w:autoSpaceDN/>
        <w:bidi w:val="0"/>
        <w:adjustRightInd/>
        <w:snapToGrid/>
        <w:spacing w:line="480" w:lineRule="auto"/>
        <w:jc w:val="both"/>
        <w:textAlignment w:val="auto"/>
        <w:rPr>
          <w:rFonts w:hint="default"/>
          <w:sz w:val="21"/>
          <w:lang w:val="en-US" w:eastAsia="zh-CN"/>
        </w:rPr>
      </w:pPr>
    </w:p>
    <w:p w14:paraId="41C9CE13">
      <w:pPr>
        <w:pStyle w:val="4"/>
        <w:numPr>
          <w:ilvl w:val="0"/>
          <w:numId w:val="1"/>
        </w:numPr>
        <w:bidi w:val="0"/>
        <w:outlineLvl w:val="0"/>
        <w:rPr>
          <w:rFonts w:hint="eastAsia"/>
          <w:sz w:val="40"/>
          <w:szCs w:val="40"/>
          <w:lang w:val="en-US" w:eastAsia="zh-CN"/>
        </w:rPr>
      </w:pPr>
      <w:r>
        <w:rPr>
          <w:rFonts w:hint="eastAsia"/>
          <w:sz w:val="40"/>
          <w:szCs w:val="40"/>
          <w:lang w:val="en-US" w:eastAsia="zh-CN"/>
        </w:rPr>
        <w:t>整体实施及服务要求</w:t>
      </w:r>
    </w:p>
    <w:p w14:paraId="261AD642">
      <w:pPr>
        <w:pStyle w:val="25"/>
        <w:keepNext w:val="0"/>
        <w:keepLines w:val="0"/>
        <w:pageBreakBefore w:val="0"/>
        <w:widowControl/>
        <w:numPr>
          <w:ilvl w:val="1"/>
          <w:numId w:val="2"/>
        </w:numPr>
        <w:kinsoku/>
        <w:wordWrap/>
        <w:overflowPunct/>
        <w:topLinePunct w:val="0"/>
        <w:autoSpaceDE/>
        <w:autoSpaceDN/>
        <w:bidi w:val="0"/>
        <w:adjustRightInd/>
        <w:snapToGrid/>
        <w:spacing w:line="480" w:lineRule="auto"/>
        <w:ind w:left="0" w:leftChars="0" w:firstLine="400" w:firstLineChars="0"/>
        <w:jc w:val="both"/>
        <w:textAlignment w:val="auto"/>
        <w:outlineLvl w:val="1"/>
      </w:pPr>
      <w:r>
        <w:rPr>
          <w:sz w:val="21"/>
        </w:rPr>
        <w:t>项目需求</w:t>
      </w:r>
    </w:p>
    <w:p w14:paraId="46FDC3CF">
      <w:pPr>
        <w:pStyle w:val="25"/>
        <w:keepNext w:val="0"/>
        <w:keepLines w:val="0"/>
        <w:pageBreakBefore w:val="0"/>
        <w:widowControl/>
        <w:numPr>
          <w:ilvl w:val="2"/>
          <w:numId w:val="2"/>
        </w:numPr>
        <w:kinsoku/>
        <w:wordWrap/>
        <w:overflowPunct/>
        <w:topLinePunct w:val="0"/>
        <w:autoSpaceDE/>
        <w:autoSpaceDN/>
        <w:bidi w:val="0"/>
        <w:adjustRightInd/>
        <w:snapToGrid/>
        <w:spacing w:line="480" w:lineRule="auto"/>
        <w:ind w:left="0" w:leftChars="0" w:firstLine="402" w:firstLineChars="0"/>
        <w:jc w:val="both"/>
        <w:textAlignment w:val="auto"/>
        <w:outlineLvl w:val="2"/>
      </w:pPr>
      <w:r>
        <w:rPr>
          <w:sz w:val="21"/>
        </w:rPr>
        <w:t>为保障</w:t>
      </w:r>
      <w:r>
        <w:rPr>
          <w:rFonts w:hint="eastAsia"/>
          <w:sz w:val="21"/>
          <w:lang w:val="en-US" w:eastAsia="zh-CN"/>
        </w:rPr>
        <w:t>横琴</w:t>
      </w:r>
      <w:r>
        <w:rPr>
          <w:sz w:val="21"/>
        </w:rPr>
        <w:t>社会治安管理及服务群众的需要，本项目需要保障</w:t>
      </w:r>
      <w:r>
        <w:rPr>
          <w:rFonts w:hint="eastAsia"/>
          <w:sz w:val="21"/>
          <w:lang w:val="en-US" w:eastAsia="zh-CN"/>
        </w:rPr>
        <w:t>传输服务</w:t>
      </w:r>
      <w:r>
        <w:rPr>
          <w:sz w:val="21"/>
        </w:rPr>
        <w:t>的正常使用，中标人须确保在线率9</w:t>
      </w:r>
      <w:r>
        <w:rPr>
          <w:rFonts w:hint="eastAsia"/>
          <w:sz w:val="21"/>
          <w:lang w:val="en-US" w:eastAsia="zh-CN"/>
        </w:rPr>
        <w:t>9</w:t>
      </w:r>
      <w:r>
        <w:rPr>
          <w:sz w:val="21"/>
        </w:rPr>
        <w:t>%以上，</w:t>
      </w:r>
      <w:r>
        <w:rPr>
          <w:rFonts w:hint="eastAsia"/>
          <w:sz w:val="21"/>
          <w:lang w:val="en-US" w:eastAsia="zh-CN"/>
        </w:rPr>
        <w:t>传输</w:t>
      </w:r>
      <w:r>
        <w:rPr>
          <w:sz w:val="21"/>
        </w:rPr>
        <w:t>故障</w:t>
      </w:r>
      <w:r>
        <w:rPr>
          <w:rFonts w:hint="eastAsia"/>
          <w:sz w:val="21"/>
          <w:lang w:val="en-US" w:eastAsia="zh-CN"/>
        </w:rPr>
        <w:t>2</w:t>
      </w:r>
      <w:r>
        <w:rPr>
          <w:sz w:val="21"/>
        </w:rPr>
        <w:t>4小时内解决（不可抗力、法律变更除外）</w:t>
      </w:r>
      <w:r>
        <w:rPr>
          <w:rFonts w:hint="eastAsia"/>
          <w:sz w:val="21"/>
          <w:lang w:val="en-US" w:eastAsia="zh-CN"/>
        </w:rPr>
        <w:t>服务周期为一年</w:t>
      </w:r>
      <w:r>
        <w:rPr>
          <w:sz w:val="21"/>
        </w:rPr>
        <w:t>。</w:t>
      </w:r>
    </w:p>
    <w:p w14:paraId="6DFF6690">
      <w:pPr>
        <w:pStyle w:val="25"/>
        <w:keepNext w:val="0"/>
        <w:keepLines w:val="0"/>
        <w:pageBreakBefore w:val="0"/>
        <w:widowControl/>
        <w:numPr>
          <w:ilvl w:val="2"/>
          <w:numId w:val="2"/>
        </w:numPr>
        <w:kinsoku/>
        <w:wordWrap/>
        <w:overflowPunct/>
        <w:topLinePunct w:val="0"/>
        <w:autoSpaceDE/>
        <w:autoSpaceDN/>
        <w:bidi w:val="0"/>
        <w:adjustRightInd/>
        <w:snapToGrid/>
        <w:spacing w:line="480" w:lineRule="auto"/>
        <w:ind w:left="0" w:leftChars="0" w:firstLine="402" w:firstLineChars="0"/>
        <w:jc w:val="both"/>
        <w:textAlignment w:val="auto"/>
        <w:outlineLvl w:val="2"/>
        <w:rPr>
          <w:sz w:val="21"/>
        </w:rPr>
      </w:pPr>
      <w:r>
        <w:rPr>
          <w:rFonts w:hint="eastAsia"/>
          <w:sz w:val="21"/>
        </w:rPr>
        <w:t>供应商</w:t>
      </w:r>
      <w:r>
        <w:rPr>
          <w:sz w:val="21"/>
        </w:rPr>
        <w:t>自行踏勘现场监控点位，一切以现状为准，不得以现状条件为由要求采购人增加合同价款或服务过程中不按采购人要求完成服务任务，因特殊原因导致现行</w:t>
      </w:r>
      <w:r>
        <w:rPr>
          <w:rFonts w:hint="eastAsia"/>
          <w:sz w:val="21"/>
          <w:lang w:val="en-US" w:eastAsia="zh-CN"/>
        </w:rPr>
        <w:t>传输服务</w:t>
      </w:r>
      <w:r>
        <w:rPr>
          <w:sz w:val="21"/>
        </w:rPr>
        <w:t>采购人无需继续使用的，采购人有权要求</w:t>
      </w:r>
      <w:r>
        <w:rPr>
          <w:rFonts w:hint="default"/>
          <w:sz w:val="21"/>
          <w:lang w:val="en-US"/>
        </w:rPr>
        <w:t>供应商</w:t>
      </w:r>
      <w:r>
        <w:rPr>
          <w:sz w:val="21"/>
        </w:rPr>
        <w:t>将</w:t>
      </w:r>
      <w:r>
        <w:rPr>
          <w:rFonts w:hint="eastAsia"/>
          <w:sz w:val="21"/>
          <w:lang w:val="en-US" w:eastAsia="zh-CN"/>
        </w:rPr>
        <w:t>传输服务迁</w:t>
      </w:r>
      <w:r>
        <w:rPr>
          <w:sz w:val="21"/>
        </w:rPr>
        <w:t>至采购人指定需要的地点，相关费用已包含在投标总价中，请</w:t>
      </w:r>
      <w:r>
        <w:rPr>
          <w:rFonts w:hint="default"/>
          <w:sz w:val="21"/>
          <w:lang w:val="en-US"/>
        </w:rPr>
        <w:t>供应商</w:t>
      </w:r>
      <w:r>
        <w:rPr>
          <w:sz w:val="21"/>
        </w:rPr>
        <w:t>在投标报价时综合考虑。</w:t>
      </w:r>
    </w:p>
    <w:p w14:paraId="0493DD83">
      <w:pPr>
        <w:pStyle w:val="25"/>
        <w:keepNext w:val="0"/>
        <w:keepLines w:val="0"/>
        <w:pageBreakBefore w:val="0"/>
        <w:widowControl/>
        <w:numPr>
          <w:ilvl w:val="2"/>
          <w:numId w:val="2"/>
        </w:numPr>
        <w:kinsoku/>
        <w:wordWrap/>
        <w:overflowPunct/>
        <w:topLinePunct w:val="0"/>
        <w:autoSpaceDE/>
        <w:autoSpaceDN/>
        <w:bidi w:val="0"/>
        <w:adjustRightInd/>
        <w:snapToGrid/>
        <w:spacing w:line="480" w:lineRule="auto"/>
        <w:ind w:left="0" w:leftChars="0" w:firstLine="402" w:firstLineChars="0"/>
        <w:jc w:val="both"/>
        <w:textAlignment w:val="auto"/>
        <w:outlineLvl w:val="2"/>
        <w:rPr>
          <w:rFonts w:hint="default"/>
          <w:sz w:val="21"/>
          <w:lang w:val="en-US" w:eastAsia="zh-CN"/>
        </w:rPr>
      </w:pPr>
      <w:r>
        <w:rPr>
          <w:rFonts w:hint="eastAsia"/>
          <w:sz w:val="21"/>
        </w:rPr>
        <w:t>供应商</w:t>
      </w:r>
      <w:r>
        <w:rPr>
          <w:rFonts w:hint="eastAsia"/>
          <w:sz w:val="21"/>
          <w:lang w:val="en-US" w:eastAsia="zh-CN"/>
        </w:rPr>
        <w:t>需对监控画面质量作定期巡检，若监控图像出现遮挡物，</w:t>
      </w:r>
      <w:r>
        <w:rPr>
          <w:rFonts w:hint="eastAsia"/>
          <w:sz w:val="21"/>
        </w:rPr>
        <w:t>供应商</w:t>
      </w:r>
      <w:r>
        <w:rPr>
          <w:rFonts w:hint="eastAsia"/>
          <w:sz w:val="21"/>
          <w:lang w:val="en-US" w:eastAsia="zh-CN"/>
        </w:rPr>
        <w:t>需要清除，保证图像质量。</w:t>
      </w:r>
    </w:p>
    <w:p w14:paraId="2B8CF5F5">
      <w:pPr>
        <w:pStyle w:val="25"/>
        <w:keepNext w:val="0"/>
        <w:keepLines w:val="0"/>
        <w:pageBreakBefore w:val="0"/>
        <w:widowControl/>
        <w:numPr>
          <w:ilvl w:val="2"/>
          <w:numId w:val="2"/>
        </w:numPr>
        <w:kinsoku/>
        <w:wordWrap/>
        <w:overflowPunct/>
        <w:topLinePunct w:val="0"/>
        <w:autoSpaceDE/>
        <w:autoSpaceDN/>
        <w:bidi w:val="0"/>
        <w:adjustRightInd/>
        <w:snapToGrid/>
        <w:spacing w:line="480" w:lineRule="auto"/>
        <w:ind w:left="0" w:leftChars="0" w:firstLine="402" w:firstLineChars="0"/>
        <w:jc w:val="both"/>
        <w:textAlignment w:val="auto"/>
        <w:outlineLvl w:val="2"/>
        <w:rPr>
          <w:rFonts w:hint="default"/>
          <w:sz w:val="21"/>
          <w:lang w:val="en-US" w:eastAsia="zh-CN"/>
        </w:rPr>
      </w:pPr>
      <w:r>
        <w:rPr>
          <w:rFonts w:hint="eastAsia"/>
          <w:sz w:val="21"/>
        </w:rPr>
        <w:t>供应商</w:t>
      </w:r>
      <w:r>
        <w:rPr>
          <w:rFonts w:hint="default"/>
          <w:sz w:val="21"/>
          <w:lang w:val="en-US" w:eastAsia="zh-CN"/>
        </w:rPr>
        <w:t>对重点点位必须及时保障，保证正常运行；</w:t>
      </w:r>
    </w:p>
    <w:p w14:paraId="7984299C">
      <w:pPr>
        <w:pStyle w:val="25"/>
        <w:keepNext w:val="0"/>
        <w:keepLines w:val="0"/>
        <w:pageBreakBefore w:val="0"/>
        <w:widowControl/>
        <w:numPr>
          <w:ilvl w:val="2"/>
          <w:numId w:val="2"/>
        </w:numPr>
        <w:kinsoku/>
        <w:wordWrap/>
        <w:overflowPunct/>
        <w:topLinePunct w:val="0"/>
        <w:autoSpaceDE/>
        <w:autoSpaceDN/>
        <w:bidi w:val="0"/>
        <w:adjustRightInd/>
        <w:snapToGrid/>
        <w:spacing w:line="480" w:lineRule="auto"/>
        <w:ind w:left="0" w:leftChars="0" w:firstLine="402" w:firstLineChars="0"/>
        <w:jc w:val="both"/>
        <w:textAlignment w:val="auto"/>
        <w:outlineLvl w:val="2"/>
        <w:rPr>
          <w:rFonts w:hint="default"/>
          <w:sz w:val="21"/>
          <w:lang w:val="en-US" w:eastAsia="zh-CN"/>
        </w:rPr>
      </w:pPr>
      <w:r>
        <w:rPr>
          <w:rFonts w:hint="eastAsia"/>
          <w:sz w:val="21"/>
        </w:rPr>
        <w:t>供应商</w:t>
      </w:r>
      <w:r>
        <w:rPr>
          <w:rFonts w:hint="default"/>
          <w:sz w:val="21"/>
          <w:lang w:val="en-US" w:eastAsia="zh-CN"/>
        </w:rPr>
        <w:t>需配合和协助采购人处理</w:t>
      </w:r>
      <w:r>
        <w:rPr>
          <w:rFonts w:hint="eastAsia"/>
          <w:sz w:val="21"/>
          <w:lang w:val="en-US" w:eastAsia="zh-CN"/>
        </w:rPr>
        <w:t>传输服务运维</w:t>
      </w:r>
      <w:r>
        <w:rPr>
          <w:rFonts w:hint="default"/>
          <w:sz w:val="21"/>
          <w:lang w:val="en-US" w:eastAsia="zh-CN"/>
        </w:rPr>
        <w:t>相关事项。</w:t>
      </w:r>
    </w:p>
    <w:p w14:paraId="03A5074B">
      <w:pPr>
        <w:pStyle w:val="25"/>
        <w:keepNext w:val="0"/>
        <w:keepLines w:val="0"/>
        <w:pageBreakBefore w:val="0"/>
        <w:widowControl/>
        <w:numPr>
          <w:ilvl w:val="1"/>
          <w:numId w:val="2"/>
        </w:numPr>
        <w:kinsoku/>
        <w:wordWrap/>
        <w:overflowPunct/>
        <w:topLinePunct w:val="0"/>
        <w:autoSpaceDE/>
        <w:autoSpaceDN/>
        <w:bidi w:val="0"/>
        <w:adjustRightInd/>
        <w:snapToGrid/>
        <w:spacing w:line="480" w:lineRule="auto"/>
        <w:ind w:left="0" w:leftChars="0" w:firstLine="400" w:firstLineChars="0"/>
        <w:jc w:val="both"/>
        <w:textAlignment w:val="auto"/>
        <w:outlineLvl w:val="1"/>
        <w:rPr>
          <w:sz w:val="21"/>
        </w:rPr>
      </w:pPr>
      <w:r>
        <w:rPr>
          <w:rFonts w:hint="eastAsia"/>
          <w:sz w:val="21"/>
        </w:rPr>
        <w:t>供应商</w:t>
      </w:r>
      <w:r>
        <w:rPr>
          <w:sz w:val="21"/>
        </w:rPr>
        <w:t>需针对上述要求，提出具体的、切实可行的整体实施方案及服务方案。</w:t>
      </w:r>
    </w:p>
    <w:p w14:paraId="0612597B">
      <w:pPr>
        <w:pStyle w:val="4"/>
        <w:numPr>
          <w:ilvl w:val="0"/>
          <w:numId w:val="1"/>
        </w:numPr>
        <w:bidi w:val="0"/>
        <w:outlineLvl w:val="0"/>
        <w:rPr>
          <w:rFonts w:hint="eastAsia"/>
          <w:sz w:val="40"/>
          <w:szCs w:val="40"/>
          <w:lang w:val="en-US" w:eastAsia="zh-CN"/>
        </w:rPr>
      </w:pPr>
      <w:r>
        <w:rPr>
          <w:rFonts w:hint="eastAsia"/>
          <w:sz w:val="40"/>
          <w:szCs w:val="40"/>
          <w:lang w:val="en-US" w:eastAsia="zh-CN"/>
        </w:rPr>
        <w:t>运维服务保障要求</w:t>
      </w:r>
    </w:p>
    <w:p w14:paraId="21D04F0F">
      <w:pPr>
        <w:pStyle w:val="25"/>
        <w:keepNext w:val="0"/>
        <w:keepLines w:val="0"/>
        <w:pageBreakBefore w:val="0"/>
        <w:widowControl/>
        <w:numPr>
          <w:ilvl w:val="1"/>
          <w:numId w:val="3"/>
        </w:numPr>
        <w:kinsoku/>
        <w:wordWrap/>
        <w:overflowPunct/>
        <w:topLinePunct w:val="0"/>
        <w:autoSpaceDE/>
        <w:autoSpaceDN/>
        <w:bidi w:val="0"/>
        <w:adjustRightInd/>
        <w:snapToGrid/>
        <w:spacing w:line="480" w:lineRule="auto"/>
        <w:ind w:left="0" w:leftChars="0" w:firstLine="400" w:firstLineChars="0"/>
        <w:jc w:val="both"/>
        <w:textAlignment w:val="auto"/>
        <w:outlineLvl w:val="1"/>
        <w:rPr>
          <w:rFonts w:hint="default"/>
          <w:sz w:val="21"/>
          <w:lang w:val="en-US" w:eastAsia="zh-CN"/>
        </w:rPr>
      </w:pPr>
      <w:r>
        <w:rPr>
          <w:rFonts w:hint="eastAsia"/>
          <w:sz w:val="21"/>
          <w:lang w:val="en-US" w:eastAsia="zh-CN"/>
        </w:rPr>
        <w:t>服务内容</w:t>
      </w:r>
    </w:p>
    <w:p w14:paraId="086E8CF8">
      <w:pPr>
        <w:pStyle w:val="25"/>
        <w:keepNext w:val="0"/>
        <w:keepLines w:val="0"/>
        <w:pageBreakBefore w:val="0"/>
        <w:widowControl/>
        <w:numPr>
          <w:ilvl w:val="0"/>
          <w:numId w:val="0"/>
        </w:numPr>
        <w:kinsoku/>
        <w:wordWrap/>
        <w:overflowPunct/>
        <w:topLinePunct w:val="0"/>
        <w:autoSpaceDE/>
        <w:autoSpaceDN/>
        <w:bidi w:val="0"/>
        <w:adjustRightInd/>
        <w:snapToGrid/>
        <w:spacing w:line="480" w:lineRule="auto"/>
        <w:ind w:firstLine="420" w:firstLineChars="200"/>
        <w:jc w:val="both"/>
        <w:textAlignment w:val="auto"/>
        <w:rPr>
          <w:rFonts w:hint="default"/>
          <w:sz w:val="21"/>
          <w:lang w:val="en-US" w:eastAsia="zh-CN"/>
        </w:rPr>
      </w:pPr>
      <w:r>
        <w:rPr>
          <w:rFonts w:hint="default"/>
          <w:sz w:val="21"/>
          <w:lang w:val="en-US" w:eastAsia="zh-CN"/>
        </w:rPr>
        <w:t>根据现在情况对横琴粤澳深度合作区闲置地、公园及天桥垃圾站监控传输服务运维项目共</w:t>
      </w:r>
      <w:r>
        <w:rPr>
          <w:rFonts w:hint="eastAsia"/>
          <w:sz w:val="21"/>
          <w:lang w:val="en-US" w:eastAsia="zh-CN"/>
        </w:rPr>
        <w:t>413个视频点位传输服务</w:t>
      </w:r>
      <w:r>
        <w:rPr>
          <w:rFonts w:hint="default"/>
          <w:sz w:val="21"/>
          <w:lang w:val="en-US" w:eastAsia="zh-CN"/>
        </w:rPr>
        <w:t>及</w:t>
      </w:r>
      <w:r>
        <w:rPr>
          <w:rFonts w:hint="eastAsia"/>
          <w:sz w:val="21"/>
          <w:lang w:val="en-US" w:eastAsia="zh-CN"/>
        </w:rPr>
        <w:t>428个摄像头</w:t>
      </w:r>
      <w:r>
        <w:rPr>
          <w:rFonts w:hint="default"/>
          <w:sz w:val="21"/>
          <w:lang w:val="en-US" w:eastAsia="zh-CN"/>
        </w:rPr>
        <w:t>运维</w:t>
      </w:r>
      <w:r>
        <w:rPr>
          <w:rFonts w:hint="eastAsia"/>
          <w:sz w:val="21"/>
          <w:lang w:val="en-US" w:eastAsia="zh-CN"/>
        </w:rPr>
        <w:t>服务</w:t>
      </w:r>
      <w:r>
        <w:rPr>
          <w:rFonts w:hint="default"/>
          <w:sz w:val="21"/>
          <w:lang w:val="en-US" w:eastAsia="zh-CN"/>
        </w:rPr>
        <w:t>，</w:t>
      </w:r>
      <w:r>
        <w:rPr>
          <w:rFonts w:hint="eastAsia"/>
          <w:sz w:val="21"/>
          <w:lang w:val="en-US" w:eastAsia="zh-CN"/>
        </w:rPr>
        <w:t>内容</w:t>
      </w:r>
      <w:r>
        <w:rPr>
          <w:rFonts w:hint="default"/>
          <w:sz w:val="21"/>
          <w:lang w:val="en-US" w:eastAsia="zh-CN"/>
        </w:rPr>
        <w:t>如下：</w:t>
      </w:r>
    </w:p>
    <w:p w14:paraId="05127CE6">
      <w:pPr>
        <w:pStyle w:val="25"/>
        <w:keepNext w:val="0"/>
        <w:keepLines w:val="0"/>
        <w:pageBreakBefore w:val="0"/>
        <w:widowControl/>
        <w:numPr>
          <w:ilvl w:val="2"/>
          <w:numId w:val="3"/>
        </w:numPr>
        <w:kinsoku/>
        <w:wordWrap/>
        <w:overflowPunct/>
        <w:topLinePunct w:val="0"/>
        <w:autoSpaceDE/>
        <w:autoSpaceDN/>
        <w:bidi w:val="0"/>
        <w:adjustRightInd/>
        <w:snapToGrid/>
        <w:spacing w:line="480" w:lineRule="auto"/>
        <w:ind w:left="0" w:leftChars="0" w:firstLine="402" w:firstLineChars="0"/>
        <w:jc w:val="both"/>
        <w:textAlignment w:val="auto"/>
        <w:outlineLvl w:val="2"/>
        <w:rPr>
          <w:rFonts w:hint="default"/>
          <w:sz w:val="21"/>
          <w:lang w:val="en-US" w:eastAsia="zh-CN"/>
        </w:rPr>
      </w:pPr>
      <w:r>
        <w:rPr>
          <w:rFonts w:hint="eastAsia"/>
          <w:sz w:val="21"/>
          <w:lang w:val="en-US" w:eastAsia="zh-CN"/>
        </w:rPr>
        <w:t>根据视频传输服务点位清单，进行不同时间</w:t>
      </w:r>
      <w:r>
        <w:rPr>
          <w:rFonts w:hint="default"/>
          <w:sz w:val="21"/>
          <w:lang w:val="en-US" w:eastAsia="zh-CN"/>
        </w:rPr>
        <w:t>提供</w:t>
      </w:r>
      <w:r>
        <w:rPr>
          <w:rFonts w:hint="eastAsia"/>
          <w:sz w:val="21"/>
          <w:lang w:val="en-US" w:eastAsia="zh-CN"/>
        </w:rPr>
        <w:t>服务，共计413</w:t>
      </w:r>
      <w:r>
        <w:rPr>
          <w:rFonts w:hint="default"/>
          <w:sz w:val="21"/>
          <w:lang w:val="en-US" w:eastAsia="zh-CN"/>
        </w:rPr>
        <w:t>个点位视频专线传输服务，其中其中</w:t>
      </w:r>
      <w:r>
        <w:rPr>
          <w:rFonts w:hint="eastAsia"/>
          <w:sz w:val="21"/>
          <w:lang w:val="en-US" w:eastAsia="zh-CN"/>
        </w:rPr>
        <w:t>3</w:t>
      </w:r>
      <w:r>
        <w:rPr>
          <w:rFonts w:hint="default"/>
          <w:sz w:val="21"/>
          <w:lang w:val="en-US" w:eastAsia="zh-CN"/>
        </w:rPr>
        <w:t>0M带宽的为402个，1000M带宽的为2个，500M带宽的为</w:t>
      </w:r>
      <w:r>
        <w:rPr>
          <w:rFonts w:hint="eastAsia"/>
          <w:sz w:val="21"/>
          <w:lang w:val="en-US" w:eastAsia="zh-CN"/>
        </w:rPr>
        <w:t>7</w:t>
      </w:r>
      <w:r>
        <w:rPr>
          <w:rFonts w:hint="default"/>
          <w:sz w:val="21"/>
          <w:lang w:val="en-US" w:eastAsia="zh-CN"/>
        </w:rPr>
        <w:t>个，100M带宽的为2个；</w:t>
      </w:r>
    </w:p>
    <w:p w14:paraId="7E169B87">
      <w:pPr>
        <w:pStyle w:val="25"/>
        <w:keepNext w:val="0"/>
        <w:keepLines w:val="0"/>
        <w:pageBreakBefore w:val="0"/>
        <w:widowControl/>
        <w:numPr>
          <w:ilvl w:val="2"/>
          <w:numId w:val="3"/>
        </w:numPr>
        <w:kinsoku/>
        <w:wordWrap/>
        <w:overflowPunct/>
        <w:topLinePunct w:val="0"/>
        <w:autoSpaceDE/>
        <w:autoSpaceDN/>
        <w:bidi w:val="0"/>
        <w:adjustRightInd/>
        <w:snapToGrid/>
        <w:spacing w:line="480" w:lineRule="auto"/>
        <w:ind w:left="0" w:leftChars="0" w:firstLine="402" w:firstLineChars="0"/>
        <w:jc w:val="both"/>
        <w:textAlignment w:val="auto"/>
        <w:outlineLvl w:val="2"/>
        <w:rPr>
          <w:rFonts w:hint="default"/>
          <w:sz w:val="21"/>
          <w:lang w:val="en-US" w:eastAsia="zh-CN"/>
        </w:rPr>
      </w:pPr>
      <w:r>
        <w:rPr>
          <w:rFonts w:hint="default"/>
          <w:sz w:val="21"/>
          <w:lang w:val="en-US" w:eastAsia="zh-CN"/>
        </w:rPr>
        <w:t>前端采集设备</w:t>
      </w:r>
      <w:r>
        <w:rPr>
          <w:rFonts w:hint="eastAsia"/>
          <w:sz w:val="21"/>
          <w:lang w:val="en-US" w:eastAsia="zh-CN"/>
        </w:rPr>
        <w:t>维护</w:t>
      </w:r>
      <w:r>
        <w:rPr>
          <w:rFonts w:hint="default"/>
          <w:sz w:val="21"/>
          <w:lang w:val="en-US" w:eastAsia="zh-CN"/>
        </w:rPr>
        <w:t>：对监控摄像头、传感器等前端采集设备进行定期检查和维护，确保其正常工作。清理设备表面灰尘，检查设备连接线路，确保数据传输的稳定性。</w:t>
      </w:r>
    </w:p>
    <w:p w14:paraId="558FBD83">
      <w:pPr>
        <w:pStyle w:val="25"/>
        <w:keepNext w:val="0"/>
        <w:keepLines w:val="0"/>
        <w:pageBreakBefore w:val="0"/>
        <w:widowControl/>
        <w:numPr>
          <w:ilvl w:val="2"/>
          <w:numId w:val="3"/>
        </w:numPr>
        <w:kinsoku/>
        <w:wordWrap/>
        <w:overflowPunct/>
        <w:topLinePunct w:val="0"/>
        <w:autoSpaceDE/>
        <w:autoSpaceDN/>
        <w:bidi w:val="0"/>
        <w:adjustRightInd/>
        <w:snapToGrid/>
        <w:spacing w:line="480" w:lineRule="auto"/>
        <w:ind w:left="0" w:leftChars="0" w:firstLine="402" w:firstLineChars="0"/>
        <w:jc w:val="both"/>
        <w:textAlignment w:val="auto"/>
        <w:outlineLvl w:val="2"/>
        <w:rPr>
          <w:rFonts w:hint="default"/>
          <w:sz w:val="21"/>
          <w:lang w:val="en-US" w:eastAsia="zh-CN"/>
        </w:rPr>
      </w:pPr>
      <w:r>
        <w:rPr>
          <w:rFonts w:hint="default"/>
          <w:sz w:val="21"/>
          <w:lang w:val="en-US" w:eastAsia="zh-CN"/>
        </w:rPr>
        <w:t>传输网络运维：监控传输网络的运行状态，包括网络带宽、延迟、丢包率等关键指标。排查并解决网络故障，确保数据传输的连续性和稳定性。对网络进行安全加固，防止数据泄露和非法访问。</w:t>
      </w:r>
    </w:p>
    <w:p w14:paraId="70BD85EA">
      <w:pPr>
        <w:pStyle w:val="25"/>
        <w:keepNext w:val="0"/>
        <w:keepLines w:val="0"/>
        <w:pageBreakBefore w:val="0"/>
        <w:widowControl/>
        <w:numPr>
          <w:ilvl w:val="2"/>
          <w:numId w:val="3"/>
        </w:numPr>
        <w:kinsoku/>
        <w:wordWrap/>
        <w:overflowPunct/>
        <w:topLinePunct w:val="0"/>
        <w:autoSpaceDE/>
        <w:autoSpaceDN/>
        <w:bidi w:val="0"/>
        <w:adjustRightInd/>
        <w:snapToGrid/>
        <w:spacing w:line="480" w:lineRule="auto"/>
        <w:ind w:left="0" w:leftChars="0" w:firstLine="402" w:firstLineChars="0"/>
        <w:jc w:val="both"/>
        <w:textAlignment w:val="auto"/>
        <w:outlineLvl w:val="2"/>
        <w:rPr>
          <w:rFonts w:hint="default"/>
          <w:sz w:val="21"/>
          <w:lang w:val="en-US" w:eastAsia="zh-CN"/>
        </w:rPr>
      </w:pPr>
      <w:r>
        <w:rPr>
          <w:rFonts w:hint="default"/>
          <w:sz w:val="21"/>
          <w:lang w:val="en-US" w:eastAsia="zh-CN"/>
        </w:rPr>
        <w:t>后端处理平台运维：对监控中心的数据处理平台进行维护和管理，确保其正常运行。监控数据接收、存储、处理和分析等各个环节，确保数据的准确性和完整性。</w:t>
      </w:r>
    </w:p>
    <w:p w14:paraId="592C9266">
      <w:pPr>
        <w:pStyle w:val="25"/>
        <w:keepNext w:val="0"/>
        <w:keepLines w:val="0"/>
        <w:pageBreakBefore w:val="0"/>
        <w:widowControl/>
        <w:numPr>
          <w:ilvl w:val="1"/>
          <w:numId w:val="3"/>
        </w:numPr>
        <w:kinsoku/>
        <w:wordWrap/>
        <w:overflowPunct/>
        <w:topLinePunct w:val="0"/>
        <w:autoSpaceDE/>
        <w:autoSpaceDN/>
        <w:bidi w:val="0"/>
        <w:adjustRightInd/>
        <w:snapToGrid/>
        <w:spacing w:line="480" w:lineRule="auto"/>
        <w:ind w:left="0" w:leftChars="0" w:firstLine="400" w:firstLineChars="0"/>
        <w:jc w:val="both"/>
        <w:textAlignment w:val="auto"/>
        <w:outlineLvl w:val="1"/>
        <w:rPr>
          <w:rFonts w:hint="default"/>
          <w:sz w:val="21"/>
          <w:lang w:val="en-US" w:eastAsia="zh-CN"/>
        </w:rPr>
      </w:pPr>
      <w:r>
        <w:rPr>
          <w:rFonts w:hint="eastAsia"/>
          <w:sz w:val="21"/>
          <w:lang w:val="en-US" w:eastAsia="zh-CN"/>
        </w:rPr>
        <w:t>服务方式</w:t>
      </w:r>
    </w:p>
    <w:p w14:paraId="7CBFE914">
      <w:pPr>
        <w:pStyle w:val="25"/>
        <w:keepNext w:val="0"/>
        <w:keepLines w:val="0"/>
        <w:pageBreakBefore w:val="0"/>
        <w:widowControl/>
        <w:numPr>
          <w:ilvl w:val="2"/>
          <w:numId w:val="3"/>
        </w:numPr>
        <w:kinsoku/>
        <w:wordWrap/>
        <w:overflowPunct/>
        <w:topLinePunct w:val="0"/>
        <w:autoSpaceDE/>
        <w:autoSpaceDN/>
        <w:bidi w:val="0"/>
        <w:adjustRightInd/>
        <w:snapToGrid/>
        <w:spacing w:line="480" w:lineRule="auto"/>
        <w:ind w:left="0" w:leftChars="0" w:firstLine="402" w:firstLineChars="0"/>
        <w:jc w:val="both"/>
        <w:textAlignment w:val="auto"/>
        <w:outlineLvl w:val="2"/>
        <w:rPr>
          <w:rFonts w:hint="eastAsia"/>
          <w:sz w:val="21"/>
          <w:lang w:val="en-US" w:eastAsia="zh-CN"/>
        </w:rPr>
      </w:pPr>
      <w:r>
        <w:rPr>
          <w:rFonts w:hint="default"/>
          <w:sz w:val="21"/>
          <w:lang w:val="en-US" w:eastAsia="zh-CN"/>
        </w:rPr>
        <w:t>硬件设备</w:t>
      </w:r>
      <w:r>
        <w:rPr>
          <w:rFonts w:hint="eastAsia"/>
          <w:sz w:val="21"/>
          <w:lang w:val="en-US" w:eastAsia="zh-CN"/>
        </w:rPr>
        <w:t>维护</w:t>
      </w:r>
    </w:p>
    <w:p w14:paraId="58A916EE">
      <w:pPr>
        <w:pStyle w:val="25"/>
        <w:keepNext w:val="0"/>
        <w:keepLines w:val="0"/>
        <w:pageBreakBefore w:val="0"/>
        <w:widowControl/>
        <w:numPr>
          <w:ilvl w:val="0"/>
          <w:numId w:val="0"/>
        </w:numPr>
        <w:kinsoku/>
        <w:wordWrap/>
        <w:overflowPunct/>
        <w:topLinePunct w:val="0"/>
        <w:autoSpaceDE/>
        <w:autoSpaceDN/>
        <w:bidi w:val="0"/>
        <w:adjustRightInd/>
        <w:snapToGrid/>
        <w:spacing w:line="480" w:lineRule="auto"/>
        <w:ind w:firstLine="420" w:firstLineChars="200"/>
        <w:jc w:val="both"/>
        <w:textAlignment w:val="auto"/>
        <w:rPr>
          <w:rFonts w:hint="default"/>
          <w:sz w:val="21"/>
          <w:highlight w:val="none"/>
          <w:lang w:val="en-US" w:eastAsia="zh-CN"/>
        </w:rPr>
      </w:pPr>
      <w:r>
        <w:rPr>
          <w:rFonts w:hint="default"/>
          <w:sz w:val="21"/>
          <w:highlight w:val="none"/>
          <w:lang w:val="en-US" w:eastAsia="zh-CN"/>
        </w:rPr>
        <w:t>定期检查：</w:t>
      </w:r>
      <w:r>
        <w:rPr>
          <w:rFonts w:hint="eastAsia"/>
          <w:sz w:val="21"/>
          <w:highlight w:val="none"/>
          <w:lang w:val="en-US" w:eastAsia="zh-CN"/>
        </w:rPr>
        <w:t>每个月</w:t>
      </w:r>
      <w:r>
        <w:rPr>
          <w:rFonts w:hint="default"/>
          <w:sz w:val="21"/>
          <w:highlight w:val="none"/>
          <w:lang w:val="en-US" w:eastAsia="zh-CN"/>
        </w:rPr>
        <w:t>对摄像头、录像设备、服务器等进行检测，确保设备的正常工作状态。检查内容包括设备外观、连接线、电源供应等</w:t>
      </w:r>
      <w:r>
        <w:rPr>
          <w:rFonts w:hint="eastAsia"/>
          <w:sz w:val="21"/>
          <w:highlight w:val="none"/>
          <w:lang w:val="en-US" w:eastAsia="zh-CN"/>
        </w:rPr>
        <w:t>，</w:t>
      </w:r>
      <w:r>
        <w:rPr>
          <w:rFonts w:hint="default"/>
          <w:sz w:val="21"/>
          <w:highlight w:val="none"/>
          <w:lang w:val="en-US" w:eastAsia="zh-CN"/>
        </w:rPr>
        <w:t>对于存储设备，清理存储空间，避免因存储空间不足导致视频数据丢失。</w:t>
      </w:r>
      <w:r>
        <w:rPr>
          <w:rFonts w:hint="eastAsia"/>
          <w:sz w:val="21"/>
          <w:highlight w:val="none"/>
          <w:lang w:val="en-US" w:eastAsia="zh-CN"/>
        </w:rPr>
        <w:t>并记录检查结果提交给采购人。</w:t>
      </w:r>
    </w:p>
    <w:p w14:paraId="25DFD012">
      <w:pPr>
        <w:pStyle w:val="25"/>
        <w:keepNext w:val="0"/>
        <w:keepLines w:val="0"/>
        <w:pageBreakBefore w:val="0"/>
        <w:widowControl/>
        <w:numPr>
          <w:ilvl w:val="0"/>
          <w:numId w:val="0"/>
        </w:numPr>
        <w:kinsoku/>
        <w:wordWrap/>
        <w:overflowPunct/>
        <w:topLinePunct w:val="0"/>
        <w:autoSpaceDE/>
        <w:autoSpaceDN/>
        <w:bidi w:val="0"/>
        <w:adjustRightInd/>
        <w:snapToGrid/>
        <w:spacing w:line="480" w:lineRule="auto"/>
        <w:ind w:firstLine="420" w:firstLineChars="200"/>
        <w:jc w:val="both"/>
        <w:textAlignment w:val="auto"/>
        <w:rPr>
          <w:rFonts w:hint="default"/>
          <w:sz w:val="21"/>
          <w:highlight w:val="none"/>
          <w:lang w:val="en-US" w:eastAsia="zh-CN"/>
        </w:rPr>
      </w:pPr>
      <w:r>
        <w:rPr>
          <w:rFonts w:hint="default"/>
          <w:sz w:val="21"/>
          <w:highlight w:val="none"/>
          <w:lang w:val="en-US" w:eastAsia="zh-CN"/>
        </w:rPr>
        <w:t>清洁保养：</w:t>
      </w:r>
      <w:r>
        <w:rPr>
          <w:rFonts w:hint="eastAsia"/>
          <w:sz w:val="21"/>
          <w:highlight w:val="none"/>
          <w:lang w:val="en-US" w:eastAsia="zh-CN"/>
        </w:rPr>
        <w:t>每季度</w:t>
      </w:r>
      <w:r>
        <w:rPr>
          <w:rFonts w:hint="default"/>
          <w:sz w:val="21"/>
          <w:highlight w:val="none"/>
          <w:lang w:val="en-US" w:eastAsia="zh-CN"/>
        </w:rPr>
        <w:t>清理硬件设备，防止灰尘和杂物对系统运行造成影响。</w:t>
      </w:r>
    </w:p>
    <w:p w14:paraId="10E758F2">
      <w:pPr>
        <w:pStyle w:val="25"/>
        <w:keepNext w:val="0"/>
        <w:keepLines w:val="0"/>
        <w:pageBreakBefore w:val="0"/>
        <w:widowControl/>
        <w:numPr>
          <w:ilvl w:val="0"/>
          <w:numId w:val="0"/>
        </w:numPr>
        <w:kinsoku/>
        <w:wordWrap/>
        <w:overflowPunct/>
        <w:topLinePunct w:val="0"/>
        <w:autoSpaceDE/>
        <w:autoSpaceDN/>
        <w:bidi w:val="0"/>
        <w:adjustRightInd/>
        <w:snapToGrid/>
        <w:spacing w:line="480" w:lineRule="auto"/>
        <w:ind w:firstLine="420" w:firstLineChars="200"/>
        <w:jc w:val="both"/>
        <w:textAlignment w:val="auto"/>
        <w:rPr>
          <w:rFonts w:hint="default"/>
          <w:sz w:val="21"/>
          <w:highlight w:val="none"/>
          <w:lang w:val="en-US" w:eastAsia="zh-CN"/>
        </w:rPr>
      </w:pPr>
      <w:r>
        <w:rPr>
          <w:rFonts w:hint="default"/>
          <w:sz w:val="21"/>
          <w:highlight w:val="none"/>
          <w:lang w:val="en-US" w:eastAsia="zh-CN"/>
        </w:rPr>
        <w:t>网络连接</w:t>
      </w:r>
      <w:r>
        <w:rPr>
          <w:rFonts w:hint="eastAsia"/>
          <w:sz w:val="21"/>
          <w:highlight w:val="none"/>
          <w:lang w:val="en-US" w:eastAsia="zh-CN"/>
        </w:rPr>
        <w:t>：每个月</w:t>
      </w:r>
      <w:r>
        <w:rPr>
          <w:rFonts w:hint="default"/>
          <w:sz w:val="21"/>
          <w:highlight w:val="none"/>
          <w:lang w:val="en-US" w:eastAsia="zh-CN"/>
        </w:rPr>
        <w:t>对于无线网络设备，需要定期检查信号强度和稳定性，确保数据传输的可靠性。</w:t>
      </w:r>
      <w:r>
        <w:rPr>
          <w:rFonts w:hint="eastAsia"/>
          <w:sz w:val="21"/>
          <w:highlight w:val="none"/>
          <w:lang w:val="en-US" w:eastAsia="zh-CN"/>
        </w:rPr>
        <w:t>并记录检查结果提交给采购人。</w:t>
      </w:r>
    </w:p>
    <w:p w14:paraId="3359FBCC">
      <w:pPr>
        <w:pStyle w:val="25"/>
        <w:keepNext w:val="0"/>
        <w:keepLines w:val="0"/>
        <w:pageBreakBefore w:val="0"/>
        <w:widowControl/>
        <w:numPr>
          <w:ilvl w:val="0"/>
          <w:numId w:val="0"/>
        </w:numPr>
        <w:kinsoku/>
        <w:wordWrap/>
        <w:overflowPunct/>
        <w:topLinePunct w:val="0"/>
        <w:autoSpaceDE/>
        <w:autoSpaceDN/>
        <w:bidi w:val="0"/>
        <w:adjustRightInd/>
        <w:snapToGrid/>
        <w:spacing w:line="480" w:lineRule="auto"/>
        <w:ind w:firstLine="420" w:firstLineChars="200"/>
        <w:jc w:val="both"/>
        <w:textAlignment w:val="auto"/>
        <w:rPr>
          <w:rFonts w:hint="default"/>
          <w:sz w:val="21"/>
          <w:highlight w:val="none"/>
          <w:lang w:val="en-US" w:eastAsia="zh-CN"/>
        </w:rPr>
      </w:pPr>
      <w:r>
        <w:rPr>
          <w:rFonts w:hint="default"/>
          <w:sz w:val="21"/>
          <w:highlight w:val="none"/>
          <w:lang w:val="en-US" w:eastAsia="zh-CN"/>
        </w:rPr>
        <w:t>更换老化</w:t>
      </w:r>
      <w:r>
        <w:rPr>
          <w:rFonts w:hint="eastAsia"/>
          <w:sz w:val="21"/>
          <w:highlight w:val="none"/>
          <w:lang w:val="en-US" w:eastAsia="zh-CN"/>
        </w:rPr>
        <w:t>及故障</w:t>
      </w:r>
      <w:r>
        <w:rPr>
          <w:rFonts w:hint="default"/>
          <w:sz w:val="21"/>
          <w:highlight w:val="none"/>
          <w:lang w:val="en-US" w:eastAsia="zh-CN"/>
        </w:rPr>
        <w:t>设备：</w:t>
      </w:r>
      <w:r>
        <w:rPr>
          <w:rFonts w:hint="eastAsia"/>
          <w:sz w:val="21"/>
          <w:highlight w:val="none"/>
          <w:lang w:val="en-US" w:eastAsia="zh-CN"/>
        </w:rPr>
        <w:t>若在维护检查出现设备老化及故障没法返回修的，向采购人提交更换报告，由采购人申请经费采购更换。</w:t>
      </w:r>
    </w:p>
    <w:p w14:paraId="5B6D3957">
      <w:pPr>
        <w:pStyle w:val="25"/>
        <w:keepNext w:val="0"/>
        <w:keepLines w:val="0"/>
        <w:pageBreakBefore w:val="0"/>
        <w:widowControl/>
        <w:numPr>
          <w:ilvl w:val="2"/>
          <w:numId w:val="3"/>
        </w:numPr>
        <w:kinsoku/>
        <w:wordWrap/>
        <w:overflowPunct/>
        <w:topLinePunct w:val="0"/>
        <w:autoSpaceDE/>
        <w:autoSpaceDN/>
        <w:bidi w:val="0"/>
        <w:adjustRightInd/>
        <w:snapToGrid/>
        <w:spacing w:line="480" w:lineRule="auto"/>
        <w:ind w:left="0" w:leftChars="0" w:firstLine="402" w:firstLineChars="0"/>
        <w:jc w:val="both"/>
        <w:textAlignment w:val="auto"/>
        <w:outlineLvl w:val="2"/>
        <w:rPr>
          <w:rFonts w:hint="default"/>
          <w:sz w:val="21"/>
          <w:lang w:val="en-US" w:eastAsia="zh-CN"/>
        </w:rPr>
      </w:pPr>
      <w:r>
        <w:rPr>
          <w:rFonts w:hint="default"/>
          <w:sz w:val="21"/>
          <w:lang w:val="en-US" w:eastAsia="zh-CN"/>
        </w:rPr>
        <w:t>软件系统</w:t>
      </w:r>
      <w:r>
        <w:rPr>
          <w:rFonts w:hint="eastAsia"/>
          <w:sz w:val="21"/>
          <w:lang w:val="en-US" w:eastAsia="zh-CN"/>
        </w:rPr>
        <w:t>维护</w:t>
      </w:r>
    </w:p>
    <w:p w14:paraId="53FD89C5">
      <w:pPr>
        <w:pStyle w:val="25"/>
        <w:keepNext w:val="0"/>
        <w:keepLines w:val="0"/>
        <w:pageBreakBefore w:val="0"/>
        <w:widowControl/>
        <w:numPr>
          <w:ilvl w:val="0"/>
          <w:numId w:val="0"/>
        </w:numPr>
        <w:kinsoku/>
        <w:wordWrap/>
        <w:overflowPunct/>
        <w:topLinePunct w:val="0"/>
        <w:autoSpaceDE/>
        <w:autoSpaceDN/>
        <w:bidi w:val="0"/>
        <w:adjustRightInd/>
        <w:snapToGrid/>
        <w:spacing w:line="480" w:lineRule="auto"/>
        <w:ind w:firstLine="420" w:firstLineChars="200"/>
        <w:jc w:val="both"/>
        <w:textAlignment w:val="auto"/>
        <w:rPr>
          <w:rFonts w:hint="default"/>
          <w:sz w:val="21"/>
          <w:highlight w:val="none"/>
          <w:lang w:val="en-US" w:eastAsia="zh-CN"/>
        </w:rPr>
      </w:pPr>
      <w:r>
        <w:rPr>
          <w:rFonts w:hint="default"/>
          <w:sz w:val="21"/>
          <w:highlight w:val="none"/>
          <w:lang w:val="en-US" w:eastAsia="zh-CN"/>
        </w:rPr>
        <w:t>软件更新</w:t>
      </w:r>
      <w:r>
        <w:rPr>
          <w:rFonts w:hint="eastAsia"/>
          <w:sz w:val="21"/>
          <w:highlight w:val="none"/>
          <w:lang w:val="en-US" w:eastAsia="zh-CN"/>
        </w:rPr>
        <w:t>：每个月</w:t>
      </w:r>
      <w:r>
        <w:rPr>
          <w:rFonts w:hint="default"/>
          <w:sz w:val="21"/>
          <w:highlight w:val="none"/>
          <w:lang w:val="en-US" w:eastAsia="zh-CN"/>
        </w:rPr>
        <w:t>更新软件系统，确保系统能够获得最新的功能和性能优化。同时，及时安装安全补丁，防止系统受到恶意攻击。</w:t>
      </w:r>
    </w:p>
    <w:p w14:paraId="1C0C02BB">
      <w:pPr>
        <w:pStyle w:val="25"/>
        <w:keepNext w:val="0"/>
        <w:keepLines w:val="0"/>
        <w:pageBreakBefore w:val="0"/>
        <w:widowControl/>
        <w:numPr>
          <w:ilvl w:val="0"/>
          <w:numId w:val="0"/>
        </w:numPr>
        <w:kinsoku/>
        <w:wordWrap/>
        <w:overflowPunct/>
        <w:topLinePunct w:val="0"/>
        <w:autoSpaceDE/>
        <w:autoSpaceDN/>
        <w:bidi w:val="0"/>
        <w:adjustRightInd/>
        <w:snapToGrid/>
        <w:spacing w:line="480" w:lineRule="auto"/>
        <w:ind w:firstLine="420" w:firstLineChars="200"/>
        <w:jc w:val="both"/>
        <w:textAlignment w:val="auto"/>
        <w:rPr>
          <w:rFonts w:hint="default"/>
          <w:sz w:val="21"/>
          <w:highlight w:val="none"/>
          <w:lang w:val="en-US" w:eastAsia="zh-CN"/>
        </w:rPr>
      </w:pPr>
      <w:r>
        <w:rPr>
          <w:rFonts w:hint="default"/>
          <w:sz w:val="21"/>
          <w:highlight w:val="none"/>
          <w:lang w:val="en-US" w:eastAsia="zh-CN"/>
        </w:rPr>
        <w:t>数据备份：建立</w:t>
      </w:r>
      <w:r>
        <w:rPr>
          <w:rFonts w:hint="eastAsia"/>
          <w:sz w:val="21"/>
          <w:highlight w:val="none"/>
          <w:lang w:val="en-US" w:eastAsia="zh-CN"/>
        </w:rPr>
        <w:t>每个月</w:t>
      </w:r>
      <w:r>
        <w:rPr>
          <w:rFonts w:hint="default"/>
          <w:sz w:val="21"/>
          <w:highlight w:val="none"/>
          <w:lang w:val="en-US" w:eastAsia="zh-CN"/>
        </w:rPr>
        <w:t>的数据备份计划，确保在系统故障或数据丢失时能够快速恢复。备份内容包括视频数据、软件配置文件等关键信息。</w:t>
      </w:r>
    </w:p>
    <w:p w14:paraId="55D8D47B">
      <w:pPr>
        <w:pStyle w:val="25"/>
        <w:keepNext w:val="0"/>
        <w:keepLines w:val="0"/>
        <w:pageBreakBefore w:val="0"/>
        <w:widowControl/>
        <w:numPr>
          <w:ilvl w:val="0"/>
          <w:numId w:val="0"/>
        </w:numPr>
        <w:kinsoku/>
        <w:wordWrap/>
        <w:overflowPunct/>
        <w:topLinePunct w:val="0"/>
        <w:autoSpaceDE/>
        <w:autoSpaceDN/>
        <w:bidi w:val="0"/>
        <w:adjustRightInd/>
        <w:snapToGrid/>
        <w:spacing w:line="480" w:lineRule="auto"/>
        <w:ind w:firstLine="420" w:firstLineChars="200"/>
        <w:jc w:val="both"/>
        <w:textAlignment w:val="auto"/>
        <w:rPr>
          <w:rFonts w:hint="default"/>
          <w:sz w:val="21"/>
          <w:highlight w:val="none"/>
          <w:lang w:val="en-US" w:eastAsia="zh-CN"/>
        </w:rPr>
      </w:pPr>
      <w:r>
        <w:rPr>
          <w:rFonts w:hint="default"/>
          <w:sz w:val="21"/>
          <w:highlight w:val="none"/>
          <w:lang w:val="en-US" w:eastAsia="zh-CN"/>
        </w:rPr>
        <w:t>日志监控</w:t>
      </w:r>
      <w:r>
        <w:rPr>
          <w:rFonts w:hint="eastAsia"/>
          <w:sz w:val="21"/>
          <w:highlight w:val="none"/>
          <w:lang w:val="en-US" w:eastAsia="zh-CN"/>
        </w:rPr>
        <w:t>：每月对</w:t>
      </w:r>
      <w:r>
        <w:rPr>
          <w:rFonts w:hint="default"/>
          <w:sz w:val="21"/>
          <w:highlight w:val="none"/>
          <w:lang w:val="en-US" w:eastAsia="zh-CN"/>
        </w:rPr>
        <w:t>软件系统的运行日志</w:t>
      </w:r>
      <w:r>
        <w:rPr>
          <w:rFonts w:hint="eastAsia"/>
          <w:sz w:val="21"/>
          <w:highlight w:val="none"/>
          <w:lang w:val="en-US" w:eastAsia="zh-CN"/>
        </w:rPr>
        <w:t>进行检查</w:t>
      </w:r>
      <w:r>
        <w:rPr>
          <w:rFonts w:hint="default"/>
          <w:sz w:val="21"/>
          <w:highlight w:val="none"/>
          <w:lang w:val="en-US" w:eastAsia="zh-CN"/>
        </w:rPr>
        <w:t>，及时发现和解决问题。对于异常日志和错误日志，需要进行深入分析并采取相应的处理措施。</w:t>
      </w:r>
    </w:p>
    <w:p w14:paraId="0FE8D29A">
      <w:pPr>
        <w:pStyle w:val="25"/>
        <w:keepNext w:val="0"/>
        <w:keepLines w:val="0"/>
        <w:pageBreakBefore w:val="0"/>
        <w:widowControl/>
        <w:numPr>
          <w:ilvl w:val="2"/>
          <w:numId w:val="3"/>
        </w:numPr>
        <w:kinsoku/>
        <w:wordWrap/>
        <w:overflowPunct/>
        <w:topLinePunct w:val="0"/>
        <w:autoSpaceDE/>
        <w:autoSpaceDN/>
        <w:bidi w:val="0"/>
        <w:adjustRightInd/>
        <w:snapToGrid/>
        <w:spacing w:line="480" w:lineRule="auto"/>
        <w:ind w:left="0" w:leftChars="0" w:firstLine="402" w:firstLineChars="0"/>
        <w:jc w:val="both"/>
        <w:textAlignment w:val="auto"/>
        <w:outlineLvl w:val="2"/>
        <w:rPr>
          <w:rFonts w:hint="eastAsia"/>
          <w:sz w:val="21"/>
          <w:lang w:val="en-US" w:eastAsia="zh-CN"/>
        </w:rPr>
      </w:pPr>
      <w:r>
        <w:rPr>
          <w:rFonts w:hint="eastAsia"/>
          <w:sz w:val="21"/>
          <w:lang w:val="en-US" w:eastAsia="zh-CN"/>
        </w:rPr>
        <w:t>视频传输服务点位清单</w:t>
      </w:r>
    </w:p>
    <w:tbl>
      <w:tblPr>
        <w:tblStyle w:val="15"/>
        <w:tblW w:w="897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6"/>
        <w:gridCol w:w="1791"/>
        <w:gridCol w:w="1463"/>
        <w:gridCol w:w="1463"/>
        <w:gridCol w:w="860"/>
        <w:gridCol w:w="699"/>
        <w:gridCol w:w="2107"/>
      </w:tblGrid>
      <w:tr w14:paraId="75C2AEF9">
        <w:trPr>
          <w:trHeight w:val="270" w:hRule="atLeast"/>
        </w:trPr>
        <w:tc>
          <w:tcPr>
            <w:tcW w:w="5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408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17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3196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监控名称</w:t>
            </w:r>
          </w:p>
        </w:tc>
        <w:tc>
          <w:tcPr>
            <w:tcW w:w="378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07326">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设备类型</w:t>
            </w:r>
          </w:p>
        </w:tc>
        <w:tc>
          <w:tcPr>
            <w:tcW w:w="6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C16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速率/M</w:t>
            </w:r>
          </w:p>
        </w:tc>
        <w:tc>
          <w:tcPr>
            <w:tcW w:w="2107" w:type="dxa"/>
            <w:vMerge w:val="restart"/>
            <w:tcBorders>
              <w:top w:val="single" w:color="000000" w:sz="4" w:space="0"/>
              <w:left w:val="single" w:color="000000" w:sz="4" w:space="0"/>
              <w:right w:val="single" w:color="000000" w:sz="4" w:space="0"/>
            </w:tcBorders>
            <w:shd w:val="clear" w:color="auto" w:fill="auto"/>
            <w:noWrap/>
            <w:vAlign w:val="center"/>
          </w:tcPr>
          <w:p w14:paraId="17C9AC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服务期</w:t>
            </w:r>
          </w:p>
        </w:tc>
      </w:tr>
      <w:tr w14:paraId="16D218FA">
        <w:trPr>
          <w:trHeight w:val="520" w:hRule="atLeast"/>
        </w:trPr>
        <w:tc>
          <w:tcPr>
            <w:tcW w:w="5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627A1">
            <w:pPr>
              <w:jc w:val="center"/>
              <w:rPr>
                <w:rFonts w:hint="eastAsia" w:ascii="宋体" w:hAnsi="宋体" w:eastAsia="宋体" w:cs="宋体"/>
                <w:i w:val="0"/>
                <w:iCs w:val="0"/>
                <w:color w:val="auto"/>
                <w:sz w:val="21"/>
                <w:szCs w:val="21"/>
                <w:u w:val="none"/>
              </w:rPr>
            </w:pPr>
          </w:p>
        </w:tc>
        <w:tc>
          <w:tcPr>
            <w:tcW w:w="17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8DDC8">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381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400万枪式摄像机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DD8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400万球型摄像机</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131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线路类型</w:t>
            </w: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7EC59">
            <w:pPr>
              <w:jc w:val="center"/>
              <w:rPr>
                <w:rFonts w:hint="eastAsia" w:ascii="宋体" w:hAnsi="宋体" w:eastAsia="宋体" w:cs="宋体"/>
                <w:i w:val="0"/>
                <w:iCs w:val="0"/>
                <w:color w:val="auto"/>
                <w:sz w:val="21"/>
                <w:szCs w:val="21"/>
                <w:u w:val="none"/>
              </w:rPr>
            </w:pPr>
          </w:p>
        </w:tc>
        <w:tc>
          <w:tcPr>
            <w:tcW w:w="2107" w:type="dxa"/>
            <w:vMerge w:val="continue"/>
            <w:tcBorders>
              <w:left w:val="single" w:color="000000" w:sz="4" w:space="0"/>
              <w:bottom w:val="single" w:color="000000" w:sz="4" w:space="0"/>
              <w:right w:val="single" w:color="000000" w:sz="4" w:space="0"/>
            </w:tcBorders>
            <w:shd w:val="clear" w:color="auto" w:fill="auto"/>
            <w:noWrap/>
            <w:vAlign w:val="center"/>
          </w:tcPr>
          <w:p w14:paraId="5D1032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14:paraId="68A2326D">
        <w:trPr>
          <w:wAfter w:w="0" w:type="auto"/>
          <w:trHeight w:val="26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2E5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B6A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中心大道路口63号监控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2BC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5AFC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8FF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910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3A378">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一年</w:t>
            </w:r>
          </w:p>
        </w:tc>
      </w:tr>
      <w:tr w14:paraId="2E84BAE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DAD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FBF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开新二道64号监控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B06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6FEC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EDD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D23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380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508B18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33F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4B9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开新二道60号监控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072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B95F5">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3F2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E67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9B3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1BF74D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695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2AB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中心大道62路监控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69E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CB06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038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6D2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3A7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B658CE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8A5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293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中心大道路口59号监控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6CE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D448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624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7B4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EC4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65B3FD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0AE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E2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中心大道琴诗街61号监控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DBE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5FFF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43F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ABC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31A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E70C1F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A32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C61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香江路交开新二道68号监控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3B9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9350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4CA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714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C0E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D28D26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71A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35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中心大道路口63-1号监控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A08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7E364">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D1B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C41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AB0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B72BD1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0DE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208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中心大道琴诗街69号监控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EC3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6748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D60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909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B01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96032A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33C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AA8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开新二道70号监控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EBE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6DD8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AC8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874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365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F07DE4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3A7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D0A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香江路交琴诗街56号监控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3BA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EACB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88C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60D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D15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E9C287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517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02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香江路交中心大道57号监控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3EC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E914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B6F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7EC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926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AFD8B2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31F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198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开新二道路口55号监控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9C6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9D7C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737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81F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BA5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E91FB9E">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611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F35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中心大道66号监控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8D7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0D8E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ABD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A53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926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EFACBC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5D3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A57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中心大道琴诗街65号监控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8BE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E02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EFE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1C8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B15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F2A8C2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4F3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355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中心大道琴诗街71号监控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04A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42D0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2AB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DD1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C8A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6D525D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CFF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B31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琴海北路爱琴路25号监控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457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573E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D01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001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372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1BBB5B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043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AE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琴海北路爱琴路26号监控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2C7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CFAC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6D9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472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DED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CEE856E">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A61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492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琴海北路爱琴路32号监控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A18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1540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A7C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E89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B0F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20B4F8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521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EA4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琴海北路爱琴路29号监控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4B2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114F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CA8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707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F2F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0A4B54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ECD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E2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琴海北路爱琴路30号监控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6B4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4B76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055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F12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BAD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F3BBD4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52D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6C7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琴海北路爱琴路27号监控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662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4AA3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F9C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9D0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3DC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94E6F8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E87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4E4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琴海北路爱琴路31号监控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7D5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9A36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28F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B34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502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2B501B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361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B55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琴海北路爱琴路28号监控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E57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1FF5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25B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4BB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2C1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BE8731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FA9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324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琴海北路爱琴路22号监控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82A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A1DF5">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8A2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FA8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E1E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E02494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C0C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CEC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琴海北路爱琴路35号监控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2DB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EE64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C12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909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588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C96EE5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BC5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25C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琴海北路爱琴路17号监控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FC5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FC62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A38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625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7D2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A30138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846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522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琴海北路爱琴路东路14号监控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331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EFFA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F4F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54B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D98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BFDF2C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12C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A7A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琴海北路爱琴路36号监控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939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7BEE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4E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6C8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891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F84631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A36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BD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琴海北路爱琴路16号监控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EAB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0E2D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C22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315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EA5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46BBFB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7D6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FAA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琴海北路爱琴路18-1号监控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67B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46D5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E7B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9E4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AE1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8A30EC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FE9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FF8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琴海北路爱琴路19号监控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7F1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EA69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698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8D7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F73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575AE8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C45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ADB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千寿道交环岛北路21号监控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EF5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196A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B14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4F2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6C3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3D585C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E19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4B2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琴海北路爱琴路23号监控1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EB7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C313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734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A89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581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4A7224E">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A5E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D03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琴海北路爱琴路23号监控2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21B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89324">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5DD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89A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7DD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D91A55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EFF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9ED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琴海北路爱琴路东15号监控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F5D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00F7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392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A45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8F7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FBFBB4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0D8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05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琴海北路爱琴路33号监控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403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2FB5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CC4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95F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7D3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8F894C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FC8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F88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七色彩虹路路口38号监控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3C9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07A7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85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067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0C9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AE791A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3D2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8F3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千寿道交颂琴东路20号监控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F92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211C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220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456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D45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B83962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739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0E5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琴海北路爱琴路34号监控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417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FCA0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3C9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357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182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D13170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0F0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B0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琴政路交子期北道路37号监控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1C2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F9FE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CB7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00D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D28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30C8E8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34F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2D9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琴海北路爱琴路18号监控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91A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1895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0E6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968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A89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B67A16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3B2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905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琴海北路爱琴东路24号监控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A61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C50A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4B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B89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602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1CB294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919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374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琴海东路监控01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9DD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C6CC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35E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958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FC2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E57CB2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5AE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35A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琴海东路监控02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75D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D8CE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73E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895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7C0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6BF5D0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E29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4A8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琴海东路监控03</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A58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BADC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9EB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9F5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A91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6E05B9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940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61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琴海东路监控04</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827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27B9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2CE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380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572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06A87F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A15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428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胜州八路40号监控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D2D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4832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878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4D8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4E7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7C412A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A46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0D4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胜州七路交远志道43号监控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EA1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723C5">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A0D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B1B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979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0FFD86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E54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92E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胜州八路交远志道41号监控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157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A22C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3CB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979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D33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87687A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269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E33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胜州八路39号监控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4B7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163F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6FC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D6E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C8F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F060B7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4C0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213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胜州八路交远志道42号监控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E10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85635">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183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FB3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31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238568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FDC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010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兴盛二路交富城道07号监控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90A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E653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B8E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126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B13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6589CA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648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965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兴盛二路交富城道11号监控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E21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AB8F5">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6D5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6E2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598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1B97C4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56A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8D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兴盛一路交富城道13号监控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DF9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D9D6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BA6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C24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183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7802F0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DB2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521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兴盛三路交富城道04号监控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844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A075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6AA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BBD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10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A22288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2B0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EE4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兴盛二路交富城道10号监控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166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B6CD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519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30A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C06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466E6A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A26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3DB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兴盛二路交富城道08号监控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EF5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B5F9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01A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BD6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887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695130E">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5A4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A2D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兴盛三路交富城道05号监控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B2E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084C4">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F3D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941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456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78D909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A50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1B1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兴盛三路交富城道01号监控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22F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E431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32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AA5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799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E91173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F47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5D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兴盛三路交富城道03号监控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738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C337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43D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790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C82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0D3325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80D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CBA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兴盛一路交富城道12号监控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091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15B4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4F5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1FC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096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5AFF68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910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078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兴盛五路交富国道02号监控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5B4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8019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E6C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849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D23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EC8A29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5A0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D9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兴盛二路交富国道09号监控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7B1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E09E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382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1A6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2A5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3FC937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53D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96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兴盛三路交富城道06号监控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1BA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7975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BDE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5F7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592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977706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6FE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724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彩虹路知音南道监控01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2F6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B885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756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E22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4F6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CB311A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AA1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CCC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彩虹路知音南道监控02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C9F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C4CC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7AA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44C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DB9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827C8D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D56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AE1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彩虹路知音南道监控03</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BC9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40D2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16D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78A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184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834018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261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19F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彩虹路知音南道监控04</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6A0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EBA9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FCE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815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7BF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DFC099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66D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554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彩虹路知音南道监控05</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5AE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8B17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A0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54D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5A0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5A6FFA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39A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78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琴海西路48号监控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CB5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12FF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D8E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43D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F6F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E473A3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AF5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30F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琴海西路50号监控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DB1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7C0A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105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5F4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972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41BA71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876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423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琴海西路46号监控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C33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2454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ACD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F10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68D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96FC43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600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264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琴海西路52号监控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4D7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D6A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EC2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531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7C5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79F0D7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C70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5B3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琴海西路45号监控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932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86934">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D0D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BF8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311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630C4DE">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523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14A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琴海西路44号监控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778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9089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FB3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818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9DC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B28D43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074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9C1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琴海西路53号监控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941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2C6B4">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CBE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D42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156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351262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8D4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481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琴海西路51号监控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915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9FB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177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17A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1B5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94BCB4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DFA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852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琴海西路49号监控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CA8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D0FC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A54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965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BEC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B2C0C0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41D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CB2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琴海西路47号监控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CA4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489F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BC3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88E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9BF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A32A3E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73D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81</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68E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富邦道监控01-1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037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904C4">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87C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9B0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694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82FBE5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E58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469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琴海北路富邦道监控01-2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A2A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8BA8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DFA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9BC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56F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9E946C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19A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BB9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富邦道监控02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EE9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8CF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4FE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E25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582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1D832C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D08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237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琴海东路监控05</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8EA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CAC5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774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173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7ED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F5678D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E64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206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琴海东路监控06</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C7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8307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0DF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E18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76C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D7BC59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6C7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74A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彩虹生活广场监控2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819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9A22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63D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AC0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61C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7E4588E">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08D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A6E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彩虹生活广场监控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5B7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5AFA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0F7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F20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F7C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C36085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CC6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853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彩虹生活广场监控3</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5E3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3AE4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BF7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4C7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DC4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3B6A4F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75D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06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彩虹生活广场监控4</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55D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0858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A36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81E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3DC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C9EA18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D14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EDD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彩虹生活广场监控5</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709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427B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2FB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446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8C2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09C469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788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04F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香江路消防站旁地块</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639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D04E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B3D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107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B0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A216F0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28C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4C2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荷花园公厕</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4A8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6645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979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AAB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9C3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AB2993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B08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4E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三号公厕</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D8C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BCA4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BED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398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1F6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361731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8CF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052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4号停车场环保屋</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57C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612E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DEE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B87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E34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4D587D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E3C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EE2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五号驿站环保屋</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B21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4CD5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2CA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7E7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E0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188044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084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F1E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三号驿站环保屋</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385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13AA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410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F7B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9D0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185012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61C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D2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彩虹路1-1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91F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E89D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233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F85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423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3944A8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6C3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03E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彩虹路1-2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CF2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8722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7FC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CCC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3D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4E91CC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8DB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02E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彩虹路2-1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33B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040A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545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D40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371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DDFE6AE">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1B7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937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彩虹路2-2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40E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6963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316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87D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A1A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6B47B5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766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3AF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彩虹路3-1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07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767B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1DB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E2E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B74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D33844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9B8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E23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彩虹路3-2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9A1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26E7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C39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0C2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CA3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E8A525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985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57E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二号驿站环保屋</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0F7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C869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804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3C0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E4A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571530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DAF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92A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二号公厕</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F60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31B9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A2F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340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0D5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F2603E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B9B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7D3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一号公厕</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B66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323B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699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1DC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262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22B925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3E2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506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赛艇公园环保屋</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A6B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E038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089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577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AF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B3E722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36B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C69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西湾二路路口</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A77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ADEF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E15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56A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09E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923706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ED4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CB3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西湾二路路口枪机1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BA4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D34D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C0E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9D2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690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E9F40A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886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B5E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西湾二路路口枪机2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E44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C276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D2E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270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CC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17E9DC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C54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467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兴盛二路与富国道交叉口1-1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631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6F5C5">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451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561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CB4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4536D6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032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128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兴盛五路与富邦道交叉路口1-1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685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2F79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5B6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671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FAD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E9F355A">
        <w:trPr>
          <w:wAfter w:w="0" w:type="auto"/>
          <w:trHeight w:val="28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E51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44C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兴盛五路与富邦道交叉路口1-2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67A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3594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377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880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064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6D59946">
        <w:trPr>
          <w:wAfter w:w="0" w:type="auto"/>
          <w:trHeight w:val="26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354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92D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花海长廊/4号停车场公厕/监控1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6BA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E84E4">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88D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02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E78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9960D9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037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14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花海长廊/4号停车场公厕/监控2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85F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F4C6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571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1EB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898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634652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BEB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E26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花海长廊/4号停车场公厕/监控3</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D29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D2A1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2D1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D29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B0C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205431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8CC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93F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花海长廊/4号停车场公厕/监控4</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ACB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63BE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CA1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247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D88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F2BEC9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56E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F28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花海长廊/4号停车场公厕/监控5</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3C8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BA81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8B5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415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AA6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2913D4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34B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3E5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花海长廊/4号停车场公厕/监控6</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19D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6CB4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7B2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EB9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03B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BC780A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F19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AD5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花海长廊/4号停车场公厕/监控7</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AA6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EB41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2C3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610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E05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38C65C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DC8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40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花海长廊/4号停车场公厕/监控8</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B57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2D07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2AD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6D3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F25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8AEEF1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E7B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CFE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花海长廊/4号停车场公厕/监控9</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0B0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FD3B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819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0FE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180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65764D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450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945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花海长廊/4号停车场公厕/监控10</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A0C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D946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729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4D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ABA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29BB2B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9FE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686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三号驿站露营区/监控1-1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166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1371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11F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457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281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F4AA85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6ED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880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三号驿站露营区/监控1-2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E7B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0FC8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12A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5BD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CF9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63C374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B94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7B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三号驿站露营区/监控2-1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385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63DA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D26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E78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341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EF1557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F9D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B20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三号驿站露营区/监控2-2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EB3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DDD3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06B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556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E8E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DE378A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469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83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三号驿站露营区/监控3-1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281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5E98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4C8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270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7DF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E03196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982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ACC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三号驿站露营区/监控3-2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C81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E7A8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01B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61C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150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9FC5A4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7B7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A57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三号驿站露营区/监控4-1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702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7875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A0D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106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F68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2D26A5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40F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3E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三号驿站露营区/监控4-2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C16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19804">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B50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C9D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7F2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ADE9E7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3C7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F9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三号驿站露营区/监控5-1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955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E5EB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462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207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6B2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8857B7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824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BDF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三号驿站露营区/监控5-2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560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9F62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E3A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A02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336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391E36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BE3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2D1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三号驿站露营区/监控6-1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5A1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6A1A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2CD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C2E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B8C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64443A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700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052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三号驿站露营区/监控6-2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DF5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D126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A16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645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B76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1E069D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2F9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93B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三号驿站露营区/监控7-1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9FA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6E5C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D33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6B0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AD3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C3BB35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C06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AF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三号驿站露营区/监控7-2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01F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F7694">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EAF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3A0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381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AB4DF7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72F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347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三号驿站露营区/监控8-1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B4C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5EC4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F7C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0EF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AD2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9FDA52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62D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A64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三号驿站露营区/监控8-2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AC3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FCA44">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873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7A0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6F3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99C7C5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78D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AC9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三号驿站露营区/监控9-1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F6A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5AE6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92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8AD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629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0F5C57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A5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F3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三号驿站露营区/监控9-2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D47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9571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012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A8B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13F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BFA94C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371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CAA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三号驿站露营区/监控10-1（利旧杆）</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428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CF0A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F5A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742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5F4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D57953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907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3E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三号驿站露营区/监控10-2（利旧杆）</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117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6FDA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50E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007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64C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0F79BD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932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121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珠海市香洲区横琴镇顺景路点位1-1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080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654D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C5A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029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BFE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A15F17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80B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41C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珠海市香洲区横琴镇顺景路点位1-2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4F5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A952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B7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049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5E8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1AF38D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3C6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01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珠海市香洲区横琴镇顺景路点位2-1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C21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17CF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D66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FEC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0EB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AC30D4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D23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D3B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珠海市香洲区横琴镇顺景路点位2-2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F90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B2664">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79D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FC7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B0A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9043B7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061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466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珠海市香洲区横琴镇顺景路点位3-1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0BE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D50E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91B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C82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F0A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E06E74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9C9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DA6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珠海市香洲区横琴镇顺景路点位3-2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008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49D6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A66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EEB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36E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32C7D2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F1C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12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珠海市香洲区横琴镇顺景路点位4-1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C51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5448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FCD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29D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E1A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09FE0E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35D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6B9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珠海市香洲区横琴镇顺景路点位4-2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82A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1D49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590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691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33F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CFD63B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2EA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CDB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珠海市香洲区横琴镇顺景路点位5-1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AE8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7F254">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0B1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697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205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F6A260E">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6AB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BA1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珠海市香洲区横琴镇顺景路点位5-2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809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5FA5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F6D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1B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820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00D445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82C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56C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天沐琴台汇聚线</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D2E19">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18C2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405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汇聚传输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458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F4C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2B3CDCE">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3B9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1F4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荷花园监控1-1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44A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FE58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79B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0F2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69B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529FD3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518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C7D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荷花园监控1-2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682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26DB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0BA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FB9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17F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D17516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6BB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A1C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荷花园监控2（球机）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A8F28">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F7B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164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4CA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A5D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860FC4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9A9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9A9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荷花园监控2-1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7BC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B4F4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2DB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D2D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AB1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5B17A5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65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10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荷花园监控3-1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363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5D384">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50E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63B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E8E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7E528B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633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D3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荷花园监控3-2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FAD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4140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DC9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EF9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0CC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A0FCE2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974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B4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荷花园监控4-1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114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AEF0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B00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121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B0D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34D83A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4BD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9CA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荷花园监控4-2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BB9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92B8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2EB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87E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789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782281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4AF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009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荷花园/监控5（球机）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91B">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5EC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2B7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944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2E3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929D0C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9C9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60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荷花园监控5-1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A30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B989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02B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138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C96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A78D1F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269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AB0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生态泽园监控1-1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FD6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3EB6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410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A9B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EB6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98AF2D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527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11C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生态泽园监控1-2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7EB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AD6A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34B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0F9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DE9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0D9D8D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51F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03D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生态泽园监控1-3</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170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B56C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F25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23B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A9D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DC6E4E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C1D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27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生态泽园/监控2（球机）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26F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39714">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33D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536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B64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245430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5D5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A8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生态泽园/监控2-1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C7A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5FFD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A91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C46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C86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D7ED0E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D10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3E2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生态泽园/监控3（球机）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C53E9">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1DF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338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3C8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523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22CD1A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22C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E87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生态泽园/监控3-1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B88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EB6C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FCE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D4B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BD3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9EDEB2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937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F3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生态泽园/监控4-1（球机）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45B6A">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704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88C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C4F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A9D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91906C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0CA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A0D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生态泽园/监控4-2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208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2B72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6A5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6E1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93F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D6913C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C80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DEB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生态泽园/监控4-3</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0D3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67D7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86D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807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E51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C7ADDB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45B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6B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生态泽园/监控5-1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DDF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54C7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201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59A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8AD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0BBCB1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92E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608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生态泽园/监控5-2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E4F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17DB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F95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7FC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0CD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1F0D2D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1F0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971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生态泽园/监控6（球机）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B075C">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411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34E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A4C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057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C3529E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C11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5E9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生态泽园/监控6-1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1F7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ACB3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284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B1E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C54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392C83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B26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F0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生态泽园/监控6-2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389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CB3B5">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230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138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20B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9CF4E0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FB6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D5B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生态泽园/监控7（球机）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C18F4">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A39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9A3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01C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BAF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CB370C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2C7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638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生态泽园/监控7-1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A5A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E882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300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E56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4B1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D41289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266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D85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生态泽园/监控8-1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D67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4567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613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BDB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A77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712DA3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D53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B80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生态泽园/监控8-2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61C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87E3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BF7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C22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96D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39B7E2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715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00D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生态泽园/监控8-3</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521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6A7A5">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4BC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B66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29F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FAD40E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AFE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3E7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生态泽园/监控9-1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5BA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228E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6D1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935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DF7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DCD0C8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5CD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3F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生态泽园/监控9-2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400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DC19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E41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630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CE8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2680D4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842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EC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生态泽园/监控10-1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07E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5FF1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D89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50E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24C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40E83C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BD2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A2A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生态泽园/监控10-2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A25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E699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37B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527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588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6E0765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16E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07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生态泽园/监控11-1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418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0AD0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274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09C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82D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1C4C5A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A06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39A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生态泽园/监控11-2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B02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C15E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C16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A6F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DDB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B4619B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A57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09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生态泽园足球场/监控8（利旧路灯杆，球机）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DEAC9">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735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ED6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A93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96A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EDB2C4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8BF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654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生态泽园篮球场/监控11（利旧路灯杆，球机）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3BC71">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02E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E6F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842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CA5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385F80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737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EB5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212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C8F2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0DA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6BC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27D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7F0F4D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0A5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E85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7AC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C848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D69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55E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A93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3EA77F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CBD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FD0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1B7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F8A4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FD2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BA0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A29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D22463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3C6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B33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43F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736D4">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429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A53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F65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9AE707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606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813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天沐河公园/监控3-1球机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206D7">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DB5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340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FFE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662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161D11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1E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0BA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天沐河公园/监控3-2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0B0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24EF4">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3A8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AED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89B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CDAF1C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17A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E05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天沐河公园/监控4-1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4F7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42C94">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C07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72F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99A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33C413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28D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50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天沐河公园/监控4-2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C5F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1D5C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3CB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AA1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7E9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87FF1F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717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6FA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天沐河公园/监控5球机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99294">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B8B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54A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1E3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2CA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D9C5CD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24A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F19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天沐河公园/监控6-1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03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59F6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12B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E1A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A85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F2C6D7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1F6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B88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天沐河公园/监控6-2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BED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0A38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56A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827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0D2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DA080E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77A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9A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天沐河公园/监控7-1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30C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2CE6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398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FC7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CA2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6A44BA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759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4A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天沐河公园/监控7-2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6D8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76D0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9C7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A4C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667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999350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9B6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0F0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天沐河公园/监控8-1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4B3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F0D0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CBC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002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1AE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ACA305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DA8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C23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天沐河公园/监控8-2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647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FB4E5">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B71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FFC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6DB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135C64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833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022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天沐河公园/监控9-1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71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C177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1CB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8D8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9F3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9183DCE">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D56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00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天沐河公园/监控9-2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493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36A4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002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D20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036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27DBBD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BD3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4D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天沐河公园/监控10-1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45A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EBD8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EAA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E01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C98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50900C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73C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E6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天沐河公园/监控10-2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CA8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1086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E8D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D33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75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BB82C2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B3E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A51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天沐河公园/监控11-1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3FA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C258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965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A86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80C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E5A3D7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CBA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EBC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天沐河公园/监控11-2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879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496E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29C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15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81F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D9A163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D38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D37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天沐河公园/监控12-1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717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B88C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0EB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599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B46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D18E80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1E4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8D6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天沐河公园/监控12-2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206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74A4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855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468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93A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61C9DD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79D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798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天沐河公园/监控13-1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0D7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0177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12E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DF3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782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FC5AFB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1DF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1CF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天沐河公园/监控13-2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1EB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CC70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9A6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0E8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83D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F48AAE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EB3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EC6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天沐河公园/监控14-1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629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AA7E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DCD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E3A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BB9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A42BF9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1C6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B8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天沐河公园/监控14-2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F66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A94D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2E0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7ED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94D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841EE7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CFB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24E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天沐河公园/监控15-1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399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BD2C5">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400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2EC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4F7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499266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209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B0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天沐河公园/监控15-2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493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403A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710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356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5A3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BF6D43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4E2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D73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天沐河公园/监控16-1球机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DF800">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61D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330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22D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A1D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A851FF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A54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9A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天沐河公园/监控16-2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A2B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414A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5EF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BEB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016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272543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C87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75F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天沐河公园/监控17-1球机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6C3F7">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3DD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C97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EEA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63B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835904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5DB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2E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天沐河公园/监控17-2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E51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59A8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A9E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452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F05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35674B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3C3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924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天沐河公园/监控18-1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365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0566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F78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B73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577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BF5F2D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D9E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14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天沐河公园/监控18-2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24A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670F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706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D1E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6E5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7DCC40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499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513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天沐河公园/监控19-1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5E3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DBE5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F38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534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282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A9E599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788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45E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天沐河公园/监控19-2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C6E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35B8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F09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396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CF8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084853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060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0C9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天沐河公园/监控20-1球机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5687C">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31A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494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4A8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E6F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F5DFE7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B73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8BA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天沐河公园/监控20-2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BAF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ABC8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1D1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DA5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480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55DF61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BA3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386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天沐河公园/监控21-1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D12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47CF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813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27C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0FE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FD3E25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7FD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578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天沐河公园/监控21-2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4E8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06F3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D2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B76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623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ECFB36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2E8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685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天沐河公园/监控22-1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DF7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82BD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496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280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D27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9343BC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D10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87C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天沐河公园/监控22-2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C4B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3993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9B9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78B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2CB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300867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4AC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0F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天沐河公园/监控23-1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A79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A36B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D8A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372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617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042E1FE">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FFA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5E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天沐河公园/监控23-2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6EC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EE09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09E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47F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C4A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B5B162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082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787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天沐河公园/监控24-1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EF4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142E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68A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9BF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04F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377CA9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418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F73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天沐河公园/监控24-2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F87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99E7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60A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05C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8D2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3C8A05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B86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292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天沐河公园/监控25-1球机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72381">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930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A19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F7F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DF1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19B4A2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D43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69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天沐河公园/监控25-2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F9A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1898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5DA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225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277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221713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5E5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91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天沐河公园/监控26-1球机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E7C68">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A97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AE0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E1F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867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0C4065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7D8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FB1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天沐河公园/监控26-2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070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79B5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80F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B7F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F4B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FAD6EB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17D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057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天沐河公园/监控27-1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412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3063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833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D3D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D6B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2ED501B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F99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AD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天沐河公园/监控27-2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A14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44A4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DB7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C0D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2A3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27E990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E73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807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天沐河公园/监控28-1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6B2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2C14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C11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13F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B66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C66A39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C45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A4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天沐河公园/监控28-2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290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697E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FC8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D49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7F0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01B9B7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D07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79D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天沐河公园/监控29-1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2B1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9C51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6FF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684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A7F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BDBE2D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3B4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57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天沐河公园/监控29-2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FFF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1111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C4A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CD6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D7C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9876F5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CA9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F1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天沐河公园/监控30-1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CD6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274E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5FB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1F9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084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36B92C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172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5F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天沐河公园/监控30-2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7FB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A9BB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DA4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D04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D01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7919C7A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6B3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6FA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天沐河公园/监控31-1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F6F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FE86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F8F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DBD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F0C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D68528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861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98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天沐河公园/监控31-2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490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B31D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E49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853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0E1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9BF9CD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EC3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3D6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天沐河公园/监控32-1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8E6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CCDD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637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4E7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36A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50FB82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A28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0E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天沐河公园/监控32-2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62D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902E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657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541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B24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6443BB0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BBB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AE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天沐河公园/监控33-1球机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AECA2">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50F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D99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DC3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116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45E415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AE3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CD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天沐河公园/监控33-2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A3C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61C35">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2F7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213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422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A78EE9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FD7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B97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天沐河公园/监控34-1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BF1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0EE4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FF6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831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52F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98B610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4CA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732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天沐河公园/监控34-2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D72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FCD7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246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885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278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835A4D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6D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DD1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天沐河公园/监控35</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5B5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3A94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F98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8E6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B9D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5E7E457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D67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472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天沐河公园/监控36-1球机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A7B27">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799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BAC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3DB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1CB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1F7F23C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1D4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7E3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天沐河公园/监控36-2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DD2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71F8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48F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94B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28A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060B9D2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71B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0EE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市政署5楼会议室</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908B">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6F3F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0BF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汇聚传输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8E9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DC7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40B9F01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D6E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A37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重点公园汇聚线</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2C0F1">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4801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7ED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汇聚传输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160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FA6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一年</w:t>
            </w:r>
          </w:p>
        </w:tc>
      </w:tr>
      <w:tr w14:paraId="30651EE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917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CFB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上村垃圾投放亭1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BCF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3085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DE4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D8F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BDD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5A3EE0A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FB7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865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上村垃圾投放亭2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FF5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AF24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6A5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934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E37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614E00A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613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C3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粗砂环环保厢房1监控1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B72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1BC9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B39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FCE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F7F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32D5262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5F5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81E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深井村环保厢房监控1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412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E5EE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336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4DF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31E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CD753D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763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94C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粗砂环环保厢房1监控2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AB7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F63A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945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842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F3E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6B29D44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16E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5B6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四塘村环保厢房1监控2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03F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BB62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B4B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627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459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583487E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D1F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12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三塘村公厕监控1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78D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45B1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DA7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853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A37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15A4472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30D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DE7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红旗村环保厢房3监控1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B10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481F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FCC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71E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318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447079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659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6C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深井村改在环保屋1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83C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E05D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AF8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458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237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0950AA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1BF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2E4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三塘村公厕监控2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EE2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3A58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755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C38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16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FC26ED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941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B7A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红旗村环保厢房3监控2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9FB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3ED9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6B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300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590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32EE9A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653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F28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深井村环保厢房监控2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B70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B552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257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544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88F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09CDB45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249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502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四塘村环保厢房1监控1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DAD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8CE1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14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3C8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87C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E374FD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39B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289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洋环村环保屋监控1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6F3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D474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14B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D7F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D16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BA71CE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87A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749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保利登山入口监控2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66D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DF76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83F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C56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428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9B43A5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4B8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72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洋环村环保屋监控2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DC4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C527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175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A8A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66B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12534C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74C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1D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下村大件点2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8F0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7674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15E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788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BD2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4BC6A04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9F4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63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三塘村环保厢房2监控1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2AB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4D41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CFB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309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264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196C343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2ED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AA6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下村环保厢房2监控2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AC2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A506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32F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762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BBA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AC11E1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CB4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81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四塘村大件点</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E6F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4842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79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D0E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781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1B7AF43E">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E24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B9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下村环保厢房2监控1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DDF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95E5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6DC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FA7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D55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9D731F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A54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F22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保利登山入口监控1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8E3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D940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E29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619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313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95586F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592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5C7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三塘村环保厢房2监控2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DA4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0721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AA9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965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050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372F54E">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0E6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AF7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下村环保厢房1监控2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1D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0CE7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084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3C8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380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E012CB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918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09A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下村大件点1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1D7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29055">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2D0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B5A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2FD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C015EA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E8C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2BA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粗砂环大件点</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41D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F6E8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E37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A14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9BD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3E25169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64E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12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洋环村大件点</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F9A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C900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78F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126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DE8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7BF64A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AF4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983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下村环保厢房1监控1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019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609A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43F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DE9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51E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AE6F00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4C4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DB0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上村大件点</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1B8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7C64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9B8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46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B67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84ADAF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7F9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3B7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上村环保屋监控1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FF3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82D6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6EC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CD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AAE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5FFBEB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727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9CD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星乐度登山入口监控2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921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0E55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53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DAA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5D1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3F04A47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A9F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32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向阳村环保厢房监控2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3B0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3FE8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2A9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2CD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F85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4E8018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B22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470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红旗村环保厢房2监控1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CF2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04EE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8B5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D7A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B83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6E4D317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431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CDF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顺德公社登山入口监控2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A0D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0A72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756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C2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AF5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EE738C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759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7FA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向阳村改造环保屋</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B0C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0A1C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019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5CB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A0B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1E0218A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DE7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158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四塘村改造环保屋</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A58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51CA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00E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016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D45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06C3301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8A8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0F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上村环保屋监控2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4CA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CA38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E7F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200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200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041C459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AAF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9C5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港澳大道公厕监控1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6E7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1419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3FC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2E8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7BA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2F1867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40A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72B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山海驿站停车场监控1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A96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A83E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CC2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274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1FC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3005EB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295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7E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向阳村大件点</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0BA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5666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B97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38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C7D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1DD8548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D64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0FD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花海长隆公厕（琴海西路）监控2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F03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8D27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B77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E27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070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787839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89E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0C4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粗砂环环保厢房2监控2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A1F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7650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9EF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6E1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08B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1F2A920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DDF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57E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粗砂环环保厢房2监控1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B58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B8AB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EF7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428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ACA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0874B08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B7D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461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向阳村环保厢房监控1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351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F547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9EC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AAE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7DF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3D53A46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C34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841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红旗村大件点2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F1C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E3F3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0B9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684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478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65A4CEA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743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2C7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顺德公社登山入口监控1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F08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5401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CE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CA2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2EC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181B694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79E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0F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红旗村改造环保屋</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CCB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ADA7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D1E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FD5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270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6B2BD05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A48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DF7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红旗村环保厢房2监控2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5AF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F21B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14F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845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300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AEF84B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DB5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09B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红旗村改造垃圾房（小区）监控1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349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C74E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E38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003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A9F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2461D9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F6D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D3A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红旗村改造垃圾房（小区）监控2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F2C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E881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8F9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B31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9C0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9DE455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1B3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C65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石山村投放亭</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9D5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9277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776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FB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4EB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9E79B7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CE9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82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三塘村大件点</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061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4B10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0CE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478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B6E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06EF0ED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A12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5F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深井村大件点</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C2E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28EF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B77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E74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B76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137A25A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F1F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1E4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中央公园公厕监控1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986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0676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106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BC3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AD8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4571B9A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C42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6BF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石山村环保厢房监控1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74C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BD5E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23B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7FA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856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399A8F2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9C3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F66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横琴镇/天沐河(姗姗桥)/监控1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714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38E7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5B2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114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C6C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5E1600B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848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329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横琴镇/天沐河(姗姗桥)/监控3</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E8A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20C6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E68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CBD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D09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D34384E">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B52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23F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三塘村环保厢房1监控1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C86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ED0B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3B8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A04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321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454665F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E1E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7B7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港澳大道公厕监控2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161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BF1E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5D1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B60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E00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4EAA9D9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B12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59E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深井村改在环保屋3</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A4A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FA31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D3E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F18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27C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58A6B3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C18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7F3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山海驿站停车场监控2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4C4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38B4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491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58D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18F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4448151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95D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584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横琴镇/天沐河(姗姗桥)/监控2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FEF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10E4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971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448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118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52AF3D2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99E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D64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石山村环保厢房监控2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F6D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A77D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FBC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3FA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F3D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1976400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09F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CD6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中央公园公厕监控2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60D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D89D5">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FA8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2FA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03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4FED0C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DE8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8A6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三塘村环保厢房1监控2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2A5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705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F3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866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D71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1F4E440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B89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6E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石山村大件点</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EE6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FDD5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664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127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A61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5009312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687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CEA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星乐度登山入口监控1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FDC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44A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FA8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A2A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6E1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6F9DF04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C97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7CC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花海长隆公厕（琴海西路）监控1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1FC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A3BE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EEC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54E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66E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39DC37D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BBF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774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环岛东路公厕</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721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0C42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EF8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032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8C1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55E2B9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B8C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F8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红旗村环保厢房1监控1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B5C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7E79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C2B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D93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346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116611F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5B5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09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红旗村环保厢房1监控2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E0E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E0D7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564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82C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6C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05C1C56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88D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162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四塘村环保厢房2监控1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B49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E5C5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F51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89F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52C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68DC214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1F8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CC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向阳村公厕监控1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E60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A4DD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021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7D3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6ED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40E4F8F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9AF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162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向阳村公厕监控2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653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9399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A2F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E5B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B41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0E88510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FD6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338</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B55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下村改造环保屋</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647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19AB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B3B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D2A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077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104AD72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277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339</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780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深井村改造环保屋2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621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D151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27E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55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11D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519B4CC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A91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340</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1FE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依依桥公厕监控2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BF5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CA6B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44D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035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8F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5D0AC83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F36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341</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DFC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濠江路公厕监控2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B0A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0889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F19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031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EF0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C3844F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DCE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342</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E47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濠江路公厕监控1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ABB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864F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8F7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D8B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077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5BC6C28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E04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343</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72E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濠江路公厕监控3</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1B0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0E18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079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738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CF8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1056811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96E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344</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5F9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依依桥公厕监控1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904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2704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2F8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9CB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F19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02B28DD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972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548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红旗村大件点1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DFD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D8BB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B1F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CAE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BD2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67C8205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C2E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021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长隆站二层左边电梯前柱子1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447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6C42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029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992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A92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9B4159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80C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191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长隆站二层左边电梯前柱子2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DCF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68A6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DBA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493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4FA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647168D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D09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66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长隆站二层左边电梯前柱子3</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72E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A259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707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C76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CB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44C22A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AB1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CF3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长隆站二层右边轻轨站门口4</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80F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7D27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B73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C35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5B1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3409042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438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1AB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长隆站二层右边轻轨站门口5</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A61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151A4">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857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B66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C23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C9ED4B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1F9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8B2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长隆站二层右边轻轨站门口6</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DA8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B81C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022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60C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FE9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67429F7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F89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397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长隆站一层电梯前柱子左边1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AAE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15BC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384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61A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6F7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4EB0AAA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C70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312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长隆站人行天桥人行手扶电梯1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51F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8C93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CEB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2AF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43D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38CE1BA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F02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B6D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长隆站一层电梯前柱子右边1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F5D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7425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4F1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1DD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9E6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45D31CF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DCE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0E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长隆站人行天桥人行手扶电梯2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702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F21A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BCD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787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FA1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ACD887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DA0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5C9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长隆站人行手扶电梯左边底1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1C3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19BB5">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B08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114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998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0CDE5A1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E56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059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长隆站人行手扶电梯左边底2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FB3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7EC0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025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0C8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1AA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04E0D82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BDF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1A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长隆站天桥右电梯内</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2D2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4E44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43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A9D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B21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4D9DCCE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528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6A2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长隆站天桥左电梯内</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8D7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ABCF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C4D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DB2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C9D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4D09E58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20F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9C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橙子开心农场室外01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857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FBE5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BAC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91D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954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160AF9FE">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7CD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A9B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橙子开心农场室外02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578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57B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E00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8C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5C8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52AB7B0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806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B1F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橙子开心农场室内01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51E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7F57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B65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70F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E28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1349AC8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1F8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90B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橙子开心农场室内02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D27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E885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973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4B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5AC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6AC4032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43B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22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橙子开心农场室内03</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E7E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929C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95D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B4A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C33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4169877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A61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1EC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1号垃圾压缩中转站/门卫后围墙</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2F5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FE414">
            <w:pPr>
              <w:jc w:val="center"/>
              <w:rPr>
                <w:rFonts w:hint="eastAsia" w:ascii="宋体" w:hAnsi="宋体" w:eastAsia="宋体" w:cs="宋体"/>
                <w:i w:val="0"/>
                <w:iCs w:val="0"/>
                <w:color w:val="auto"/>
                <w:sz w:val="21"/>
                <w:szCs w:val="21"/>
                <w:u w:val="none"/>
              </w:rPr>
            </w:pPr>
          </w:p>
        </w:tc>
        <w:tc>
          <w:tcPr>
            <w:tcW w:w="8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540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汇聚传输</w:t>
            </w:r>
          </w:p>
        </w:tc>
        <w:tc>
          <w:tcPr>
            <w:tcW w:w="6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5E6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c>
          <w:tcPr>
            <w:tcW w:w="210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CE0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6528896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B28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38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1号垃圾压缩中转站/门卫前路口</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E73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18A00">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F1669">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06EA2">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2EA21">
            <w:pPr>
              <w:jc w:val="center"/>
              <w:rPr>
                <w:rFonts w:hint="eastAsia" w:ascii="宋体" w:hAnsi="宋体" w:eastAsia="宋体" w:cs="宋体"/>
                <w:i w:val="0"/>
                <w:iCs w:val="0"/>
                <w:color w:val="auto"/>
                <w:sz w:val="21"/>
                <w:szCs w:val="21"/>
                <w:u w:val="none"/>
              </w:rPr>
            </w:pPr>
          </w:p>
        </w:tc>
      </w:tr>
      <w:tr w14:paraId="6DEB956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8DB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FB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1号垃圾压缩中转站/围墙1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2D0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C9A3B">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64D6C">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DD822">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45401">
            <w:pPr>
              <w:jc w:val="center"/>
              <w:rPr>
                <w:rFonts w:hint="eastAsia" w:ascii="宋体" w:hAnsi="宋体" w:eastAsia="宋体" w:cs="宋体"/>
                <w:i w:val="0"/>
                <w:iCs w:val="0"/>
                <w:color w:val="auto"/>
                <w:sz w:val="21"/>
                <w:szCs w:val="21"/>
                <w:u w:val="none"/>
              </w:rPr>
            </w:pPr>
          </w:p>
        </w:tc>
      </w:tr>
      <w:tr w14:paraId="056649B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DCB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7BC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1号垃圾压缩中转站/围墙2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D93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E5E9E">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0BD67">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ED6EC">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7A821">
            <w:pPr>
              <w:jc w:val="center"/>
              <w:rPr>
                <w:rFonts w:hint="eastAsia" w:ascii="宋体" w:hAnsi="宋体" w:eastAsia="宋体" w:cs="宋体"/>
                <w:i w:val="0"/>
                <w:iCs w:val="0"/>
                <w:color w:val="auto"/>
                <w:sz w:val="21"/>
                <w:szCs w:val="21"/>
                <w:u w:val="none"/>
              </w:rPr>
            </w:pPr>
          </w:p>
        </w:tc>
      </w:tr>
      <w:tr w14:paraId="2FF51B3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312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146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1号垃圾压缩中转站/围墙3</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4A1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E4A7">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938F8">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6B4A5">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355E8">
            <w:pPr>
              <w:jc w:val="center"/>
              <w:rPr>
                <w:rFonts w:hint="eastAsia" w:ascii="宋体" w:hAnsi="宋体" w:eastAsia="宋体" w:cs="宋体"/>
                <w:i w:val="0"/>
                <w:iCs w:val="0"/>
                <w:color w:val="auto"/>
                <w:sz w:val="21"/>
                <w:szCs w:val="21"/>
                <w:u w:val="none"/>
              </w:rPr>
            </w:pPr>
          </w:p>
        </w:tc>
      </w:tr>
      <w:tr w14:paraId="1B05E7B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97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822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1号垃圾压缩中转站/围墙4</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D6F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16312">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21C83">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D82ED">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218F2">
            <w:pPr>
              <w:jc w:val="center"/>
              <w:rPr>
                <w:rFonts w:hint="eastAsia" w:ascii="宋体" w:hAnsi="宋体" w:eastAsia="宋体" w:cs="宋体"/>
                <w:i w:val="0"/>
                <w:iCs w:val="0"/>
                <w:color w:val="auto"/>
                <w:sz w:val="21"/>
                <w:szCs w:val="21"/>
                <w:u w:val="none"/>
              </w:rPr>
            </w:pPr>
          </w:p>
        </w:tc>
      </w:tr>
      <w:tr w14:paraId="6F2CDDD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2AD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28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1号垃圾压缩中转站/架空层1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FDE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46208">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A36D2">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185F1">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F561">
            <w:pPr>
              <w:jc w:val="center"/>
              <w:rPr>
                <w:rFonts w:hint="eastAsia" w:ascii="宋体" w:hAnsi="宋体" w:eastAsia="宋体" w:cs="宋体"/>
                <w:i w:val="0"/>
                <w:iCs w:val="0"/>
                <w:color w:val="auto"/>
                <w:sz w:val="21"/>
                <w:szCs w:val="21"/>
                <w:u w:val="none"/>
              </w:rPr>
            </w:pPr>
          </w:p>
        </w:tc>
      </w:tr>
      <w:tr w14:paraId="4E2045A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8A1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2D4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1号垃圾压缩中转站/架空层2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0E0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0D0B9">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8CC29">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74C43">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3875A">
            <w:pPr>
              <w:jc w:val="center"/>
              <w:rPr>
                <w:rFonts w:hint="eastAsia" w:ascii="宋体" w:hAnsi="宋体" w:eastAsia="宋体" w:cs="宋体"/>
                <w:i w:val="0"/>
                <w:iCs w:val="0"/>
                <w:color w:val="auto"/>
                <w:sz w:val="21"/>
                <w:szCs w:val="21"/>
                <w:u w:val="none"/>
              </w:rPr>
            </w:pPr>
          </w:p>
        </w:tc>
      </w:tr>
      <w:tr w14:paraId="3ED7E91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327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104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1号垃圾压缩中转站/架空层3</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949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48F4D">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4663A">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D523C">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A6427">
            <w:pPr>
              <w:jc w:val="center"/>
              <w:rPr>
                <w:rFonts w:hint="eastAsia" w:ascii="宋体" w:hAnsi="宋体" w:eastAsia="宋体" w:cs="宋体"/>
                <w:i w:val="0"/>
                <w:iCs w:val="0"/>
                <w:color w:val="auto"/>
                <w:sz w:val="21"/>
                <w:szCs w:val="21"/>
                <w:u w:val="none"/>
              </w:rPr>
            </w:pPr>
          </w:p>
        </w:tc>
      </w:tr>
      <w:tr w14:paraId="54B5197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156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D43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1号垃圾压缩中转站/二楼平台入口</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0E0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84E58">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FD8FC">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31604">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568B2">
            <w:pPr>
              <w:jc w:val="center"/>
              <w:rPr>
                <w:rFonts w:hint="eastAsia" w:ascii="宋体" w:hAnsi="宋体" w:eastAsia="宋体" w:cs="宋体"/>
                <w:i w:val="0"/>
                <w:iCs w:val="0"/>
                <w:color w:val="auto"/>
                <w:sz w:val="21"/>
                <w:szCs w:val="21"/>
                <w:u w:val="none"/>
              </w:rPr>
            </w:pPr>
          </w:p>
        </w:tc>
      </w:tr>
      <w:tr w14:paraId="663CC4E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1A7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FC5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1号垃圾压缩中转站/一号运转平台</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F2C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DA521">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DC90A">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796C0">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2E17B">
            <w:pPr>
              <w:jc w:val="center"/>
              <w:rPr>
                <w:rFonts w:hint="eastAsia" w:ascii="宋体" w:hAnsi="宋体" w:eastAsia="宋体" w:cs="宋体"/>
                <w:i w:val="0"/>
                <w:iCs w:val="0"/>
                <w:color w:val="auto"/>
                <w:sz w:val="21"/>
                <w:szCs w:val="21"/>
                <w:u w:val="none"/>
              </w:rPr>
            </w:pPr>
          </w:p>
        </w:tc>
      </w:tr>
      <w:tr w14:paraId="75B15F2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ECE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ED5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1号垃圾压缩中转站/二楼平台内部</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9C3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F86DC">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A0B74">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2ACF0">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8A419">
            <w:pPr>
              <w:jc w:val="center"/>
              <w:rPr>
                <w:rFonts w:hint="eastAsia" w:ascii="宋体" w:hAnsi="宋体" w:eastAsia="宋体" w:cs="宋体"/>
                <w:i w:val="0"/>
                <w:iCs w:val="0"/>
                <w:color w:val="auto"/>
                <w:sz w:val="21"/>
                <w:szCs w:val="21"/>
                <w:u w:val="none"/>
              </w:rPr>
            </w:pPr>
          </w:p>
        </w:tc>
      </w:tr>
      <w:tr w14:paraId="6C67825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8A6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207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1号垃圾压缩中转站/一号平台对接口</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BC3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19F0F">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DDA4D">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610EC">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29B4E">
            <w:pPr>
              <w:jc w:val="center"/>
              <w:rPr>
                <w:rFonts w:hint="eastAsia" w:ascii="宋体" w:hAnsi="宋体" w:eastAsia="宋体" w:cs="宋体"/>
                <w:i w:val="0"/>
                <w:iCs w:val="0"/>
                <w:color w:val="auto"/>
                <w:sz w:val="21"/>
                <w:szCs w:val="21"/>
                <w:u w:val="none"/>
              </w:rPr>
            </w:pPr>
          </w:p>
        </w:tc>
      </w:tr>
      <w:tr w14:paraId="52D0E48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47F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D80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1号垃圾压缩中转站/一号卸料口</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68D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EE5E6">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0B85E">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09D2C">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62C24">
            <w:pPr>
              <w:jc w:val="center"/>
              <w:rPr>
                <w:rFonts w:hint="eastAsia" w:ascii="宋体" w:hAnsi="宋体" w:eastAsia="宋体" w:cs="宋体"/>
                <w:i w:val="0"/>
                <w:iCs w:val="0"/>
                <w:color w:val="auto"/>
                <w:sz w:val="21"/>
                <w:szCs w:val="21"/>
                <w:u w:val="none"/>
              </w:rPr>
            </w:pPr>
          </w:p>
        </w:tc>
      </w:tr>
      <w:tr w14:paraId="45F997E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6F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152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1号垃圾压缩中转站/一号设备左侧抱臂</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995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C9A26">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87B82">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0C862">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321C8">
            <w:pPr>
              <w:jc w:val="center"/>
              <w:rPr>
                <w:rFonts w:hint="eastAsia" w:ascii="宋体" w:hAnsi="宋体" w:eastAsia="宋体" w:cs="宋体"/>
                <w:i w:val="0"/>
                <w:iCs w:val="0"/>
                <w:color w:val="auto"/>
                <w:sz w:val="21"/>
                <w:szCs w:val="21"/>
                <w:u w:val="none"/>
              </w:rPr>
            </w:pPr>
          </w:p>
        </w:tc>
      </w:tr>
      <w:tr w14:paraId="1CB20AD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230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462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1号垃圾压缩中转站/一号设备操作台</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F41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6A954">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A2DE5">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9E4D6">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C9823">
            <w:pPr>
              <w:jc w:val="center"/>
              <w:rPr>
                <w:rFonts w:hint="eastAsia" w:ascii="宋体" w:hAnsi="宋体" w:eastAsia="宋体" w:cs="宋体"/>
                <w:i w:val="0"/>
                <w:iCs w:val="0"/>
                <w:color w:val="auto"/>
                <w:sz w:val="21"/>
                <w:szCs w:val="21"/>
                <w:u w:val="none"/>
              </w:rPr>
            </w:pPr>
          </w:p>
        </w:tc>
      </w:tr>
      <w:tr w14:paraId="5D810E6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A00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04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1号垃圾压缩中转站/二号平台对接口</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92B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48004">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62AAA">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EFB7">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2E88B">
            <w:pPr>
              <w:jc w:val="center"/>
              <w:rPr>
                <w:rFonts w:hint="eastAsia" w:ascii="宋体" w:hAnsi="宋体" w:eastAsia="宋体" w:cs="宋体"/>
                <w:i w:val="0"/>
                <w:iCs w:val="0"/>
                <w:color w:val="auto"/>
                <w:sz w:val="21"/>
                <w:szCs w:val="21"/>
                <w:u w:val="none"/>
              </w:rPr>
            </w:pPr>
          </w:p>
        </w:tc>
      </w:tr>
      <w:tr w14:paraId="67AFE21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6B1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B88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1号垃圾压缩中转站/二号卸料口</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AAC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5C7D0">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341CD">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6A87A">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79625">
            <w:pPr>
              <w:jc w:val="center"/>
              <w:rPr>
                <w:rFonts w:hint="eastAsia" w:ascii="宋体" w:hAnsi="宋体" w:eastAsia="宋体" w:cs="宋体"/>
                <w:i w:val="0"/>
                <w:iCs w:val="0"/>
                <w:color w:val="auto"/>
                <w:sz w:val="21"/>
                <w:szCs w:val="21"/>
                <w:u w:val="none"/>
              </w:rPr>
            </w:pPr>
          </w:p>
        </w:tc>
      </w:tr>
      <w:tr w14:paraId="6F832C79">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EBE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CBF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1号垃圾压缩中转站/一号右侧抱臂</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FB1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A9B0A">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B1BD8">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21D10">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4C264">
            <w:pPr>
              <w:jc w:val="center"/>
              <w:rPr>
                <w:rFonts w:hint="eastAsia" w:ascii="宋体" w:hAnsi="宋体" w:eastAsia="宋体" w:cs="宋体"/>
                <w:i w:val="0"/>
                <w:iCs w:val="0"/>
                <w:color w:val="auto"/>
                <w:sz w:val="21"/>
                <w:szCs w:val="21"/>
                <w:u w:val="none"/>
              </w:rPr>
            </w:pPr>
          </w:p>
        </w:tc>
      </w:tr>
      <w:tr w14:paraId="77D8FC8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E8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AA7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1号垃圾压缩中转站/围墙5</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34D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F0164">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69AEC">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52590">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79668">
            <w:pPr>
              <w:jc w:val="center"/>
              <w:rPr>
                <w:rFonts w:hint="eastAsia" w:ascii="宋体" w:hAnsi="宋体" w:eastAsia="宋体" w:cs="宋体"/>
                <w:i w:val="0"/>
                <w:iCs w:val="0"/>
                <w:color w:val="auto"/>
                <w:sz w:val="21"/>
                <w:szCs w:val="21"/>
                <w:u w:val="none"/>
              </w:rPr>
            </w:pPr>
          </w:p>
        </w:tc>
      </w:tr>
      <w:tr w14:paraId="5ED2BFEA">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3E8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F3C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1号垃圾压缩中转站/场区大院</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9FB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0F211">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97180">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E2B4B">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0EB8A">
            <w:pPr>
              <w:jc w:val="center"/>
              <w:rPr>
                <w:rFonts w:hint="eastAsia" w:ascii="宋体" w:hAnsi="宋体" w:eastAsia="宋体" w:cs="宋体"/>
                <w:i w:val="0"/>
                <w:iCs w:val="0"/>
                <w:color w:val="auto"/>
                <w:sz w:val="21"/>
                <w:szCs w:val="21"/>
                <w:u w:val="none"/>
              </w:rPr>
            </w:pPr>
          </w:p>
        </w:tc>
      </w:tr>
      <w:tr w14:paraId="0598A62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5FA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72F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1号垃圾压缩中转站/围墙6</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2E4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14E82">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62619">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059AB">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27D63">
            <w:pPr>
              <w:jc w:val="center"/>
              <w:rPr>
                <w:rFonts w:hint="eastAsia" w:ascii="宋体" w:hAnsi="宋体" w:eastAsia="宋体" w:cs="宋体"/>
                <w:i w:val="0"/>
                <w:iCs w:val="0"/>
                <w:color w:val="auto"/>
                <w:sz w:val="21"/>
                <w:szCs w:val="21"/>
                <w:u w:val="none"/>
              </w:rPr>
            </w:pPr>
          </w:p>
        </w:tc>
      </w:tr>
      <w:tr w14:paraId="009CDC3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659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AE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1号垃圾压缩中转站/二号左侧箱体</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181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89AD7">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CA18A">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2FF48">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7D5AF">
            <w:pPr>
              <w:jc w:val="center"/>
              <w:rPr>
                <w:rFonts w:hint="eastAsia" w:ascii="宋体" w:hAnsi="宋体" w:eastAsia="宋体" w:cs="宋体"/>
                <w:i w:val="0"/>
                <w:iCs w:val="0"/>
                <w:color w:val="auto"/>
                <w:sz w:val="21"/>
                <w:szCs w:val="21"/>
                <w:u w:val="none"/>
              </w:rPr>
            </w:pPr>
          </w:p>
        </w:tc>
      </w:tr>
      <w:tr w14:paraId="13DC57E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40F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341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1号垃圾压缩中转站/二号设备操作台</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4A4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59142">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21632">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E0130">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C6ED0">
            <w:pPr>
              <w:jc w:val="center"/>
              <w:rPr>
                <w:rFonts w:hint="eastAsia" w:ascii="宋体" w:hAnsi="宋体" w:eastAsia="宋体" w:cs="宋体"/>
                <w:i w:val="0"/>
                <w:iCs w:val="0"/>
                <w:color w:val="auto"/>
                <w:sz w:val="21"/>
                <w:szCs w:val="21"/>
                <w:u w:val="none"/>
              </w:rPr>
            </w:pPr>
          </w:p>
        </w:tc>
      </w:tr>
      <w:tr w14:paraId="69A7E1BE">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202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C39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1号垃圾压缩中转站/二号右侧抱臂</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9B6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C791C">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7722E">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D82EA">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2D273">
            <w:pPr>
              <w:jc w:val="center"/>
              <w:rPr>
                <w:rFonts w:hint="eastAsia" w:ascii="宋体" w:hAnsi="宋体" w:eastAsia="宋体" w:cs="宋体"/>
                <w:i w:val="0"/>
                <w:iCs w:val="0"/>
                <w:color w:val="auto"/>
                <w:sz w:val="21"/>
                <w:szCs w:val="21"/>
                <w:u w:val="none"/>
              </w:rPr>
            </w:pPr>
          </w:p>
        </w:tc>
      </w:tr>
      <w:tr w14:paraId="573D76F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517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A37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1号垃圾压缩中转站/二号右侧抱臂</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A1C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82F45">
            <w:pPr>
              <w:jc w:val="center"/>
              <w:rPr>
                <w:rFonts w:hint="eastAsia" w:ascii="宋体" w:hAnsi="宋体" w:eastAsia="宋体" w:cs="宋体"/>
                <w:i w:val="0"/>
                <w:iCs w:val="0"/>
                <w:color w:val="auto"/>
                <w:sz w:val="21"/>
                <w:szCs w:val="21"/>
                <w:u w:val="none"/>
              </w:rPr>
            </w:pPr>
          </w:p>
        </w:tc>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CA41C">
            <w:pPr>
              <w:jc w:val="center"/>
              <w:rPr>
                <w:rFonts w:hint="eastAsia" w:ascii="宋体" w:hAnsi="宋体" w:eastAsia="宋体" w:cs="宋体"/>
                <w:i w:val="0"/>
                <w:iCs w:val="0"/>
                <w:color w:val="auto"/>
                <w:sz w:val="21"/>
                <w:szCs w:val="21"/>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2EEE3">
            <w:pPr>
              <w:jc w:val="center"/>
              <w:rPr>
                <w:rFonts w:hint="eastAsia" w:ascii="宋体" w:hAnsi="宋体" w:eastAsia="宋体" w:cs="宋体"/>
                <w:i w:val="0"/>
                <w:iCs w:val="0"/>
                <w:color w:val="auto"/>
                <w:sz w:val="21"/>
                <w:szCs w:val="21"/>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3D2F9">
            <w:pPr>
              <w:jc w:val="center"/>
              <w:rPr>
                <w:rFonts w:hint="eastAsia" w:ascii="宋体" w:hAnsi="宋体" w:eastAsia="宋体" w:cs="宋体"/>
                <w:i w:val="0"/>
                <w:iCs w:val="0"/>
                <w:color w:val="auto"/>
                <w:sz w:val="21"/>
                <w:szCs w:val="21"/>
                <w:u w:val="none"/>
              </w:rPr>
            </w:pPr>
          </w:p>
        </w:tc>
      </w:tr>
      <w:tr w14:paraId="4ADA278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DA7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71D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橙子开心农场监控机房</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68B69">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624E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ADC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汇聚传输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A3E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527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582B78B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D1B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71B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口岸天桥二楼停车场过道</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59996">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CC50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D51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汇聚传输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22C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EB9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0A4BB4A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823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C8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橙子开心农场WIFI</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AC075">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CE4E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924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汇聚传输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023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C7B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1657B998">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DD4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725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长湾隧道机房</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98B40">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DCDC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B80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汇聚传输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C25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89C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D55532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ADE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AEF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横琴赛艇公园监控机房汇聚</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62E01">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18C2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BA2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汇聚传输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7FC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E71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6F0DB19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2B7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D1EB9F">
            <w:pPr>
              <w:keepNext w:val="0"/>
              <w:keepLines w:val="0"/>
              <w:widowControl/>
              <w:suppressLineNumbers w:val="0"/>
              <w:jc w:val="left"/>
              <w:textAlignment w:val="bottom"/>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珠海市香洲区横琴镇琴海北路长堤公园监控5</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A4E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B273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6DF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355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F86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4B6D7DE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BAC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C86C8F">
            <w:pPr>
              <w:keepNext w:val="0"/>
              <w:keepLines w:val="0"/>
              <w:widowControl/>
              <w:suppressLineNumbers w:val="0"/>
              <w:jc w:val="left"/>
              <w:textAlignment w:val="bottom"/>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珠海市香洲区横琴镇琴海北路长堤公园监控3-2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935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F305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D58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76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363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48A7EEE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CA0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3BAFCE">
            <w:pPr>
              <w:keepNext w:val="0"/>
              <w:keepLines w:val="0"/>
              <w:widowControl/>
              <w:suppressLineNumbers w:val="0"/>
              <w:jc w:val="left"/>
              <w:textAlignment w:val="bottom"/>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珠海市香洲区横琴镇琴海北路长堤公园监控2-2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289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6F77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3B6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433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ACC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44F1BDB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F52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67CB36">
            <w:pPr>
              <w:keepNext w:val="0"/>
              <w:keepLines w:val="0"/>
              <w:widowControl/>
              <w:suppressLineNumbers w:val="0"/>
              <w:jc w:val="left"/>
              <w:textAlignment w:val="bottom"/>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珠海市香洲区横琴镇琴海北路长堤公园监控6-2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845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41B9">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699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FCB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D08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083953B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C5C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BD4314">
            <w:pPr>
              <w:keepNext w:val="0"/>
              <w:keepLines w:val="0"/>
              <w:widowControl/>
              <w:suppressLineNumbers w:val="0"/>
              <w:jc w:val="left"/>
              <w:textAlignment w:val="bottom"/>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珠海市香洲区横琴镇琴海北路长堤公园监控1-1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382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8E51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54F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AAE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6B3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652D7BB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A98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FB384A">
            <w:pPr>
              <w:keepNext w:val="0"/>
              <w:keepLines w:val="0"/>
              <w:widowControl/>
              <w:suppressLineNumbers w:val="0"/>
              <w:jc w:val="left"/>
              <w:textAlignment w:val="bottom"/>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珠海市香洲区横琴镇琴海北路长堤公园监控7</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DD1B5">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CAA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E7B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A14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F02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39EB99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07D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D14F66">
            <w:pPr>
              <w:keepNext w:val="0"/>
              <w:keepLines w:val="0"/>
              <w:widowControl/>
              <w:suppressLineNumbers w:val="0"/>
              <w:jc w:val="left"/>
              <w:textAlignment w:val="bottom"/>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珠海市香洲区横琴镇琴海北路长堤公园监控1-2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449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DDC1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ED3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C22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A00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F2D083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AED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849A83E">
            <w:pPr>
              <w:keepNext w:val="0"/>
              <w:keepLines w:val="0"/>
              <w:widowControl/>
              <w:suppressLineNumbers w:val="0"/>
              <w:jc w:val="left"/>
              <w:textAlignment w:val="bottom"/>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珠海市香洲区横琴镇琴海北路长堤公园监控3-1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C80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1AE45">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702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169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E11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0A7CDAE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ACA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16752B">
            <w:pPr>
              <w:keepNext w:val="0"/>
              <w:keepLines w:val="0"/>
              <w:widowControl/>
              <w:suppressLineNumbers w:val="0"/>
              <w:jc w:val="left"/>
              <w:textAlignment w:val="bottom"/>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珠海市香洲区横琴镇琴海北路长堤公园监控6-1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765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C6B6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1A7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076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254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031AAD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6C5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F58D6E">
            <w:pPr>
              <w:keepNext w:val="0"/>
              <w:keepLines w:val="0"/>
              <w:widowControl/>
              <w:suppressLineNumbers w:val="0"/>
              <w:jc w:val="left"/>
              <w:textAlignment w:val="bottom"/>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珠海市香洲区横琴镇琴海北路花海长廊一号驿站监控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34F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E24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3FD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C65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A13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337406CE">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4C2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DE5DFC">
            <w:pPr>
              <w:keepNext w:val="0"/>
              <w:keepLines w:val="0"/>
              <w:widowControl/>
              <w:suppressLineNumbers w:val="0"/>
              <w:jc w:val="left"/>
              <w:textAlignment w:val="bottom"/>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珠海市香洲区横琴镇琴海北路长堤公园监控4-1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11A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3AEB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106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934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D5B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1A404C2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528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42215D">
            <w:pPr>
              <w:keepNext w:val="0"/>
              <w:keepLines w:val="0"/>
              <w:widowControl/>
              <w:suppressLineNumbers w:val="0"/>
              <w:jc w:val="left"/>
              <w:textAlignment w:val="bottom"/>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珠海市香洲区横琴镇琴海北路长堤公园监控4-2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E17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57CE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93C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5B7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B4F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F72950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A8D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7C43C9">
            <w:pPr>
              <w:keepNext w:val="0"/>
              <w:keepLines w:val="0"/>
              <w:widowControl/>
              <w:suppressLineNumbers w:val="0"/>
              <w:jc w:val="left"/>
              <w:textAlignment w:val="bottom"/>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珠海市香洲区横琴镇琴海北路长堤公园监控2-1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CEF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B919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483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FCB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C68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0D1F562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45A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2493DA">
            <w:pPr>
              <w:keepNext w:val="0"/>
              <w:keepLines w:val="0"/>
              <w:widowControl/>
              <w:suppressLineNumbers w:val="0"/>
              <w:jc w:val="left"/>
              <w:textAlignment w:val="bottom"/>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珠海市香洲区横琴镇琴海北路长堤公园监控8</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86741">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0C1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95A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952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9A6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7BF1092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F4E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3BE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珠海市香洲区横琴镇琴海北路花海长廊一号驿站监控（汇聚线）</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342C4">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C124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9C3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汇聚传输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4D8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252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627F112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D02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A98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珠海市香洲区横琴镇琴海北路花海长廊监控（汇聚线）</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9A07E">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FF70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2D4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汇聚传输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042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53A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2025年11月至合同期结束</w:t>
            </w:r>
          </w:p>
        </w:tc>
      </w:tr>
      <w:tr w14:paraId="21094EBF">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D1D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B4D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6C7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EED1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55D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C57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47D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50EE729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5E2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F7B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245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C78A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F7A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EBE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BE9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324D164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53A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532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横琴粤澳深度合作区博览公园3</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282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A978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D1E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934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0B9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7778D41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AB1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E26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横琴粤澳深度合作区博览公园4</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0CD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3B77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3B0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DE2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0CE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361306B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207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BAF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横琴粤澳深度合作区博览公园5</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228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B121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40F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A97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4D5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14FAB97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6D4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4CD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横琴粤澳深度合作区博览公园6</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FBB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90515">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EC0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E29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D39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719CDB0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2F1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FDC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横琴粤澳深度合作区博览公园7</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096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16690">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157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663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401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2B97BBB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AE6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4B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横琴粤澳深度合作区博览公园8</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E0F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2417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445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81A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7EF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488790F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31B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C2C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横琴粤澳深度合作区博览公园9</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E0F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2AF8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92F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DCA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A37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59D2E37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4C0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53C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横琴粤澳深度合作区博览公园10</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411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C93E3">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D49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E0C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8DD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6D45731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381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173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横琴粤澳深度合作区博览公园11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579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3E7A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4FB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990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053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404EA93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5B6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EF4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横琴粤澳深度合作区博览公园12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50D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7E24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E88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FE5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A1D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4C76689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4BC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6F8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横琴粤澳深度合作区博览公园13</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CB1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E874B">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DA3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648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E23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747EE29C">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7AE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D11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横琴粤澳深度合作区博览公园14</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E30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D748D">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128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F7E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B24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4898103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B2C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7E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横琴粤澳深度合作区博览公园15</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28D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1648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1D1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FFC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E74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4C1993D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D15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12D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横琴粤澳深度合作区博览公园16</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F4F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1BA6A">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043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810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53D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7613D61B">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B72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69D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横琴粤澳深度合作区博览公园17</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C1C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A3A7F">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5FE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45A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3B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2A459082">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2B2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429</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65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横琴粤澳深度合作区博览公园18</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4BF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FE5BE">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25C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49F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688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07E83561">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C3D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430</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F64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横琴粤澳深度合作区博览公园19</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21A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D1381">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EE0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D93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860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0E04927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EF5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431</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776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横琴粤澳深度合作区博览公园20</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F8D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D9DE6">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C79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D87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EF5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011EF8E7">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4E8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432</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10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横琴粤澳深度合作区博览公园21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C40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1099C">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0B9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FEF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951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00396D20">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773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433</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FE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横琴粤澳深度合作区博览公园22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3AD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18D57">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FB0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D34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147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5C98A243">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EC3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434</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D60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横琴粤澳深度合作区博览公园23</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E9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0D662">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D86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549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85E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0D6C39B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B7D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435</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85B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横琴粤澳深度合作区博览公园24</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3A6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551B8">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E51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89E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E1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69561556">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D21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436</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E9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横琴粤澳深度合作区博览公园25</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C00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2A6C5">
            <w:pPr>
              <w:jc w:val="center"/>
              <w:rPr>
                <w:rFonts w:hint="eastAsia" w:ascii="宋体" w:hAnsi="宋体" w:eastAsia="宋体" w:cs="宋体"/>
                <w:i w:val="0"/>
                <w:iCs w:val="0"/>
                <w:color w:val="auto"/>
                <w:sz w:val="21"/>
                <w:szCs w:val="21"/>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630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93C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C60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67907825">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E1D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436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横琴粤澳深度合作区博览公园26</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BF9B2">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D3C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BFE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90B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FE7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30F4CFD4">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765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438</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433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横琴粤澳深度合作区博览公园27</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DC62B">
            <w:pPr>
              <w:jc w:val="center"/>
              <w:rPr>
                <w:rFonts w:hint="eastAsia" w:ascii="宋体" w:hAnsi="宋体" w:eastAsia="宋体" w:cs="宋体"/>
                <w:i w:val="0"/>
                <w:iCs w:val="0"/>
                <w:color w:val="auto"/>
                <w:sz w:val="21"/>
                <w:szCs w:val="21"/>
                <w:u w:val="none"/>
              </w:rPr>
            </w:pP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CD5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FD3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视频传输</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420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486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2025年12月至合同期结束</w:t>
            </w:r>
          </w:p>
        </w:tc>
      </w:tr>
      <w:tr w14:paraId="6DFAA74D">
        <w:trPr>
          <w:wAfter w:w="0" w:type="auto"/>
          <w:trHeight w:val="27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6B729">
            <w:pPr>
              <w:jc w:val="center"/>
              <w:rPr>
                <w:rFonts w:hint="eastAsia" w:ascii="宋体" w:hAnsi="宋体" w:eastAsia="宋体" w:cs="宋体"/>
                <w:i w:val="0"/>
                <w:iCs w:val="0"/>
                <w:color w:val="auto"/>
                <w:sz w:val="21"/>
                <w:szCs w:val="21"/>
                <w:u w:val="none"/>
              </w:rPr>
            </w:pP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BD1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BE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407</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AAA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7142F">
            <w:pPr>
              <w:jc w:val="center"/>
              <w:rPr>
                <w:rFonts w:hint="eastAsia" w:ascii="宋体" w:hAnsi="宋体" w:eastAsia="宋体" w:cs="宋体"/>
                <w:i w:val="0"/>
                <w:iCs w:val="0"/>
                <w:color w:val="auto"/>
                <w:sz w:val="21"/>
                <w:szCs w:val="21"/>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84E8D">
            <w:pPr>
              <w:jc w:val="center"/>
              <w:rPr>
                <w:rFonts w:hint="eastAsia" w:ascii="宋体" w:hAnsi="宋体" w:eastAsia="宋体" w:cs="宋体"/>
                <w:i w:val="0"/>
                <w:iCs w:val="0"/>
                <w:color w:val="auto"/>
                <w:sz w:val="21"/>
                <w:szCs w:val="21"/>
                <w:u w:val="none"/>
              </w:rPr>
            </w:pP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63413">
            <w:pPr>
              <w:jc w:val="center"/>
              <w:rPr>
                <w:rFonts w:hint="eastAsia" w:ascii="宋体" w:hAnsi="宋体" w:eastAsia="宋体" w:cs="宋体"/>
                <w:i w:val="0"/>
                <w:iCs w:val="0"/>
                <w:color w:val="auto"/>
                <w:sz w:val="21"/>
                <w:szCs w:val="21"/>
                <w:u w:val="none"/>
              </w:rPr>
            </w:pPr>
          </w:p>
        </w:tc>
      </w:tr>
    </w:tbl>
    <w:p w14:paraId="227FB6BF">
      <w:pPr>
        <w:bidi w:val="0"/>
        <w:rPr>
          <w:rFonts w:hint="eastAsia"/>
          <w:lang w:val="en-US" w:eastAsia="zh-CN"/>
        </w:rPr>
      </w:pPr>
    </w:p>
    <w:p w14:paraId="6033FA28">
      <w:pPr>
        <w:pStyle w:val="25"/>
        <w:keepNext w:val="0"/>
        <w:keepLines w:val="0"/>
        <w:pageBreakBefore w:val="0"/>
        <w:widowControl/>
        <w:numPr>
          <w:ilvl w:val="1"/>
          <w:numId w:val="3"/>
        </w:numPr>
        <w:kinsoku/>
        <w:wordWrap/>
        <w:overflowPunct/>
        <w:topLinePunct w:val="0"/>
        <w:autoSpaceDE/>
        <w:autoSpaceDN/>
        <w:bidi w:val="0"/>
        <w:adjustRightInd/>
        <w:snapToGrid/>
        <w:spacing w:line="480" w:lineRule="auto"/>
        <w:ind w:left="0" w:leftChars="0" w:firstLine="400" w:firstLineChars="0"/>
        <w:jc w:val="both"/>
        <w:textAlignment w:val="auto"/>
        <w:outlineLvl w:val="1"/>
        <w:rPr>
          <w:rFonts w:hint="default"/>
          <w:sz w:val="21"/>
          <w:lang w:val="en-US" w:eastAsia="zh-CN"/>
        </w:rPr>
      </w:pPr>
      <w:r>
        <w:rPr>
          <w:rFonts w:hint="eastAsia"/>
          <w:sz w:val="21"/>
          <w:lang w:val="en-US" w:eastAsia="zh-CN"/>
        </w:rPr>
        <w:t>运维服务保障要求</w:t>
      </w:r>
    </w:p>
    <w:p w14:paraId="5A534EDD">
      <w:pPr>
        <w:pStyle w:val="25"/>
        <w:keepNext w:val="0"/>
        <w:keepLines w:val="0"/>
        <w:pageBreakBefore w:val="0"/>
        <w:widowControl/>
        <w:numPr>
          <w:ilvl w:val="2"/>
          <w:numId w:val="3"/>
        </w:numPr>
        <w:kinsoku/>
        <w:wordWrap/>
        <w:overflowPunct/>
        <w:topLinePunct w:val="0"/>
        <w:autoSpaceDE/>
        <w:autoSpaceDN/>
        <w:bidi w:val="0"/>
        <w:adjustRightInd/>
        <w:snapToGrid/>
        <w:spacing w:line="480" w:lineRule="auto"/>
        <w:ind w:left="0" w:leftChars="0" w:firstLine="402" w:firstLineChars="0"/>
        <w:jc w:val="both"/>
        <w:textAlignment w:val="auto"/>
        <w:outlineLvl w:val="2"/>
        <w:rPr>
          <w:rFonts w:hint="default"/>
          <w:sz w:val="21"/>
          <w:lang w:val="en-US" w:eastAsia="zh-CN"/>
        </w:rPr>
      </w:pPr>
      <w:r>
        <w:rPr>
          <w:rFonts w:hint="eastAsia"/>
          <w:sz w:val="21"/>
          <w:lang w:val="en-US" w:eastAsia="zh-CN"/>
        </w:rPr>
        <w:t>维护</w:t>
      </w:r>
      <w:r>
        <w:rPr>
          <w:rFonts w:hint="default"/>
          <w:sz w:val="21"/>
          <w:lang w:val="en-US" w:eastAsia="zh-CN"/>
        </w:rPr>
        <w:t>服务保障要求</w:t>
      </w:r>
    </w:p>
    <w:p w14:paraId="021E675D">
      <w:pPr>
        <w:pStyle w:val="25"/>
        <w:keepNext w:val="0"/>
        <w:keepLines w:val="0"/>
        <w:pageBreakBefore w:val="0"/>
        <w:widowControl/>
        <w:kinsoku/>
        <w:wordWrap/>
        <w:overflowPunct/>
        <w:topLinePunct w:val="0"/>
        <w:autoSpaceDE/>
        <w:autoSpaceDN/>
        <w:bidi w:val="0"/>
        <w:adjustRightInd/>
        <w:snapToGrid/>
        <w:spacing w:line="480" w:lineRule="auto"/>
        <w:ind w:firstLine="420"/>
        <w:jc w:val="both"/>
        <w:textAlignment w:val="auto"/>
        <w:rPr>
          <w:rFonts w:hint="eastAsia"/>
          <w:sz w:val="21"/>
          <w:lang w:eastAsia="zh-CN"/>
        </w:rPr>
      </w:pPr>
      <w:r>
        <w:rPr>
          <w:rFonts w:hint="eastAsia"/>
          <w:sz w:val="21"/>
        </w:rPr>
        <w:t>供应商</w:t>
      </w:r>
      <w:r>
        <w:rPr>
          <w:sz w:val="21"/>
        </w:rPr>
        <w:t>需针对本项目投入服务技术支持、设立专门的服务部门。提供7×24小时售后服务热线电话，保证售后服务的响应措施详细、服务承诺</w:t>
      </w:r>
      <w:r>
        <w:rPr>
          <w:rFonts w:hint="eastAsia"/>
          <w:sz w:val="21"/>
          <w:lang w:eastAsia="zh-CN"/>
        </w:rPr>
        <w:t>。</w:t>
      </w:r>
    </w:p>
    <w:p w14:paraId="79EDCC79">
      <w:pPr>
        <w:pStyle w:val="25"/>
        <w:keepNext w:val="0"/>
        <w:keepLines w:val="0"/>
        <w:pageBreakBefore w:val="0"/>
        <w:widowControl/>
        <w:numPr>
          <w:ilvl w:val="2"/>
          <w:numId w:val="3"/>
        </w:numPr>
        <w:kinsoku/>
        <w:wordWrap/>
        <w:overflowPunct/>
        <w:topLinePunct w:val="0"/>
        <w:autoSpaceDE/>
        <w:autoSpaceDN/>
        <w:bidi w:val="0"/>
        <w:adjustRightInd/>
        <w:snapToGrid/>
        <w:spacing w:line="480" w:lineRule="auto"/>
        <w:ind w:left="0" w:leftChars="0" w:firstLine="402" w:firstLineChars="0"/>
        <w:jc w:val="both"/>
        <w:textAlignment w:val="auto"/>
        <w:outlineLvl w:val="2"/>
        <w:rPr>
          <w:rFonts w:hint="default"/>
          <w:sz w:val="21"/>
          <w:lang w:val="en-US" w:eastAsia="zh-CN"/>
        </w:rPr>
      </w:pPr>
      <w:r>
        <w:rPr>
          <w:rFonts w:hint="eastAsia"/>
          <w:sz w:val="21"/>
          <w:lang w:val="en-US" w:eastAsia="zh-CN"/>
        </w:rPr>
        <w:t>维护</w:t>
      </w:r>
      <w:r>
        <w:rPr>
          <w:rFonts w:hint="default"/>
          <w:sz w:val="21"/>
          <w:lang w:val="en-US" w:eastAsia="zh-CN"/>
        </w:rPr>
        <w:t>人员和车辆要求</w:t>
      </w:r>
    </w:p>
    <w:p w14:paraId="7038BD80">
      <w:pPr>
        <w:pStyle w:val="25"/>
        <w:keepNext w:val="0"/>
        <w:keepLines w:val="0"/>
        <w:pageBreakBefore w:val="0"/>
        <w:widowControl/>
        <w:kinsoku/>
        <w:wordWrap/>
        <w:overflowPunct/>
        <w:topLinePunct w:val="0"/>
        <w:autoSpaceDE/>
        <w:autoSpaceDN/>
        <w:bidi w:val="0"/>
        <w:adjustRightInd/>
        <w:snapToGrid/>
        <w:spacing w:line="480" w:lineRule="auto"/>
        <w:ind w:firstLine="420"/>
        <w:jc w:val="both"/>
        <w:textAlignment w:val="auto"/>
        <w:rPr>
          <w:sz w:val="21"/>
        </w:rPr>
      </w:pPr>
      <w:r>
        <w:rPr>
          <w:rFonts w:hint="eastAsia"/>
          <w:sz w:val="21"/>
        </w:rPr>
        <w:t>供应商</w:t>
      </w:r>
      <w:r>
        <w:rPr>
          <w:sz w:val="21"/>
        </w:rPr>
        <w:t>需按采购人要求配备满足项目需要的运维人员和车辆。为本项目组建技术服务队伍，团队各岗位人员具备</w:t>
      </w:r>
      <w:r>
        <w:rPr>
          <w:rFonts w:hint="eastAsia"/>
          <w:sz w:val="21"/>
          <w:lang w:val="en-US" w:eastAsia="zh-CN"/>
        </w:rPr>
        <w:t>传输服务</w:t>
      </w:r>
      <w:r>
        <w:rPr>
          <w:sz w:val="21"/>
        </w:rPr>
        <w:t>运维经验。</w:t>
      </w:r>
    </w:p>
    <w:p w14:paraId="53D9BF75">
      <w:pPr>
        <w:pStyle w:val="25"/>
        <w:keepNext w:val="0"/>
        <w:keepLines w:val="0"/>
        <w:pageBreakBefore w:val="0"/>
        <w:widowControl/>
        <w:numPr>
          <w:ilvl w:val="2"/>
          <w:numId w:val="3"/>
        </w:numPr>
        <w:kinsoku/>
        <w:wordWrap/>
        <w:overflowPunct/>
        <w:topLinePunct w:val="0"/>
        <w:autoSpaceDE/>
        <w:autoSpaceDN/>
        <w:bidi w:val="0"/>
        <w:adjustRightInd/>
        <w:snapToGrid/>
        <w:spacing w:line="480" w:lineRule="auto"/>
        <w:ind w:left="0" w:leftChars="0" w:firstLine="402" w:firstLineChars="0"/>
        <w:jc w:val="both"/>
        <w:textAlignment w:val="auto"/>
        <w:outlineLvl w:val="2"/>
        <w:rPr>
          <w:rFonts w:hint="default"/>
          <w:sz w:val="21"/>
          <w:lang w:val="en-US" w:eastAsia="zh-CN"/>
        </w:rPr>
      </w:pPr>
      <w:r>
        <w:rPr>
          <w:rFonts w:hint="eastAsia"/>
          <w:sz w:val="21"/>
          <w:lang w:val="en-US" w:eastAsia="zh-CN"/>
        </w:rPr>
        <w:t>维护保障</w:t>
      </w:r>
    </w:p>
    <w:p w14:paraId="70732241">
      <w:pPr>
        <w:pStyle w:val="25"/>
        <w:keepNext w:val="0"/>
        <w:keepLines w:val="0"/>
        <w:pageBreakBefore w:val="0"/>
        <w:widowControl/>
        <w:kinsoku/>
        <w:wordWrap/>
        <w:overflowPunct/>
        <w:topLinePunct w:val="0"/>
        <w:autoSpaceDE/>
        <w:autoSpaceDN/>
        <w:bidi w:val="0"/>
        <w:adjustRightInd/>
        <w:snapToGrid/>
        <w:spacing w:line="480" w:lineRule="auto"/>
        <w:ind w:firstLine="420"/>
        <w:jc w:val="both"/>
        <w:textAlignment w:val="auto"/>
        <w:rPr>
          <w:sz w:val="21"/>
        </w:rPr>
      </w:pPr>
      <w:r>
        <w:rPr>
          <w:sz w:val="21"/>
        </w:rPr>
        <w:t>在节假日或有重要的会议及重大活动期间，中标人需配备值班人员不少于2人和满足实际需要的保障车辆。相关费用已包含在投标总价中，请</w:t>
      </w:r>
      <w:r>
        <w:rPr>
          <w:rFonts w:hint="eastAsia"/>
          <w:sz w:val="21"/>
          <w:lang w:eastAsia="zh-CN"/>
        </w:rPr>
        <w:t>供应商</w:t>
      </w:r>
      <w:r>
        <w:rPr>
          <w:sz w:val="21"/>
        </w:rPr>
        <w:t>在投标报价时综合考虑。</w:t>
      </w:r>
    </w:p>
    <w:p w14:paraId="54DC5BD5">
      <w:pPr>
        <w:pStyle w:val="25"/>
        <w:keepNext w:val="0"/>
        <w:keepLines w:val="0"/>
        <w:pageBreakBefore w:val="0"/>
        <w:widowControl/>
        <w:numPr>
          <w:ilvl w:val="1"/>
          <w:numId w:val="3"/>
        </w:numPr>
        <w:kinsoku/>
        <w:wordWrap/>
        <w:overflowPunct/>
        <w:topLinePunct w:val="0"/>
        <w:autoSpaceDE/>
        <w:autoSpaceDN/>
        <w:bidi w:val="0"/>
        <w:adjustRightInd/>
        <w:snapToGrid/>
        <w:spacing w:line="480" w:lineRule="auto"/>
        <w:ind w:left="0" w:leftChars="0" w:firstLine="400" w:firstLineChars="0"/>
        <w:jc w:val="both"/>
        <w:textAlignment w:val="auto"/>
        <w:outlineLvl w:val="1"/>
        <w:rPr>
          <w:rFonts w:hint="eastAsia"/>
          <w:sz w:val="21"/>
          <w:lang w:val="en-US" w:eastAsia="zh-CN"/>
        </w:rPr>
      </w:pPr>
      <w:r>
        <w:rPr>
          <w:rFonts w:hint="eastAsia"/>
          <w:sz w:val="21"/>
          <w:lang w:val="en-US" w:eastAsia="zh-CN"/>
        </w:rPr>
        <w:t>供应商需针对上述要求，提出具体的、切实可行的维护服务保障方案。</w:t>
      </w:r>
    </w:p>
    <w:p w14:paraId="0A656F41">
      <w:pPr>
        <w:pStyle w:val="4"/>
        <w:numPr>
          <w:ilvl w:val="0"/>
          <w:numId w:val="1"/>
        </w:numPr>
        <w:bidi w:val="0"/>
        <w:outlineLvl w:val="0"/>
        <w:rPr>
          <w:rFonts w:hint="eastAsia"/>
          <w:sz w:val="40"/>
          <w:szCs w:val="40"/>
          <w:lang w:val="en-US" w:eastAsia="zh-CN"/>
        </w:rPr>
      </w:pPr>
      <w:r>
        <w:rPr>
          <w:rFonts w:hint="eastAsia"/>
          <w:sz w:val="40"/>
          <w:szCs w:val="40"/>
          <w:lang w:val="en-US" w:eastAsia="zh-CN"/>
        </w:rPr>
        <w:t>应急预案及处理要求</w:t>
      </w:r>
    </w:p>
    <w:p w14:paraId="58B67451">
      <w:pPr>
        <w:pStyle w:val="25"/>
        <w:keepNext w:val="0"/>
        <w:keepLines w:val="0"/>
        <w:pageBreakBefore w:val="0"/>
        <w:widowControl/>
        <w:numPr>
          <w:ilvl w:val="0"/>
          <w:numId w:val="4"/>
        </w:numPr>
        <w:kinsoku/>
        <w:wordWrap/>
        <w:overflowPunct/>
        <w:topLinePunct w:val="0"/>
        <w:autoSpaceDE/>
        <w:autoSpaceDN/>
        <w:bidi w:val="0"/>
        <w:adjustRightInd/>
        <w:snapToGrid/>
        <w:spacing w:line="480" w:lineRule="auto"/>
        <w:ind w:firstLine="420" w:firstLineChars="200"/>
        <w:jc w:val="both"/>
        <w:textAlignment w:val="auto"/>
        <w:rPr>
          <w:sz w:val="21"/>
        </w:rPr>
      </w:pPr>
      <w:r>
        <w:rPr>
          <w:sz w:val="21"/>
        </w:rPr>
        <w:t>为了提高本项目整体</w:t>
      </w:r>
      <w:r>
        <w:rPr>
          <w:rFonts w:hint="eastAsia"/>
          <w:sz w:val="21"/>
          <w:lang w:val="en-US" w:eastAsia="zh-CN"/>
        </w:rPr>
        <w:t>维护</w:t>
      </w:r>
      <w:r>
        <w:rPr>
          <w:sz w:val="21"/>
        </w:rPr>
        <w:t>管理水平，保障项目服务质量和系统运行的稳定性和安全性，及时、合理处置可能发生的各类突发性事故，中标人必须具备各种应急情况下的快速反应能力；项目服务所在地为</w:t>
      </w:r>
      <w:r>
        <w:rPr>
          <w:rFonts w:hint="eastAsia"/>
          <w:sz w:val="21"/>
        </w:rPr>
        <w:t>横琴粤澳深度合作区</w:t>
      </w:r>
      <w:r>
        <w:rPr>
          <w:sz w:val="21"/>
        </w:rPr>
        <w:t>，广东台风季节较长，地区多为雷雨天气，</w:t>
      </w:r>
      <w:r>
        <w:rPr>
          <w:rFonts w:hint="eastAsia"/>
          <w:sz w:val="21"/>
          <w:lang w:eastAsia="zh-CN"/>
        </w:rPr>
        <w:t>供应商</w:t>
      </w:r>
      <w:r>
        <w:rPr>
          <w:sz w:val="21"/>
        </w:rPr>
        <w:t>需制定具体的应急响应方案，以应对因恶劣气候、交通事故、偷盗抢或其他不可预见的自然灾害或突发异常情况可能对</w:t>
      </w:r>
      <w:r>
        <w:rPr>
          <w:rFonts w:hint="eastAsia"/>
          <w:sz w:val="21"/>
          <w:lang w:val="en-US" w:eastAsia="zh-CN"/>
        </w:rPr>
        <w:t>传输服务</w:t>
      </w:r>
      <w:r>
        <w:rPr>
          <w:sz w:val="21"/>
        </w:rPr>
        <w:t>造成的损害，确保视频</w:t>
      </w:r>
      <w:r>
        <w:rPr>
          <w:rFonts w:hint="eastAsia"/>
          <w:sz w:val="21"/>
          <w:lang w:val="en-US" w:eastAsia="zh-CN"/>
        </w:rPr>
        <w:t>的稳定传输</w:t>
      </w:r>
      <w:r>
        <w:rPr>
          <w:sz w:val="21"/>
        </w:rPr>
        <w:t>和系统的正常运转，保证数据的及时性、准确性、可靠性。</w:t>
      </w:r>
    </w:p>
    <w:p w14:paraId="13ACAD08">
      <w:pPr>
        <w:pStyle w:val="25"/>
        <w:keepNext w:val="0"/>
        <w:keepLines w:val="0"/>
        <w:pageBreakBefore w:val="0"/>
        <w:widowControl/>
        <w:numPr>
          <w:ilvl w:val="0"/>
          <w:numId w:val="4"/>
        </w:numPr>
        <w:kinsoku/>
        <w:wordWrap/>
        <w:overflowPunct/>
        <w:topLinePunct w:val="0"/>
        <w:autoSpaceDE/>
        <w:autoSpaceDN/>
        <w:bidi w:val="0"/>
        <w:adjustRightInd/>
        <w:snapToGrid/>
        <w:spacing w:line="480" w:lineRule="auto"/>
        <w:ind w:firstLine="420" w:firstLineChars="200"/>
        <w:jc w:val="both"/>
        <w:textAlignment w:val="auto"/>
        <w:rPr>
          <w:sz w:val="21"/>
        </w:rPr>
      </w:pPr>
      <w:r>
        <w:rPr>
          <w:sz w:val="21"/>
        </w:rPr>
        <w:t>当发生突发性事故时，</w:t>
      </w:r>
      <w:r>
        <w:rPr>
          <w:rFonts w:hint="eastAsia"/>
          <w:sz w:val="21"/>
          <w:lang w:eastAsia="zh-CN"/>
        </w:rPr>
        <w:t>供应商</w:t>
      </w:r>
      <w:r>
        <w:rPr>
          <w:sz w:val="21"/>
        </w:rPr>
        <w:t>应确保响应时间满足服务时间要求。</w:t>
      </w:r>
    </w:p>
    <w:p w14:paraId="37604B0F">
      <w:pPr>
        <w:pStyle w:val="25"/>
        <w:keepNext w:val="0"/>
        <w:keepLines w:val="0"/>
        <w:pageBreakBefore w:val="0"/>
        <w:widowControl/>
        <w:kinsoku/>
        <w:wordWrap/>
        <w:overflowPunct/>
        <w:topLinePunct w:val="0"/>
        <w:autoSpaceDE/>
        <w:autoSpaceDN/>
        <w:bidi w:val="0"/>
        <w:adjustRightInd/>
        <w:snapToGrid/>
        <w:spacing w:line="480" w:lineRule="auto"/>
        <w:ind w:firstLine="420"/>
        <w:jc w:val="both"/>
        <w:textAlignment w:val="auto"/>
        <w:rPr>
          <w:sz w:val="21"/>
        </w:rPr>
      </w:pPr>
      <w:r>
        <w:rPr>
          <w:sz w:val="21"/>
        </w:rPr>
        <w:t>服务时间要求：</w:t>
      </w:r>
    </w:p>
    <w:tbl>
      <w:tblPr>
        <w:tblStyle w:val="15"/>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133"/>
        <w:gridCol w:w="1140"/>
        <w:gridCol w:w="3238"/>
        <w:gridCol w:w="1658"/>
        <w:gridCol w:w="1097"/>
      </w:tblGrid>
      <w:tr w14:paraId="60BD1FAB">
        <w:tc>
          <w:tcPr>
            <w:tcW w:w="113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01B4026A">
            <w:pPr>
              <w:pStyle w:val="25"/>
              <w:jc w:val="center"/>
              <w:rPr>
                <w:rFonts w:hint="eastAsia"/>
                <w:sz w:val="21"/>
                <w:lang w:val="en-US" w:eastAsia="zh-CN"/>
              </w:rPr>
            </w:pPr>
            <w:r>
              <w:rPr>
                <w:rFonts w:hint="eastAsia"/>
                <w:sz w:val="21"/>
                <w:lang w:val="en-US" w:eastAsia="zh-CN"/>
              </w:rPr>
              <w:t>服务时间</w:t>
            </w:r>
          </w:p>
        </w:tc>
        <w:tc>
          <w:tcPr>
            <w:tcW w:w="114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57AB1987">
            <w:pPr>
              <w:pStyle w:val="25"/>
              <w:jc w:val="center"/>
              <w:rPr>
                <w:rFonts w:hint="eastAsia"/>
                <w:sz w:val="21"/>
                <w:lang w:val="en-US" w:eastAsia="zh-CN"/>
              </w:rPr>
            </w:pPr>
            <w:r>
              <w:rPr>
                <w:rFonts w:hint="eastAsia"/>
                <w:sz w:val="21"/>
                <w:lang w:val="en-US" w:eastAsia="zh-CN"/>
              </w:rPr>
              <w:t>服务级别</w:t>
            </w:r>
          </w:p>
        </w:tc>
        <w:tc>
          <w:tcPr>
            <w:tcW w:w="323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350B7EFC">
            <w:pPr>
              <w:pStyle w:val="25"/>
              <w:jc w:val="center"/>
              <w:rPr>
                <w:rFonts w:hint="eastAsia"/>
                <w:sz w:val="21"/>
                <w:lang w:val="en-US" w:eastAsia="zh-CN"/>
              </w:rPr>
            </w:pPr>
            <w:r>
              <w:rPr>
                <w:rFonts w:hint="eastAsia"/>
                <w:sz w:val="21"/>
                <w:lang w:val="en-US" w:eastAsia="zh-CN"/>
              </w:rPr>
              <w:t>故障类型及判别依据</w:t>
            </w:r>
          </w:p>
        </w:tc>
        <w:tc>
          <w:tcPr>
            <w:tcW w:w="2755" w:type="dxa"/>
            <w:gridSpan w:val="2"/>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38E4CE55">
            <w:pPr>
              <w:pStyle w:val="25"/>
              <w:jc w:val="center"/>
              <w:rPr>
                <w:rFonts w:hint="eastAsia"/>
                <w:sz w:val="21"/>
                <w:lang w:val="en-US" w:eastAsia="zh-CN"/>
              </w:rPr>
            </w:pPr>
            <w:r>
              <w:rPr>
                <w:rFonts w:hint="eastAsia"/>
                <w:sz w:val="21"/>
                <w:lang w:val="en-US" w:eastAsia="zh-CN"/>
              </w:rPr>
              <w:t>响应时间（分钟）</w:t>
            </w:r>
          </w:p>
        </w:tc>
      </w:tr>
      <w:tr w14:paraId="5BD931AB">
        <w:tc>
          <w:tcPr>
            <w:tcW w:w="1133"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3315726">
            <w:pPr>
              <w:pStyle w:val="25"/>
              <w:jc w:val="center"/>
              <w:rPr>
                <w:rFonts w:hint="eastAsia"/>
                <w:sz w:val="21"/>
                <w:lang w:val="en-US" w:eastAsia="zh-CN"/>
              </w:rPr>
            </w:pPr>
            <w:r>
              <w:rPr>
                <w:rFonts w:hint="eastAsia"/>
                <w:sz w:val="21"/>
                <w:lang w:val="en-US" w:eastAsia="zh-CN"/>
              </w:rPr>
              <w:t>7×24小时</w:t>
            </w:r>
          </w:p>
        </w:tc>
        <w:tc>
          <w:tcPr>
            <w:tcW w:w="114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29E6ACF">
            <w:pPr>
              <w:pStyle w:val="25"/>
              <w:jc w:val="center"/>
              <w:rPr>
                <w:rFonts w:hint="eastAsia"/>
                <w:sz w:val="21"/>
                <w:lang w:val="en-US" w:eastAsia="zh-CN"/>
              </w:rPr>
            </w:pPr>
            <w:r>
              <w:rPr>
                <w:rFonts w:hint="eastAsia"/>
                <w:sz w:val="21"/>
                <w:lang w:val="en-US" w:eastAsia="zh-CN"/>
              </w:rPr>
              <w:t>P0</w:t>
            </w:r>
          </w:p>
        </w:tc>
        <w:tc>
          <w:tcPr>
            <w:tcW w:w="323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C5D5CC2">
            <w:pPr>
              <w:pStyle w:val="25"/>
              <w:jc w:val="center"/>
              <w:rPr>
                <w:rFonts w:hint="eastAsia"/>
                <w:sz w:val="21"/>
                <w:lang w:val="en-US" w:eastAsia="zh-CN"/>
              </w:rPr>
            </w:pPr>
            <w:r>
              <w:rPr>
                <w:rFonts w:hint="eastAsia"/>
                <w:sz w:val="21"/>
                <w:lang w:val="en-US" w:eastAsia="zh-CN"/>
              </w:rPr>
              <w:t>传输服务全部中断。</w:t>
            </w:r>
          </w:p>
        </w:tc>
        <w:tc>
          <w:tcPr>
            <w:tcW w:w="16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0B4EF39">
            <w:pPr>
              <w:pStyle w:val="25"/>
              <w:jc w:val="center"/>
              <w:rPr>
                <w:rFonts w:hint="eastAsia"/>
                <w:sz w:val="21"/>
                <w:lang w:val="en-US" w:eastAsia="zh-CN"/>
              </w:rPr>
            </w:pPr>
            <w:r>
              <w:rPr>
                <w:rFonts w:hint="eastAsia"/>
                <w:sz w:val="21"/>
                <w:lang w:val="en-US" w:eastAsia="zh-CN"/>
              </w:rPr>
              <w:t>响应时间</w:t>
            </w:r>
          </w:p>
        </w:tc>
        <w:tc>
          <w:tcPr>
            <w:tcW w:w="109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470C694B">
            <w:pPr>
              <w:pStyle w:val="25"/>
              <w:jc w:val="center"/>
              <w:rPr>
                <w:rFonts w:hint="eastAsia"/>
                <w:sz w:val="21"/>
                <w:lang w:val="en-US" w:eastAsia="zh-CN"/>
              </w:rPr>
            </w:pPr>
            <w:r>
              <w:rPr>
                <w:rFonts w:hint="eastAsia"/>
                <w:sz w:val="21"/>
                <w:lang w:val="en-US" w:eastAsia="zh-CN"/>
              </w:rPr>
              <w:t>10分钟</w:t>
            </w:r>
          </w:p>
        </w:tc>
      </w:tr>
      <w:tr w14:paraId="09EC28BD">
        <w:tc>
          <w:tcPr>
            <w:tcW w:w="1133" w:type="dxa"/>
            <w:vMerge w:val="continue"/>
            <w:tcBorders>
              <w:top w:val="nil"/>
              <w:left w:val="single" w:color="000000" w:sz="4" w:space="0"/>
              <w:bottom w:val="single" w:color="000000" w:sz="4" w:space="0"/>
              <w:right w:val="single" w:color="000000" w:sz="4" w:space="0"/>
            </w:tcBorders>
            <w:vAlign w:val="center"/>
          </w:tcPr>
          <w:p w14:paraId="6994EE8F">
            <w:pPr>
              <w:pStyle w:val="25"/>
              <w:jc w:val="center"/>
              <w:rPr>
                <w:rFonts w:hint="eastAsia"/>
                <w:sz w:val="21"/>
                <w:lang w:val="en-US" w:eastAsia="zh-CN"/>
              </w:rPr>
            </w:pPr>
          </w:p>
        </w:tc>
        <w:tc>
          <w:tcPr>
            <w:tcW w:w="1140" w:type="dxa"/>
            <w:vMerge w:val="continue"/>
            <w:tcBorders>
              <w:top w:val="nil"/>
              <w:left w:val="single" w:color="000000" w:sz="4" w:space="0"/>
              <w:bottom w:val="single" w:color="000000" w:sz="4" w:space="0"/>
              <w:right w:val="single" w:color="000000" w:sz="4" w:space="0"/>
            </w:tcBorders>
            <w:vAlign w:val="center"/>
          </w:tcPr>
          <w:p w14:paraId="3A8EFA22">
            <w:pPr>
              <w:pStyle w:val="25"/>
              <w:jc w:val="center"/>
              <w:rPr>
                <w:rFonts w:hint="eastAsia"/>
                <w:sz w:val="21"/>
                <w:lang w:val="en-US" w:eastAsia="zh-CN"/>
              </w:rPr>
            </w:pPr>
          </w:p>
        </w:tc>
        <w:tc>
          <w:tcPr>
            <w:tcW w:w="3238" w:type="dxa"/>
            <w:vMerge w:val="continue"/>
            <w:tcBorders>
              <w:top w:val="nil"/>
              <w:left w:val="single" w:color="000000" w:sz="4" w:space="0"/>
              <w:bottom w:val="single" w:color="000000" w:sz="4" w:space="0"/>
              <w:right w:val="single" w:color="000000" w:sz="4" w:space="0"/>
            </w:tcBorders>
            <w:vAlign w:val="center"/>
          </w:tcPr>
          <w:p w14:paraId="464D12CE">
            <w:pPr>
              <w:pStyle w:val="25"/>
              <w:jc w:val="center"/>
              <w:rPr>
                <w:rFonts w:hint="eastAsia"/>
                <w:sz w:val="21"/>
                <w:lang w:val="en-US" w:eastAsia="zh-CN"/>
              </w:rPr>
            </w:pPr>
          </w:p>
        </w:tc>
        <w:tc>
          <w:tcPr>
            <w:tcW w:w="16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C67DE8B">
            <w:pPr>
              <w:pStyle w:val="25"/>
              <w:jc w:val="center"/>
              <w:rPr>
                <w:rFonts w:hint="eastAsia"/>
                <w:sz w:val="21"/>
                <w:lang w:val="en-US" w:eastAsia="zh-CN"/>
              </w:rPr>
            </w:pPr>
            <w:r>
              <w:rPr>
                <w:rFonts w:hint="eastAsia"/>
                <w:sz w:val="21"/>
                <w:lang w:val="en-US" w:eastAsia="zh-CN"/>
              </w:rPr>
              <w:t>到达现场时间</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A2FECDD">
            <w:pPr>
              <w:pStyle w:val="25"/>
              <w:jc w:val="center"/>
              <w:rPr>
                <w:rFonts w:hint="eastAsia"/>
                <w:sz w:val="21"/>
                <w:lang w:val="en-US" w:eastAsia="zh-CN"/>
              </w:rPr>
            </w:pPr>
            <w:r>
              <w:rPr>
                <w:rFonts w:hint="eastAsia"/>
                <w:sz w:val="21"/>
                <w:lang w:val="en-US" w:eastAsia="zh-CN"/>
              </w:rPr>
              <w:t>1小时</w:t>
            </w:r>
          </w:p>
        </w:tc>
      </w:tr>
      <w:tr w14:paraId="42244DD6">
        <w:tc>
          <w:tcPr>
            <w:tcW w:w="1133" w:type="dxa"/>
            <w:vMerge w:val="continue"/>
            <w:tcBorders>
              <w:top w:val="nil"/>
              <w:left w:val="single" w:color="000000" w:sz="4" w:space="0"/>
              <w:bottom w:val="single" w:color="000000" w:sz="4" w:space="0"/>
              <w:right w:val="single" w:color="000000" w:sz="4" w:space="0"/>
            </w:tcBorders>
            <w:vAlign w:val="center"/>
          </w:tcPr>
          <w:p w14:paraId="05F1588C">
            <w:pPr>
              <w:pStyle w:val="25"/>
              <w:jc w:val="center"/>
              <w:rPr>
                <w:rFonts w:hint="eastAsia"/>
                <w:sz w:val="21"/>
                <w:lang w:val="en-US" w:eastAsia="zh-CN"/>
              </w:rPr>
            </w:pPr>
          </w:p>
        </w:tc>
        <w:tc>
          <w:tcPr>
            <w:tcW w:w="1140" w:type="dxa"/>
            <w:vMerge w:val="continue"/>
            <w:tcBorders>
              <w:top w:val="nil"/>
              <w:left w:val="single" w:color="000000" w:sz="4" w:space="0"/>
              <w:bottom w:val="single" w:color="000000" w:sz="4" w:space="0"/>
              <w:right w:val="single" w:color="000000" w:sz="4" w:space="0"/>
            </w:tcBorders>
            <w:vAlign w:val="center"/>
          </w:tcPr>
          <w:p w14:paraId="5914A548">
            <w:pPr>
              <w:pStyle w:val="25"/>
              <w:jc w:val="center"/>
              <w:rPr>
                <w:rFonts w:hint="eastAsia"/>
                <w:sz w:val="21"/>
                <w:lang w:val="en-US" w:eastAsia="zh-CN"/>
              </w:rPr>
            </w:pPr>
          </w:p>
        </w:tc>
        <w:tc>
          <w:tcPr>
            <w:tcW w:w="3238" w:type="dxa"/>
            <w:vMerge w:val="continue"/>
            <w:tcBorders>
              <w:top w:val="nil"/>
              <w:left w:val="single" w:color="000000" w:sz="4" w:space="0"/>
              <w:bottom w:val="single" w:color="000000" w:sz="4" w:space="0"/>
              <w:right w:val="single" w:color="000000" w:sz="4" w:space="0"/>
            </w:tcBorders>
            <w:vAlign w:val="center"/>
          </w:tcPr>
          <w:p w14:paraId="6D695DC7">
            <w:pPr>
              <w:pStyle w:val="25"/>
              <w:jc w:val="center"/>
              <w:rPr>
                <w:rFonts w:hint="eastAsia"/>
                <w:sz w:val="21"/>
                <w:lang w:val="en-US" w:eastAsia="zh-CN"/>
              </w:rPr>
            </w:pPr>
          </w:p>
        </w:tc>
        <w:tc>
          <w:tcPr>
            <w:tcW w:w="16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0915EFA">
            <w:pPr>
              <w:pStyle w:val="25"/>
              <w:jc w:val="center"/>
              <w:rPr>
                <w:rFonts w:hint="eastAsia"/>
                <w:sz w:val="21"/>
                <w:lang w:val="en-US" w:eastAsia="zh-CN"/>
              </w:rPr>
            </w:pPr>
            <w:r>
              <w:rPr>
                <w:rFonts w:hint="eastAsia"/>
                <w:sz w:val="21"/>
                <w:lang w:val="en-US" w:eastAsia="zh-CN"/>
              </w:rPr>
              <w:t>故障初步解决时间</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0444D82">
            <w:pPr>
              <w:pStyle w:val="25"/>
              <w:jc w:val="center"/>
              <w:rPr>
                <w:rFonts w:hint="eastAsia"/>
                <w:sz w:val="21"/>
                <w:lang w:val="en-US" w:eastAsia="zh-CN"/>
              </w:rPr>
            </w:pPr>
            <w:r>
              <w:rPr>
                <w:rFonts w:hint="eastAsia"/>
                <w:sz w:val="21"/>
                <w:lang w:val="en-US" w:eastAsia="zh-CN"/>
              </w:rPr>
              <w:t>4小时内</w:t>
            </w:r>
          </w:p>
        </w:tc>
      </w:tr>
      <w:tr w14:paraId="552F65C3">
        <w:tc>
          <w:tcPr>
            <w:tcW w:w="1133"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5ACB213">
            <w:pPr>
              <w:pStyle w:val="25"/>
              <w:jc w:val="center"/>
              <w:rPr>
                <w:rFonts w:hint="eastAsia"/>
                <w:sz w:val="21"/>
                <w:lang w:val="en-US" w:eastAsia="zh-CN"/>
              </w:rPr>
            </w:pPr>
            <w:r>
              <w:rPr>
                <w:rFonts w:hint="eastAsia"/>
                <w:sz w:val="21"/>
                <w:lang w:val="en-US" w:eastAsia="zh-CN"/>
              </w:rPr>
              <w:t>7×24小时</w:t>
            </w:r>
          </w:p>
        </w:tc>
        <w:tc>
          <w:tcPr>
            <w:tcW w:w="114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2B90648">
            <w:pPr>
              <w:pStyle w:val="25"/>
              <w:jc w:val="center"/>
              <w:rPr>
                <w:rFonts w:hint="eastAsia"/>
                <w:sz w:val="21"/>
                <w:lang w:val="en-US" w:eastAsia="zh-CN"/>
              </w:rPr>
            </w:pPr>
            <w:r>
              <w:rPr>
                <w:rFonts w:hint="eastAsia"/>
                <w:sz w:val="21"/>
                <w:lang w:val="en-US" w:eastAsia="zh-CN"/>
              </w:rPr>
              <w:t>P1</w:t>
            </w:r>
          </w:p>
        </w:tc>
        <w:tc>
          <w:tcPr>
            <w:tcW w:w="323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E435EA5">
            <w:pPr>
              <w:pStyle w:val="25"/>
              <w:jc w:val="center"/>
              <w:rPr>
                <w:rFonts w:hint="default"/>
                <w:sz w:val="21"/>
                <w:lang w:val="en-US" w:eastAsia="zh-CN"/>
              </w:rPr>
            </w:pPr>
            <w:r>
              <w:rPr>
                <w:rFonts w:hint="eastAsia"/>
                <w:sz w:val="21"/>
                <w:lang w:val="en-US" w:eastAsia="zh-CN"/>
              </w:rPr>
              <w:t>超过80%的传输服务中断</w:t>
            </w:r>
          </w:p>
        </w:tc>
        <w:tc>
          <w:tcPr>
            <w:tcW w:w="16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645888A">
            <w:pPr>
              <w:pStyle w:val="25"/>
              <w:jc w:val="center"/>
              <w:rPr>
                <w:rFonts w:hint="eastAsia"/>
                <w:sz w:val="21"/>
                <w:lang w:val="en-US" w:eastAsia="zh-CN"/>
              </w:rPr>
            </w:pPr>
            <w:r>
              <w:rPr>
                <w:rFonts w:hint="eastAsia"/>
                <w:sz w:val="21"/>
                <w:lang w:val="en-US" w:eastAsia="zh-CN"/>
              </w:rPr>
              <w:t>响应时间</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310CF9E">
            <w:pPr>
              <w:pStyle w:val="25"/>
              <w:jc w:val="center"/>
              <w:rPr>
                <w:rFonts w:hint="eastAsia"/>
                <w:sz w:val="21"/>
                <w:lang w:val="en-US" w:eastAsia="zh-CN"/>
              </w:rPr>
            </w:pPr>
            <w:r>
              <w:rPr>
                <w:rFonts w:hint="eastAsia"/>
                <w:sz w:val="21"/>
                <w:lang w:val="en-US" w:eastAsia="zh-CN"/>
              </w:rPr>
              <w:t>10分钟</w:t>
            </w:r>
          </w:p>
        </w:tc>
      </w:tr>
      <w:tr w14:paraId="3578549A">
        <w:tc>
          <w:tcPr>
            <w:tcW w:w="1133" w:type="dxa"/>
            <w:vMerge w:val="continue"/>
            <w:tcBorders>
              <w:top w:val="nil"/>
              <w:left w:val="single" w:color="000000" w:sz="4" w:space="0"/>
              <w:bottom w:val="single" w:color="000000" w:sz="4" w:space="0"/>
              <w:right w:val="single" w:color="000000" w:sz="4" w:space="0"/>
            </w:tcBorders>
            <w:vAlign w:val="center"/>
          </w:tcPr>
          <w:p w14:paraId="209965E2">
            <w:pPr>
              <w:pStyle w:val="25"/>
              <w:jc w:val="center"/>
              <w:rPr>
                <w:rFonts w:hint="eastAsia"/>
                <w:sz w:val="21"/>
                <w:lang w:val="en-US" w:eastAsia="zh-CN"/>
              </w:rPr>
            </w:pPr>
          </w:p>
        </w:tc>
        <w:tc>
          <w:tcPr>
            <w:tcW w:w="1140" w:type="dxa"/>
            <w:vMerge w:val="continue"/>
            <w:tcBorders>
              <w:top w:val="nil"/>
              <w:left w:val="single" w:color="000000" w:sz="4" w:space="0"/>
              <w:bottom w:val="single" w:color="000000" w:sz="4" w:space="0"/>
              <w:right w:val="single" w:color="000000" w:sz="4" w:space="0"/>
            </w:tcBorders>
            <w:vAlign w:val="center"/>
          </w:tcPr>
          <w:p w14:paraId="53845648">
            <w:pPr>
              <w:pStyle w:val="25"/>
              <w:jc w:val="center"/>
              <w:rPr>
                <w:rFonts w:hint="eastAsia"/>
                <w:sz w:val="21"/>
                <w:lang w:val="en-US" w:eastAsia="zh-CN"/>
              </w:rPr>
            </w:pPr>
          </w:p>
        </w:tc>
        <w:tc>
          <w:tcPr>
            <w:tcW w:w="3238" w:type="dxa"/>
            <w:vMerge w:val="continue"/>
            <w:tcBorders>
              <w:top w:val="nil"/>
              <w:left w:val="single" w:color="000000" w:sz="4" w:space="0"/>
              <w:bottom w:val="single" w:color="000000" w:sz="4" w:space="0"/>
              <w:right w:val="single" w:color="000000" w:sz="4" w:space="0"/>
            </w:tcBorders>
            <w:vAlign w:val="center"/>
          </w:tcPr>
          <w:p w14:paraId="66712784">
            <w:pPr>
              <w:pStyle w:val="25"/>
              <w:jc w:val="center"/>
              <w:rPr>
                <w:rFonts w:hint="eastAsia"/>
                <w:sz w:val="21"/>
                <w:lang w:val="en-US" w:eastAsia="zh-CN"/>
              </w:rPr>
            </w:pPr>
          </w:p>
        </w:tc>
        <w:tc>
          <w:tcPr>
            <w:tcW w:w="16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B76AF07">
            <w:pPr>
              <w:pStyle w:val="25"/>
              <w:jc w:val="center"/>
              <w:rPr>
                <w:rFonts w:hint="eastAsia"/>
                <w:sz w:val="21"/>
                <w:lang w:val="en-US" w:eastAsia="zh-CN"/>
              </w:rPr>
            </w:pPr>
            <w:r>
              <w:rPr>
                <w:rFonts w:hint="eastAsia"/>
                <w:sz w:val="21"/>
                <w:lang w:val="en-US" w:eastAsia="zh-CN"/>
              </w:rPr>
              <w:t>到达现场时间</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41DA7D5">
            <w:pPr>
              <w:pStyle w:val="25"/>
              <w:jc w:val="center"/>
              <w:rPr>
                <w:rFonts w:hint="eastAsia"/>
                <w:sz w:val="21"/>
                <w:lang w:val="en-US" w:eastAsia="zh-CN"/>
              </w:rPr>
            </w:pPr>
            <w:r>
              <w:rPr>
                <w:rFonts w:hint="eastAsia"/>
                <w:sz w:val="21"/>
                <w:lang w:val="en-US" w:eastAsia="zh-CN"/>
              </w:rPr>
              <w:t>1小时</w:t>
            </w:r>
          </w:p>
        </w:tc>
      </w:tr>
      <w:tr w14:paraId="7681E866">
        <w:tc>
          <w:tcPr>
            <w:tcW w:w="1133" w:type="dxa"/>
            <w:vMerge w:val="continue"/>
            <w:tcBorders>
              <w:top w:val="nil"/>
              <w:left w:val="single" w:color="000000" w:sz="4" w:space="0"/>
              <w:bottom w:val="single" w:color="000000" w:sz="4" w:space="0"/>
              <w:right w:val="single" w:color="000000" w:sz="4" w:space="0"/>
            </w:tcBorders>
            <w:vAlign w:val="center"/>
          </w:tcPr>
          <w:p w14:paraId="1C1FE778">
            <w:pPr>
              <w:pStyle w:val="25"/>
              <w:jc w:val="center"/>
              <w:rPr>
                <w:rFonts w:hint="eastAsia"/>
                <w:sz w:val="21"/>
                <w:lang w:val="en-US" w:eastAsia="zh-CN"/>
              </w:rPr>
            </w:pPr>
          </w:p>
        </w:tc>
        <w:tc>
          <w:tcPr>
            <w:tcW w:w="1140" w:type="dxa"/>
            <w:vMerge w:val="continue"/>
            <w:tcBorders>
              <w:top w:val="nil"/>
              <w:left w:val="single" w:color="000000" w:sz="4" w:space="0"/>
              <w:bottom w:val="single" w:color="000000" w:sz="4" w:space="0"/>
              <w:right w:val="single" w:color="000000" w:sz="4" w:space="0"/>
            </w:tcBorders>
            <w:vAlign w:val="center"/>
          </w:tcPr>
          <w:p w14:paraId="4EC168DC">
            <w:pPr>
              <w:pStyle w:val="25"/>
              <w:jc w:val="center"/>
              <w:rPr>
                <w:rFonts w:hint="eastAsia"/>
                <w:sz w:val="21"/>
                <w:lang w:val="en-US" w:eastAsia="zh-CN"/>
              </w:rPr>
            </w:pPr>
          </w:p>
        </w:tc>
        <w:tc>
          <w:tcPr>
            <w:tcW w:w="3238" w:type="dxa"/>
            <w:vMerge w:val="continue"/>
            <w:tcBorders>
              <w:top w:val="nil"/>
              <w:left w:val="single" w:color="000000" w:sz="4" w:space="0"/>
              <w:bottom w:val="single" w:color="000000" w:sz="4" w:space="0"/>
              <w:right w:val="single" w:color="000000" w:sz="4" w:space="0"/>
            </w:tcBorders>
            <w:vAlign w:val="center"/>
          </w:tcPr>
          <w:p w14:paraId="0E8CCF1B">
            <w:pPr>
              <w:pStyle w:val="25"/>
              <w:jc w:val="center"/>
              <w:rPr>
                <w:rFonts w:hint="eastAsia"/>
                <w:sz w:val="21"/>
                <w:lang w:val="en-US" w:eastAsia="zh-CN"/>
              </w:rPr>
            </w:pPr>
          </w:p>
        </w:tc>
        <w:tc>
          <w:tcPr>
            <w:tcW w:w="16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A1A4C15">
            <w:pPr>
              <w:pStyle w:val="25"/>
              <w:jc w:val="center"/>
              <w:rPr>
                <w:rFonts w:hint="eastAsia"/>
                <w:sz w:val="21"/>
                <w:lang w:val="en-US" w:eastAsia="zh-CN"/>
              </w:rPr>
            </w:pPr>
            <w:r>
              <w:rPr>
                <w:rFonts w:hint="eastAsia"/>
                <w:sz w:val="21"/>
                <w:lang w:val="en-US" w:eastAsia="zh-CN"/>
              </w:rPr>
              <w:t>故障初步解决时间</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4969EB7">
            <w:pPr>
              <w:pStyle w:val="25"/>
              <w:jc w:val="center"/>
              <w:rPr>
                <w:rFonts w:hint="eastAsia"/>
                <w:sz w:val="21"/>
                <w:lang w:val="en-US" w:eastAsia="zh-CN"/>
              </w:rPr>
            </w:pPr>
            <w:r>
              <w:rPr>
                <w:rFonts w:hint="eastAsia"/>
                <w:sz w:val="21"/>
                <w:lang w:val="en-US" w:eastAsia="zh-CN"/>
              </w:rPr>
              <w:t>8小时内</w:t>
            </w:r>
          </w:p>
        </w:tc>
      </w:tr>
      <w:tr w14:paraId="17B5600A">
        <w:tc>
          <w:tcPr>
            <w:tcW w:w="1133"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FD5EC08">
            <w:pPr>
              <w:pStyle w:val="25"/>
              <w:jc w:val="center"/>
              <w:rPr>
                <w:rFonts w:hint="eastAsia"/>
                <w:sz w:val="21"/>
                <w:lang w:val="en-US" w:eastAsia="zh-CN"/>
              </w:rPr>
            </w:pPr>
            <w:r>
              <w:rPr>
                <w:rFonts w:hint="eastAsia"/>
                <w:sz w:val="21"/>
                <w:lang w:val="en-US" w:eastAsia="zh-CN"/>
              </w:rPr>
              <w:t>7×24小时</w:t>
            </w:r>
          </w:p>
        </w:tc>
        <w:tc>
          <w:tcPr>
            <w:tcW w:w="114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6FBC3B1">
            <w:pPr>
              <w:pStyle w:val="25"/>
              <w:jc w:val="center"/>
              <w:rPr>
                <w:rFonts w:hint="eastAsia"/>
                <w:sz w:val="21"/>
                <w:lang w:val="en-US" w:eastAsia="zh-CN"/>
              </w:rPr>
            </w:pPr>
            <w:r>
              <w:rPr>
                <w:rFonts w:hint="eastAsia"/>
                <w:sz w:val="21"/>
                <w:lang w:val="en-US" w:eastAsia="zh-CN"/>
              </w:rPr>
              <w:t>P2</w:t>
            </w:r>
          </w:p>
        </w:tc>
        <w:tc>
          <w:tcPr>
            <w:tcW w:w="323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36B3F3D">
            <w:pPr>
              <w:pStyle w:val="25"/>
              <w:jc w:val="center"/>
              <w:rPr>
                <w:rFonts w:hint="eastAsia"/>
                <w:sz w:val="21"/>
                <w:lang w:val="en-US" w:eastAsia="zh-CN"/>
              </w:rPr>
            </w:pPr>
            <w:r>
              <w:rPr>
                <w:rFonts w:hint="eastAsia"/>
                <w:sz w:val="21"/>
                <w:lang w:val="en-US" w:eastAsia="zh-CN"/>
              </w:rPr>
              <w:t>超过50%的传输服务中断</w:t>
            </w:r>
          </w:p>
        </w:tc>
        <w:tc>
          <w:tcPr>
            <w:tcW w:w="16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7200159">
            <w:pPr>
              <w:pStyle w:val="25"/>
              <w:jc w:val="center"/>
              <w:rPr>
                <w:rFonts w:hint="eastAsia"/>
                <w:sz w:val="21"/>
                <w:lang w:val="en-US" w:eastAsia="zh-CN"/>
              </w:rPr>
            </w:pPr>
            <w:r>
              <w:rPr>
                <w:rFonts w:hint="eastAsia"/>
                <w:sz w:val="21"/>
                <w:lang w:val="en-US" w:eastAsia="zh-CN"/>
              </w:rPr>
              <w:t>响应时间</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5CC43C2">
            <w:pPr>
              <w:pStyle w:val="25"/>
              <w:jc w:val="center"/>
              <w:rPr>
                <w:rFonts w:hint="eastAsia"/>
                <w:sz w:val="21"/>
                <w:lang w:val="en-US" w:eastAsia="zh-CN"/>
              </w:rPr>
            </w:pPr>
            <w:r>
              <w:rPr>
                <w:rFonts w:hint="eastAsia"/>
                <w:sz w:val="21"/>
                <w:lang w:val="en-US" w:eastAsia="zh-CN"/>
              </w:rPr>
              <w:t>1小时</w:t>
            </w:r>
          </w:p>
        </w:tc>
      </w:tr>
      <w:tr w14:paraId="36144DF3">
        <w:tc>
          <w:tcPr>
            <w:tcW w:w="1133" w:type="dxa"/>
            <w:vMerge w:val="continue"/>
            <w:tcBorders>
              <w:top w:val="nil"/>
              <w:left w:val="single" w:color="000000" w:sz="4" w:space="0"/>
              <w:bottom w:val="single" w:color="000000" w:sz="4" w:space="0"/>
              <w:right w:val="single" w:color="000000" w:sz="4" w:space="0"/>
            </w:tcBorders>
            <w:vAlign w:val="center"/>
          </w:tcPr>
          <w:p w14:paraId="00B6D03A">
            <w:pPr>
              <w:pStyle w:val="25"/>
              <w:jc w:val="center"/>
              <w:rPr>
                <w:rFonts w:hint="eastAsia"/>
                <w:sz w:val="21"/>
                <w:lang w:val="en-US" w:eastAsia="zh-CN"/>
              </w:rPr>
            </w:pPr>
          </w:p>
        </w:tc>
        <w:tc>
          <w:tcPr>
            <w:tcW w:w="1140" w:type="dxa"/>
            <w:vMerge w:val="continue"/>
            <w:tcBorders>
              <w:top w:val="nil"/>
              <w:left w:val="single" w:color="000000" w:sz="4" w:space="0"/>
              <w:bottom w:val="single" w:color="000000" w:sz="4" w:space="0"/>
              <w:right w:val="single" w:color="000000" w:sz="4" w:space="0"/>
            </w:tcBorders>
            <w:vAlign w:val="center"/>
          </w:tcPr>
          <w:p w14:paraId="189580AE">
            <w:pPr>
              <w:pStyle w:val="25"/>
              <w:jc w:val="center"/>
              <w:rPr>
                <w:rFonts w:hint="eastAsia"/>
                <w:sz w:val="21"/>
                <w:lang w:val="en-US" w:eastAsia="zh-CN"/>
              </w:rPr>
            </w:pPr>
          </w:p>
        </w:tc>
        <w:tc>
          <w:tcPr>
            <w:tcW w:w="3238" w:type="dxa"/>
            <w:vMerge w:val="continue"/>
            <w:tcBorders>
              <w:top w:val="nil"/>
              <w:left w:val="single" w:color="000000" w:sz="4" w:space="0"/>
              <w:bottom w:val="single" w:color="000000" w:sz="4" w:space="0"/>
              <w:right w:val="single" w:color="000000" w:sz="4" w:space="0"/>
            </w:tcBorders>
            <w:vAlign w:val="center"/>
          </w:tcPr>
          <w:p w14:paraId="5537DCEF">
            <w:pPr>
              <w:pStyle w:val="25"/>
              <w:jc w:val="center"/>
              <w:rPr>
                <w:rFonts w:hint="eastAsia"/>
                <w:sz w:val="21"/>
                <w:lang w:val="en-US" w:eastAsia="zh-CN"/>
              </w:rPr>
            </w:pPr>
          </w:p>
        </w:tc>
        <w:tc>
          <w:tcPr>
            <w:tcW w:w="16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8CCD3B1">
            <w:pPr>
              <w:pStyle w:val="25"/>
              <w:jc w:val="center"/>
              <w:rPr>
                <w:rFonts w:hint="eastAsia"/>
                <w:sz w:val="21"/>
                <w:lang w:val="en-US" w:eastAsia="zh-CN"/>
              </w:rPr>
            </w:pPr>
            <w:r>
              <w:rPr>
                <w:rFonts w:hint="eastAsia"/>
                <w:sz w:val="21"/>
                <w:lang w:val="en-US" w:eastAsia="zh-CN"/>
              </w:rPr>
              <w:t>到达现场时间</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0D9F89E">
            <w:pPr>
              <w:pStyle w:val="25"/>
              <w:jc w:val="center"/>
              <w:rPr>
                <w:rFonts w:hint="eastAsia"/>
                <w:sz w:val="21"/>
                <w:lang w:val="en-US" w:eastAsia="zh-CN"/>
              </w:rPr>
            </w:pPr>
            <w:r>
              <w:rPr>
                <w:rFonts w:hint="eastAsia"/>
                <w:sz w:val="21"/>
                <w:lang w:val="en-US" w:eastAsia="zh-CN"/>
              </w:rPr>
              <w:t>8小时</w:t>
            </w:r>
          </w:p>
        </w:tc>
      </w:tr>
      <w:tr w14:paraId="2A708A07">
        <w:tc>
          <w:tcPr>
            <w:tcW w:w="1133" w:type="dxa"/>
            <w:vMerge w:val="continue"/>
            <w:tcBorders>
              <w:top w:val="nil"/>
              <w:left w:val="single" w:color="000000" w:sz="4" w:space="0"/>
              <w:bottom w:val="single" w:color="000000" w:sz="4" w:space="0"/>
              <w:right w:val="single" w:color="000000" w:sz="4" w:space="0"/>
            </w:tcBorders>
            <w:vAlign w:val="center"/>
          </w:tcPr>
          <w:p w14:paraId="53B4378C">
            <w:pPr>
              <w:pStyle w:val="25"/>
              <w:jc w:val="center"/>
              <w:rPr>
                <w:rFonts w:hint="eastAsia"/>
                <w:sz w:val="21"/>
                <w:lang w:val="en-US" w:eastAsia="zh-CN"/>
              </w:rPr>
            </w:pPr>
          </w:p>
        </w:tc>
        <w:tc>
          <w:tcPr>
            <w:tcW w:w="1140" w:type="dxa"/>
            <w:vMerge w:val="continue"/>
            <w:tcBorders>
              <w:top w:val="nil"/>
              <w:left w:val="single" w:color="000000" w:sz="4" w:space="0"/>
              <w:bottom w:val="single" w:color="000000" w:sz="4" w:space="0"/>
              <w:right w:val="single" w:color="000000" w:sz="4" w:space="0"/>
            </w:tcBorders>
            <w:vAlign w:val="center"/>
          </w:tcPr>
          <w:p w14:paraId="11A815A2">
            <w:pPr>
              <w:pStyle w:val="25"/>
              <w:jc w:val="center"/>
              <w:rPr>
                <w:rFonts w:hint="eastAsia"/>
                <w:sz w:val="21"/>
                <w:lang w:val="en-US" w:eastAsia="zh-CN"/>
              </w:rPr>
            </w:pPr>
          </w:p>
        </w:tc>
        <w:tc>
          <w:tcPr>
            <w:tcW w:w="3238" w:type="dxa"/>
            <w:vMerge w:val="continue"/>
            <w:tcBorders>
              <w:top w:val="nil"/>
              <w:left w:val="single" w:color="000000" w:sz="4" w:space="0"/>
              <w:bottom w:val="single" w:color="000000" w:sz="4" w:space="0"/>
              <w:right w:val="single" w:color="000000" w:sz="4" w:space="0"/>
            </w:tcBorders>
            <w:vAlign w:val="center"/>
          </w:tcPr>
          <w:p w14:paraId="59686466">
            <w:pPr>
              <w:pStyle w:val="25"/>
              <w:jc w:val="center"/>
              <w:rPr>
                <w:rFonts w:hint="eastAsia"/>
                <w:sz w:val="21"/>
                <w:lang w:val="en-US" w:eastAsia="zh-CN"/>
              </w:rPr>
            </w:pPr>
          </w:p>
        </w:tc>
        <w:tc>
          <w:tcPr>
            <w:tcW w:w="16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B392909">
            <w:pPr>
              <w:pStyle w:val="25"/>
              <w:jc w:val="center"/>
              <w:rPr>
                <w:rFonts w:hint="eastAsia"/>
                <w:sz w:val="21"/>
                <w:lang w:val="en-US" w:eastAsia="zh-CN"/>
              </w:rPr>
            </w:pPr>
            <w:r>
              <w:rPr>
                <w:rFonts w:hint="eastAsia"/>
                <w:sz w:val="21"/>
                <w:lang w:val="en-US" w:eastAsia="zh-CN"/>
              </w:rPr>
              <w:t>故障初步解决时间</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30EA9F5">
            <w:pPr>
              <w:pStyle w:val="25"/>
              <w:jc w:val="center"/>
              <w:rPr>
                <w:rFonts w:hint="eastAsia"/>
                <w:sz w:val="21"/>
                <w:lang w:val="en-US" w:eastAsia="zh-CN"/>
              </w:rPr>
            </w:pPr>
            <w:r>
              <w:rPr>
                <w:rFonts w:hint="eastAsia"/>
                <w:sz w:val="21"/>
                <w:lang w:val="en-US" w:eastAsia="zh-CN"/>
              </w:rPr>
              <w:t>24小时内</w:t>
            </w:r>
          </w:p>
        </w:tc>
      </w:tr>
      <w:tr w14:paraId="4642E2BA">
        <w:tc>
          <w:tcPr>
            <w:tcW w:w="1133"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70F7BC0">
            <w:pPr>
              <w:pStyle w:val="25"/>
              <w:jc w:val="center"/>
              <w:rPr>
                <w:rFonts w:hint="eastAsia"/>
                <w:sz w:val="21"/>
                <w:lang w:val="en-US" w:eastAsia="zh-CN"/>
              </w:rPr>
            </w:pPr>
            <w:r>
              <w:rPr>
                <w:rFonts w:hint="eastAsia"/>
                <w:sz w:val="21"/>
                <w:lang w:val="en-US" w:eastAsia="zh-CN"/>
              </w:rPr>
              <w:t>7×24小时</w:t>
            </w:r>
          </w:p>
        </w:tc>
        <w:tc>
          <w:tcPr>
            <w:tcW w:w="114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FE54F59">
            <w:pPr>
              <w:pStyle w:val="25"/>
              <w:jc w:val="center"/>
              <w:rPr>
                <w:rFonts w:hint="eastAsia"/>
                <w:sz w:val="21"/>
                <w:lang w:val="en-US" w:eastAsia="zh-CN"/>
              </w:rPr>
            </w:pPr>
            <w:r>
              <w:rPr>
                <w:rFonts w:hint="eastAsia"/>
                <w:sz w:val="21"/>
                <w:lang w:val="en-US" w:eastAsia="zh-CN"/>
              </w:rPr>
              <w:t>P3</w:t>
            </w:r>
          </w:p>
        </w:tc>
        <w:tc>
          <w:tcPr>
            <w:tcW w:w="323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7C02F9A">
            <w:pPr>
              <w:pStyle w:val="25"/>
              <w:jc w:val="center"/>
              <w:rPr>
                <w:rFonts w:hint="default"/>
                <w:sz w:val="21"/>
                <w:lang w:val="en-US" w:eastAsia="zh-CN"/>
              </w:rPr>
            </w:pPr>
            <w:r>
              <w:rPr>
                <w:rFonts w:hint="eastAsia"/>
                <w:sz w:val="21"/>
                <w:lang w:val="en-US" w:eastAsia="zh-CN"/>
              </w:rPr>
              <w:t>超过20%的传输服务中断</w:t>
            </w:r>
          </w:p>
        </w:tc>
        <w:tc>
          <w:tcPr>
            <w:tcW w:w="16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806C9EB">
            <w:pPr>
              <w:pStyle w:val="25"/>
              <w:jc w:val="center"/>
              <w:rPr>
                <w:rFonts w:hint="eastAsia"/>
                <w:sz w:val="21"/>
                <w:lang w:val="en-US" w:eastAsia="zh-CN"/>
              </w:rPr>
            </w:pPr>
            <w:r>
              <w:rPr>
                <w:rFonts w:hint="eastAsia"/>
                <w:sz w:val="21"/>
                <w:lang w:val="en-US" w:eastAsia="zh-CN"/>
              </w:rPr>
              <w:t>响应时间</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6618C5F">
            <w:pPr>
              <w:pStyle w:val="25"/>
              <w:jc w:val="center"/>
              <w:rPr>
                <w:rFonts w:hint="eastAsia"/>
                <w:sz w:val="21"/>
                <w:lang w:val="en-US" w:eastAsia="zh-CN"/>
              </w:rPr>
            </w:pPr>
            <w:r>
              <w:rPr>
                <w:rFonts w:hint="eastAsia"/>
                <w:sz w:val="21"/>
                <w:lang w:val="en-US" w:eastAsia="zh-CN"/>
              </w:rPr>
              <w:t>1小时</w:t>
            </w:r>
          </w:p>
        </w:tc>
      </w:tr>
      <w:tr w14:paraId="3DCC2AA8">
        <w:tc>
          <w:tcPr>
            <w:tcW w:w="1133" w:type="dxa"/>
            <w:vMerge w:val="continue"/>
            <w:tcBorders>
              <w:top w:val="nil"/>
              <w:left w:val="single" w:color="000000" w:sz="4" w:space="0"/>
              <w:bottom w:val="single" w:color="000000" w:sz="4" w:space="0"/>
              <w:right w:val="single" w:color="000000" w:sz="4" w:space="0"/>
            </w:tcBorders>
            <w:vAlign w:val="center"/>
          </w:tcPr>
          <w:p w14:paraId="4BF58413">
            <w:pPr>
              <w:pStyle w:val="25"/>
              <w:jc w:val="center"/>
              <w:rPr>
                <w:rFonts w:hint="eastAsia"/>
                <w:sz w:val="21"/>
                <w:lang w:val="en-US" w:eastAsia="zh-CN"/>
              </w:rPr>
            </w:pPr>
          </w:p>
        </w:tc>
        <w:tc>
          <w:tcPr>
            <w:tcW w:w="1140" w:type="dxa"/>
            <w:vMerge w:val="continue"/>
            <w:tcBorders>
              <w:top w:val="nil"/>
              <w:left w:val="single" w:color="000000" w:sz="4" w:space="0"/>
              <w:bottom w:val="single" w:color="000000" w:sz="4" w:space="0"/>
              <w:right w:val="single" w:color="000000" w:sz="4" w:space="0"/>
            </w:tcBorders>
            <w:vAlign w:val="center"/>
          </w:tcPr>
          <w:p w14:paraId="207B710E">
            <w:pPr>
              <w:pStyle w:val="25"/>
              <w:jc w:val="center"/>
              <w:rPr>
                <w:rFonts w:hint="eastAsia"/>
                <w:sz w:val="21"/>
                <w:lang w:val="en-US" w:eastAsia="zh-CN"/>
              </w:rPr>
            </w:pPr>
          </w:p>
        </w:tc>
        <w:tc>
          <w:tcPr>
            <w:tcW w:w="3238" w:type="dxa"/>
            <w:vMerge w:val="continue"/>
            <w:tcBorders>
              <w:top w:val="nil"/>
              <w:left w:val="single" w:color="000000" w:sz="4" w:space="0"/>
              <w:bottom w:val="single" w:color="000000" w:sz="4" w:space="0"/>
              <w:right w:val="single" w:color="000000" w:sz="4" w:space="0"/>
            </w:tcBorders>
            <w:vAlign w:val="center"/>
          </w:tcPr>
          <w:p w14:paraId="7F4A1444">
            <w:pPr>
              <w:pStyle w:val="25"/>
              <w:jc w:val="center"/>
              <w:rPr>
                <w:rFonts w:hint="eastAsia"/>
                <w:sz w:val="21"/>
                <w:lang w:val="en-US" w:eastAsia="zh-CN"/>
              </w:rPr>
            </w:pPr>
          </w:p>
        </w:tc>
        <w:tc>
          <w:tcPr>
            <w:tcW w:w="16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60C76AC">
            <w:pPr>
              <w:pStyle w:val="25"/>
              <w:jc w:val="center"/>
              <w:rPr>
                <w:rFonts w:hint="eastAsia"/>
                <w:sz w:val="21"/>
                <w:lang w:val="en-US" w:eastAsia="zh-CN"/>
              </w:rPr>
            </w:pPr>
            <w:r>
              <w:rPr>
                <w:rFonts w:hint="eastAsia"/>
                <w:sz w:val="21"/>
                <w:lang w:val="en-US" w:eastAsia="zh-CN"/>
              </w:rPr>
              <w:t>到达现场时间</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7830C21">
            <w:pPr>
              <w:pStyle w:val="25"/>
              <w:jc w:val="center"/>
              <w:rPr>
                <w:rFonts w:hint="eastAsia"/>
                <w:sz w:val="21"/>
                <w:lang w:val="en-US" w:eastAsia="zh-CN"/>
              </w:rPr>
            </w:pPr>
            <w:r>
              <w:rPr>
                <w:rFonts w:hint="eastAsia"/>
                <w:sz w:val="21"/>
                <w:lang w:val="en-US" w:eastAsia="zh-CN"/>
              </w:rPr>
              <w:t>8小时</w:t>
            </w:r>
          </w:p>
        </w:tc>
      </w:tr>
      <w:tr w14:paraId="41C17A4B">
        <w:tc>
          <w:tcPr>
            <w:tcW w:w="1133" w:type="dxa"/>
            <w:vMerge w:val="continue"/>
            <w:tcBorders>
              <w:top w:val="nil"/>
              <w:left w:val="single" w:color="000000" w:sz="4" w:space="0"/>
              <w:bottom w:val="single" w:color="000000" w:sz="4" w:space="0"/>
              <w:right w:val="single" w:color="000000" w:sz="4" w:space="0"/>
            </w:tcBorders>
            <w:vAlign w:val="center"/>
          </w:tcPr>
          <w:p w14:paraId="1890F936">
            <w:pPr>
              <w:pStyle w:val="25"/>
              <w:jc w:val="center"/>
              <w:rPr>
                <w:rFonts w:hint="eastAsia"/>
                <w:sz w:val="21"/>
                <w:lang w:val="en-US" w:eastAsia="zh-CN"/>
              </w:rPr>
            </w:pPr>
          </w:p>
        </w:tc>
        <w:tc>
          <w:tcPr>
            <w:tcW w:w="1140" w:type="dxa"/>
            <w:vMerge w:val="continue"/>
            <w:tcBorders>
              <w:top w:val="nil"/>
              <w:left w:val="single" w:color="000000" w:sz="4" w:space="0"/>
              <w:bottom w:val="single" w:color="000000" w:sz="4" w:space="0"/>
              <w:right w:val="single" w:color="000000" w:sz="4" w:space="0"/>
            </w:tcBorders>
            <w:vAlign w:val="center"/>
          </w:tcPr>
          <w:p w14:paraId="10CED1C9">
            <w:pPr>
              <w:pStyle w:val="25"/>
              <w:jc w:val="center"/>
              <w:rPr>
                <w:rFonts w:hint="eastAsia"/>
                <w:sz w:val="21"/>
                <w:lang w:val="en-US" w:eastAsia="zh-CN"/>
              </w:rPr>
            </w:pPr>
          </w:p>
        </w:tc>
        <w:tc>
          <w:tcPr>
            <w:tcW w:w="3238" w:type="dxa"/>
            <w:vMerge w:val="continue"/>
            <w:tcBorders>
              <w:top w:val="nil"/>
              <w:left w:val="single" w:color="000000" w:sz="4" w:space="0"/>
              <w:bottom w:val="single" w:color="000000" w:sz="4" w:space="0"/>
              <w:right w:val="single" w:color="000000" w:sz="4" w:space="0"/>
            </w:tcBorders>
            <w:vAlign w:val="center"/>
          </w:tcPr>
          <w:p w14:paraId="34EF43EB">
            <w:pPr>
              <w:pStyle w:val="25"/>
              <w:jc w:val="center"/>
              <w:rPr>
                <w:rFonts w:hint="eastAsia"/>
                <w:sz w:val="21"/>
                <w:lang w:val="en-US" w:eastAsia="zh-CN"/>
              </w:rPr>
            </w:pPr>
          </w:p>
        </w:tc>
        <w:tc>
          <w:tcPr>
            <w:tcW w:w="16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41681E3">
            <w:pPr>
              <w:pStyle w:val="25"/>
              <w:jc w:val="center"/>
              <w:rPr>
                <w:rFonts w:hint="eastAsia"/>
                <w:sz w:val="21"/>
                <w:lang w:val="en-US" w:eastAsia="zh-CN"/>
              </w:rPr>
            </w:pPr>
            <w:r>
              <w:rPr>
                <w:rFonts w:hint="eastAsia"/>
                <w:sz w:val="21"/>
                <w:lang w:val="en-US" w:eastAsia="zh-CN"/>
              </w:rPr>
              <w:t>故障初步解决时间</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AF5BD3E">
            <w:pPr>
              <w:pStyle w:val="25"/>
              <w:jc w:val="center"/>
              <w:rPr>
                <w:rFonts w:hint="eastAsia"/>
                <w:sz w:val="21"/>
                <w:lang w:val="en-US" w:eastAsia="zh-CN"/>
              </w:rPr>
            </w:pPr>
            <w:r>
              <w:rPr>
                <w:rFonts w:hint="eastAsia"/>
                <w:sz w:val="21"/>
                <w:lang w:val="en-US" w:eastAsia="zh-CN"/>
              </w:rPr>
              <w:t>24小时内</w:t>
            </w:r>
          </w:p>
        </w:tc>
      </w:tr>
      <w:tr w14:paraId="4C9DC240">
        <w:tc>
          <w:tcPr>
            <w:tcW w:w="1133"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8811CE9">
            <w:pPr>
              <w:pStyle w:val="25"/>
              <w:jc w:val="center"/>
              <w:rPr>
                <w:rFonts w:hint="eastAsia"/>
                <w:sz w:val="21"/>
                <w:lang w:val="en-US" w:eastAsia="zh-CN"/>
              </w:rPr>
            </w:pPr>
            <w:r>
              <w:rPr>
                <w:rFonts w:hint="eastAsia"/>
                <w:sz w:val="21"/>
                <w:lang w:val="en-US" w:eastAsia="zh-CN"/>
              </w:rPr>
              <w:t>7×24小时</w:t>
            </w:r>
          </w:p>
        </w:tc>
        <w:tc>
          <w:tcPr>
            <w:tcW w:w="114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0918CE6">
            <w:pPr>
              <w:pStyle w:val="25"/>
              <w:jc w:val="center"/>
              <w:rPr>
                <w:rFonts w:hint="eastAsia"/>
                <w:sz w:val="21"/>
                <w:lang w:val="en-US" w:eastAsia="zh-CN"/>
              </w:rPr>
            </w:pPr>
            <w:r>
              <w:rPr>
                <w:rFonts w:hint="eastAsia"/>
                <w:sz w:val="21"/>
                <w:lang w:val="en-US" w:eastAsia="zh-CN"/>
              </w:rPr>
              <w:t>P4</w:t>
            </w:r>
          </w:p>
        </w:tc>
        <w:tc>
          <w:tcPr>
            <w:tcW w:w="323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BB9A30D">
            <w:pPr>
              <w:pStyle w:val="25"/>
              <w:jc w:val="center"/>
              <w:rPr>
                <w:rFonts w:hint="default"/>
                <w:sz w:val="21"/>
                <w:lang w:val="en-US" w:eastAsia="zh-CN"/>
              </w:rPr>
            </w:pPr>
            <w:r>
              <w:rPr>
                <w:rFonts w:hint="eastAsia"/>
                <w:sz w:val="21"/>
                <w:lang w:val="en-US" w:eastAsia="zh-CN"/>
              </w:rPr>
              <w:t>个别传输服务中断</w:t>
            </w:r>
          </w:p>
        </w:tc>
        <w:tc>
          <w:tcPr>
            <w:tcW w:w="16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D5DB96B">
            <w:pPr>
              <w:pStyle w:val="25"/>
              <w:jc w:val="center"/>
              <w:rPr>
                <w:rFonts w:hint="eastAsia"/>
                <w:sz w:val="21"/>
                <w:lang w:val="en-US" w:eastAsia="zh-CN"/>
              </w:rPr>
            </w:pPr>
            <w:r>
              <w:rPr>
                <w:rFonts w:hint="eastAsia"/>
                <w:sz w:val="21"/>
                <w:lang w:val="en-US" w:eastAsia="zh-CN"/>
              </w:rPr>
              <w:t>响应时间</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50C1D9D">
            <w:pPr>
              <w:pStyle w:val="25"/>
              <w:jc w:val="center"/>
              <w:rPr>
                <w:rFonts w:hint="eastAsia"/>
                <w:sz w:val="21"/>
                <w:lang w:val="en-US" w:eastAsia="zh-CN"/>
              </w:rPr>
            </w:pPr>
            <w:r>
              <w:rPr>
                <w:rFonts w:hint="eastAsia"/>
                <w:sz w:val="21"/>
                <w:lang w:val="en-US" w:eastAsia="zh-CN"/>
              </w:rPr>
              <w:t>1小时</w:t>
            </w:r>
          </w:p>
        </w:tc>
      </w:tr>
      <w:tr w14:paraId="4E3A31CB">
        <w:tc>
          <w:tcPr>
            <w:tcW w:w="1133" w:type="dxa"/>
            <w:vMerge w:val="continue"/>
            <w:tcBorders>
              <w:top w:val="nil"/>
              <w:left w:val="single" w:color="000000" w:sz="4" w:space="0"/>
              <w:bottom w:val="single" w:color="000000" w:sz="4" w:space="0"/>
              <w:right w:val="single" w:color="000000" w:sz="4" w:space="0"/>
            </w:tcBorders>
            <w:vAlign w:val="center"/>
          </w:tcPr>
          <w:p w14:paraId="5F9EF827">
            <w:pPr>
              <w:pStyle w:val="25"/>
              <w:jc w:val="center"/>
              <w:rPr>
                <w:rFonts w:hint="eastAsia"/>
                <w:sz w:val="21"/>
                <w:lang w:val="en-US" w:eastAsia="zh-CN"/>
              </w:rPr>
            </w:pPr>
          </w:p>
        </w:tc>
        <w:tc>
          <w:tcPr>
            <w:tcW w:w="1140" w:type="dxa"/>
            <w:vMerge w:val="continue"/>
            <w:tcBorders>
              <w:top w:val="nil"/>
              <w:left w:val="single" w:color="000000" w:sz="4" w:space="0"/>
              <w:bottom w:val="single" w:color="000000" w:sz="4" w:space="0"/>
              <w:right w:val="single" w:color="000000" w:sz="4" w:space="0"/>
            </w:tcBorders>
            <w:vAlign w:val="center"/>
          </w:tcPr>
          <w:p w14:paraId="1CA47263">
            <w:pPr>
              <w:pStyle w:val="25"/>
              <w:jc w:val="center"/>
              <w:rPr>
                <w:rFonts w:hint="eastAsia"/>
                <w:sz w:val="21"/>
                <w:lang w:val="en-US" w:eastAsia="zh-CN"/>
              </w:rPr>
            </w:pPr>
          </w:p>
        </w:tc>
        <w:tc>
          <w:tcPr>
            <w:tcW w:w="3238" w:type="dxa"/>
            <w:vMerge w:val="continue"/>
            <w:tcBorders>
              <w:top w:val="nil"/>
              <w:left w:val="single" w:color="000000" w:sz="4" w:space="0"/>
              <w:bottom w:val="single" w:color="000000" w:sz="4" w:space="0"/>
              <w:right w:val="single" w:color="000000" w:sz="4" w:space="0"/>
            </w:tcBorders>
            <w:vAlign w:val="center"/>
          </w:tcPr>
          <w:p w14:paraId="2033E1B2">
            <w:pPr>
              <w:pStyle w:val="25"/>
              <w:jc w:val="center"/>
              <w:rPr>
                <w:rFonts w:hint="eastAsia"/>
                <w:sz w:val="21"/>
                <w:lang w:val="en-US" w:eastAsia="zh-CN"/>
              </w:rPr>
            </w:pPr>
          </w:p>
        </w:tc>
        <w:tc>
          <w:tcPr>
            <w:tcW w:w="16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63A9FA9">
            <w:pPr>
              <w:pStyle w:val="25"/>
              <w:jc w:val="center"/>
              <w:rPr>
                <w:rFonts w:hint="eastAsia"/>
                <w:sz w:val="21"/>
                <w:lang w:val="en-US" w:eastAsia="zh-CN"/>
              </w:rPr>
            </w:pPr>
            <w:r>
              <w:rPr>
                <w:rFonts w:hint="eastAsia"/>
                <w:sz w:val="21"/>
                <w:lang w:val="en-US" w:eastAsia="zh-CN"/>
              </w:rPr>
              <w:t>到达现场时间</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2CBA5D3">
            <w:pPr>
              <w:pStyle w:val="25"/>
              <w:jc w:val="center"/>
              <w:rPr>
                <w:rFonts w:hint="eastAsia"/>
                <w:sz w:val="21"/>
                <w:lang w:val="en-US" w:eastAsia="zh-CN"/>
              </w:rPr>
            </w:pPr>
            <w:r>
              <w:rPr>
                <w:rFonts w:hint="eastAsia"/>
                <w:sz w:val="21"/>
                <w:lang w:val="en-US" w:eastAsia="zh-CN"/>
              </w:rPr>
              <w:t>8小时</w:t>
            </w:r>
          </w:p>
        </w:tc>
      </w:tr>
      <w:tr w14:paraId="674BB799">
        <w:tc>
          <w:tcPr>
            <w:tcW w:w="1133" w:type="dxa"/>
            <w:vMerge w:val="continue"/>
            <w:tcBorders>
              <w:top w:val="nil"/>
              <w:left w:val="single" w:color="000000" w:sz="4" w:space="0"/>
              <w:bottom w:val="single" w:color="000000" w:sz="4" w:space="0"/>
              <w:right w:val="single" w:color="000000" w:sz="4" w:space="0"/>
            </w:tcBorders>
            <w:vAlign w:val="center"/>
          </w:tcPr>
          <w:p w14:paraId="4B118F99">
            <w:pPr>
              <w:pStyle w:val="25"/>
              <w:jc w:val="center"/>
              <w:rPr>
                <w:rFonts w:hint="eastAsia"/>
                <w:sz w:val="21"/>
                <w:lang w:val="en-US" w:eastAsia="zh-CN"/>
              </w:rPr>
            </w:pPr>
          </w:p>
        </w:tc>
        <w:tc>
          <w:tcPr>
            <w:tcW w:w="1140" w:type="dxa"/>
            <w:vMerge w:val="continue"/>
            <w:tcBorders>
              <w:top w:val="nil"/>
              <w:left w:val="single" w:color="000000" w:sz="4" w:space="0"/>
              <w:bottom w:val="single" w:color="000000" w:sz="4" w:space="0"/>
              <w:right w:val="single" w:color="000000" w:sz="4" w:space="0"/>
            </w:tcBorders>
            <w:vAlign w:val="center"/>
          </w:tcPr>
          <w:p w14:paraId="67E63652">
            <w:pPr>
              <w:pStyle w:val="25"/>
              <w:jc w:val="center"/>
              <w:rPr>
                <w:rFonts w:hint="eastAsia"/>
                <w:sz w:val="21"/>
                <w:lang w:val="en-US" w:eastAsia="zh-CN"/>
              </w:rPr>
            </w:pPr>
          </w:p>
        </w:tc>
        <w:tc>
          <w:tcPr>
            <w:tcW w:w="3238" w:type="dxa"/>
            <w:vMerge w:val="continue"/>
            <w:tcBorders>
              <w:top w:val="nil"/>
              <w:left w:val="single" w:color="000000" w:sz="4" w:space="0"/>
              <w:bottom w:val="single" w:color="000000" w:sz="4" w:space="0"/>
              <w:right w:val="single" w:color="000000" w:sz="4" w:space="0"/>
            </w:tcBorders>
            <w:vAlign w:val="center"/>
          </w:tcPr>
          <w:p w14:paraId="1B540D20">
            <w:pPr>
              <w:pStyle w:val="25"/>
              <w:jc w:val="center"/>
              <w:rPr>
                <w:rFonts w:hint="eastAsia"/>
                <w:sz w:val="21"/>
                <w:lang w:val="en-US" w:eastAsia="zh-CN"/>
              </w:rPr>
            </w:pPr>
          </w:p>
        </w:tc>
        <w:tc>
          <w:tcPr>
            <w:tcW w:w="16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6E843B2">
            <w:pPr>
              <w:pStyle w:val="25"/>
              <w:jc w:val="center"/>
              <w:rPr>
                <w:rFonts w:hint="eastAsia"/>
                <w:sz w:val="21"/>
                <w:lang w:val="en-US" w:eastAsia="zh-CN"/>
              </w:rPr>
            </w:pPr>
            <w:r>
              <w:rPr>
                <w:rFonts w:hint="eastAsia"/>
                <w:sz w:val="21"/>
                <w:lang w:val="en-US" w:eastAsia="zh-CN"/>
              </w:rPr>
              <w:t>故障初步解决时间</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ACCAAFB">
            <w:pPr>
              <w:pStyle w:val="25"/>
              <w:jc w:val="center"/>
              <w:rPr>
                <w:rFonts w:hint="eastAsia"/>
                <w:sz w:val="21"/>
                <w:lang w:val="en-US" w:eastAsia="zh-CN"/>
              </w:rPr>
            </w:pPr>
            <w:r>
              <w:rPr>
                <w:rFonts w:hint="eastAsia"/>
                <w:sz w:val="21"/>
                <w:lang w:val="en-US" w:eastAsia="zh-CN"/>
              </w:rPr>
              <w:t>72小时内</w:t>
            </w:r>
          </w:p>
        </w:tc>
      </w:tr>
    </w:tbl>
    <w:p w14:paraId="2E6F18DD">
      <w:pPr>
        <w:pStyle w:val="25"/>
        <w:jc w:val="both"/>
        <w:rPr>
          <w:rFonts w:hint="eastAsia"/>
          <w:sz w:val="21"/>
          <w:lang w:val="en-US" w:eastAsia="zh-CN"/>
        </w:rPr>
      </w:pPr>
    </w:p>
    <w:p w14:paraId="2C8A92BE">
      <w:pPr>
        <w:pStyle w:val="25"/>
        <w:numPr>
          <w:ilvl w:val="0"/>
          <w:numId w:val="4"/>
        </w:numPr>
        <w:ind w:firstLine="420" w:firstLineChars="200"/>
        <w:jc w:val="both"/>
        <w:rPr>
          <w:rFonts w:hint="eastAsia"/>
          <w:sz w:val="21"/>
          <w:lang w:val="en-US" w:eastAsia="zh-CN"/>
        </w:rPr>
      </w:pPr>
      <w:r>
        <w:rPr>
          <w:rFonts w:hint="eastAsia"/>
          <w:sz w:val="21"/>
          <w:lang w:val="en-US" w:eastAsia="zh-CN"/>
        </w:rPr>
        <w:t>供应商需针对上述要求，提出具体的、切实可行的应急预案及处理措施。</w:t>
      </w:r>
    </w:p>
    <w:p w14:paraId="5148B9C7">
      <w:pPr>
        <w:pStyle w:val="4"/>
        <w:numPr>
          <w:ilvl w:val="0"/>
          <w:numId w:val="1"/>
        </w:numPr>
        <w:bidi w:val="0"/>
        <w:outlineLvl w:val="0"/>
        <w:rPr>
          <w:rFonts w:hint="eastAsia"/>
          <w:sz w:val="40"/>
          <w:szCs w:val="40"/>
          <w:lang w:val="zh-CN" w:eastAsia="zh-CN"/>
        </w:rPr>
      </w:pPr>
      <w:r>
        <w:rPr>
          <w:rFonts w:hint="eastAsia"/>
          <w:sz w:val="40"/>
          <w:szCs w:val="40"/>
          <w:lang w:val="zh-CN" w:eastAsia="zh-CN"/>
        </w:rPr>
        <w:t>项目维护服务周期</w:t>
      </w:r>
    </w:p>
    <w:p w14:paraId="6594D427">
      <w:pPr>
        <w:ind w:firstLine="420" w:firstLineChars="200"/>
        <w:rPr>
          <w:rFonts w:hint="eastAsia" w:asciiTheme="minorHAnsi" w:hAnsiTheme="minorHAnsi" w:eastAsiaTheme="minorEastAsia" w:cstheme="minorBidi"/>
          <w:kern w:val="0"/>
          <w:sz w:val="21"/>
          <w:szCs w:val="20"/>
          <w:lang w:val="en-US" w:eastAsia="zh-CN"/>
        </w:rPr>
      </w:pPr>
      <w:r>
        <w:rPr>
          <w:rFonts w:hint="eastAsia" w:asciiTheme="minorHAnsi" w:hAnsiTheme="minorHAnsi" w:eastAsiaTheme="minorEastAsia" w:cstheme="minorBidi"/>
          <w:kern w:val="0"/>
          <w:sz w:val="21"/>
          <w:szCs w:val="20"/>
          <w:lang w:val="en-US" w:eastAsia="zh-CN"/>
        </w:rPr>
        <w:t>合同签订</w:t>
      </w:r>
      <w:r>
        <w:rPr>
          <w:rFonts w:hint="eastAsia" w:asciiTheme="minorHAnsi" w:hAnsiTheme="minorHAnsi" w:cstheme="minorBidi"/>
          <w:kern w:val="0"/>
          <w:sz w:val="21"/>
          <w:szCs w:val="20"/>
          <w:lang w:val="en-US" w:eastAsia="zh-CN"/>
        </w:rPr>
        <w:t>至2026年</w:t>
      </w:r>
      <w:r>
        <w:rPr>
          <w:rFonts w:hint="eastAsia" w:asciiTheme="minorHAnsi" w:hAnsiTheme="minorHAnsi" w:cstheme="minorBidi"/>
          <w:kern w:val="0"/>
          <w:sz w:val="21"/>
          <w:szCs w:val="20"/>
          <w:highlight w:val="yellow"/>
          <w:lang w:val="en-US" w:eastAsia="zh-CN"/>
        </w:rPr>
        <w:t>4</w:t>
      </w:r>
      <w:r>
        <w:rPr>
          <w:rFonts w:hint="eastAsia" w:asciiTheme="minorHAnsi" w:hAnsiTheme="minorHAnsi" w:cstheme="minorBidi"/>
          <w:kern w:val="0"/>
          <w:sz w:val="21"/>
          <w:szCs w:val="20"/>
          <w:lang w:val="en-US" w:eastAsia="zh-CN"/>
        </w:rPr>
        <w:t>月，提供413条专线</w:t>
      </w:r>
      <w:r>
        <w:rPr>
          <w:rFonts w:hint="default"/>
          <w:sz w:val="21"/>
          <w:lang w:val="en-US" w:eastAsia="zh-CN"/>
        </w:rPr>
        <w:t>传输服务</w:t>
      </w:r>
      <w:r>
        <w:rPr>
          <w:rFonts w:hint="eastAsia"/>
          <w:sz w:val="21"/>
          <w:lang w:val="en-US" w:eastAsia="zh-CN"/>
        </w:rPr>
        <w:t>及428台摄像机维护</w:t>
      </w:r>
      <w:r>
        <w:rPr>
          <w:rFonts w:hint="default"/>
          <w:sz w:val="21"/>
          <w:lang w:val="en-US" w:eastAsia="zh-CN"/>
        </w:rPr>
        <w:t>服务</w:t>
      </w:r>
      <w:r>
        <w:rPr>
          <w:rFonts w:hint="eastAsia" w:asciiTheme="minorHAnsi" w:hAnsiTheme="minorHAnsi" w:eastAsiaTheme="minorEastAsia" w:cstheme="minorBidi"/>
          <w:kern w:val="0"/>
          <w:sz w:val="21"/>
          <w:szCs w:val="20"/>
          <w:lang w:val="en-US" w:eastAsia="zh-CN"/>
        </w:rPr>
        <w:t>。</w:t>
      </w:r>
    </w:p>
    <w:p w14:paraId="6ED0E629">
      <w:pPr>
        <w:pStyle w:val="2"/>
        <w:rPr>
          <w:rFonts w:hint="eastAsia" w:asciiTheme="minorHAnsi" w:hAnsiTheme="minorHAnsi" w:eastAsiaTheme="minorEastAsia" w:cstheme="minorBidi"/>
          <w:kern w:val="0"/>
          <w:sz w:val="21"/>
          <w:szCs w:val="20"/>
          <w:lang w:val="en-US" w:eastAsia="zh-CN"/>
        </w:rPr>
      </w:pPr>
    </w:p>
    <w:p w14:paraId="59E56A56">
      <w:pPr>
        <w:pStyle w:val="2"/>
        <w:rPr>
          <w:rFonts w:hint="eastAsia" w:asciiTheme="minorHAnsi" w:hAnsiTheme="minorHAnsi" w:eastAsiaTheme="minorEastAsia" w:cstheme="minorBidi"/>
          <w:kern w:val="0"/>
          <w:sz w:val="21"/>
          <w:szCs w:val="20"/>
          <w:lang w:val="en-US" w:eastAsia="zh-CN"/>
        </w:rPr>
      </w:pPr>
    </w:p>
    <w:p w14:paraId="740EEB49">
      <w:pPr>
        <w:pStyle w:val="5"/>
        <w:numPr>
          <w:ilvl w:val="0"/>
          <w:numId w:val="1"/>
        </w:numPr>
        <w:rPr>
          <w:sz w:val="40"/>
          <w:szCs w:val="40"/>
        </w:rPr>
      </w:pPr>
      <w:r>
        <w:rPr>
          <w:rFonts w:hint="eastAsia"/>
          <w:sz w:val="40"/>
          <w:szCs w:val="40"/>
        </w:rPr>
        <w:t>投标人资格要求</w:t>
      </w:r>
    </w:p>
    <w:p w14:paraId="35AA2748">
      <w:pPr>
        <w:numPr>
          <w:ilvl w:val="0"/>
          <w:numId w:val="5"/>
        </w:numPr>
        <w:suppressAutoHyphens/>
        <w:spacing w:line="560" w:lineRule="exact"/>
        <w:ind w:firstLine="420" w:firstLineChars="200"/>
        <w:rPr>
          <w:rFonts w:asciiTheme="minorHAnsi" w:hAnsiTheme="minorHAnsi" w:cstheme="minorBidi"/>
          <w:kern w:val="0"/>
          <w:szCs w:val="20"/>
        </w:rPr>
      </w:pPr>
      <w:r>
        <w:rPr>
          <w:rFonts w:hint="eastAsia" w:asciiTheme="minorHAnsi" w:hAnsiTheme="minorHAnsi" w:cstheme="minorBidi"/>
          <w:kern w:val="0"/>
          <w:szCs w:val="20"/>
        </w:rPr>
        <w:t>投标人须为在中华人民共和国境内注册、持有合法有效的企业法人营业执照（投标文件中提供营业执照复印件加盖公章）。分公司（分支机构）参与投标的，须取得具有法人资格的总公司出具给分公司（分支机构）的授权书，并提供总公司和分公司的营业执照扫描件加盖投标人公章；</w:t>
      </w:r>
    </w:p>
    <w:p w14:paraId="0BEB7ADA">
      <w:pPr>
        <w:numPr>
          <w:ilvl w:val="0"/>
          <w:numId w:val="5"/>
        </w:numPr>
        <w:suppressAutoHyphens/>
        <w:spacing w:line="560" w:lineRule="exact"/>
        <w:ind w:firstLine="420" w:firstLineChars="200"/>
        <w:rPr>
          <w:rFonts w:asciiTheme="minorHAnsi" w:hAnsiTheme="minorHAnsi" w:cstheme="minorBidi"/>
          <w:kern w:val="0"/>
          <w:szCs w:val="20"/>
        </w:rPr>
      </w:pPr>
      <w:r>
        <w:rPr>
          <w:rFonts w:hint="eastAsia" w:asciiTheme="minorHAnsi" w:hAnsiTheme="minorHAnsi" w:cstheme="minorBidi"/>
          <w:kern w:val="0"/>
          <w:szCs w:val="20"/>
        </w:rPr>
        <w:t>投标人具有良好的商业信誉和健全的财务会计制度；</w:t>
      </w:r>
    </w:p>
    <w:p w14:paraId="620ED208">
      <w:pPr>
        <w:numPr>
          <w:ilvl w:val="0"/>
          <w:numId w:val="5"/>
        </w:numPr>
        <w:suppressAutoHyphens/>
        <w:spacing w:line="560" w:lineRule="exact"/>
        <w:ind w:firstLine="420" w:firstLineChars="200"/>
        <w:rPr>
          <w:rFonts w:asciiTheme="minorHAnsi" w:hAnsiTheme="minorHAnsi" w:cstheme="minorBidi"/>
          <w:kern w:val="0"/>
          <w:szCs w:val="20"/>
        </w:rPr>
      </w:pPr>
      <w:r>
        <w:rPr>
          <w:rFonts w:hint="eastAsia" w:asciiTheme="minorHAnsi" w:hAnsiTheme="minorHAnsi" w:cstheme="minorBidi"/>
          <w:kern w:val="0"/>
          <w:szCs w:val="20"/>
        </w:rPr>
        <w:t>投标人具有履行合同所必需的设备和专业技术能力；</w:t>
      </w:r>
    </w:p>
    <w:p w14:paraId="4F8E9898">
      <w:pPr>
        <w:numPr>
          <w:ilvl w:val="0"/>
          <w:numId w:val="5"/>
        </w:numPr>
        <w:suppressAutoHyphens/>
        <w:spacing w:line="560" w:lineRule="exact"/>
        <w:ind w:firstLine="420" w:firstLineChars="200"/>
        <w:rPr>
          <w:rFonts w:asciiTheme="minorHAnsi" w:hAnsiTheme="minorHAnsi" w:cstheme="minorBidi"/>
          <w:kern w:val="0"/>
          <w:szCs w:val="20"/>
        </w:rPr>
      </w:pPr>
      <w:r>
        <w:rPr>
          <w:rFonts w:hint="eastAsia" w:asciiTheme="minorHAnsi" w:hAnsiTheme="minorHAnsi" w:cstheme="minorBidi"/>
          <w:kern w:val="0"/>
          <w:szCs w:val="20"/>
        </w:rPr>
        <w:t>投标人具有依法缴纳税收和社会保障资金的良好记录；</w:t>
      </w:r>
    </w:p>
    <w:p w14:paraId="28220D7F">
      <w:pPr>
        <w:numPr>
          <w:ilvl w:val="0"/>
          <w:numId w:val="5"/>
        </w:numPr>
        <w:suppressAutoHyphens/>
        <w:spacing w:line="560" w:lineRule="exact"/>
        <w:ind w:firstLine="420" w:firstLineChars="200"/>
        <w:rPr>
          <w:rFonts w:asciiTheme="minorHAnsi" w:hAnsiTheme="minorHAnsi" w:cstheme="minorBidi"/>
          <w:kern w:val="0"/>
          <w:szCs w:val="20"/>
        </w:rPr>
      </w:pPr>
      <w:r>
        <w:rPr>
          <w:rFonts w:hint="eastAsia" w:asciiTheme="minorHAnsi" w:hAnsiTheme="minorHAnsi" w:cstheme="minorBidi"/>
          <w:kern w:val="0"/>
          <w:szCs w:val="20"/>
        </w:rPr>
        <w:t>投标人参加采购活动前三年内，在经营活动中没有重大违法记录的书面声明。</w:t>
      </w:r>
    </w:p>
    <w:p w14:paraId="620396AD">
      <w:pPr>
        <w:pStyle w:val="5"/>
        <w:numPr>
          <w:ilvl w:val="0"/>
          <w:numId w:val="1"/>
        </w:numPr>
        <w:rPr>
          <w:sz w:val="40"/>
          <w:szCs w:val="40"/>
        </w:rPr>
      </w:pPr>
      <w:r>
        <w:rPr>
          <w:rFonts w:hint="eastAsia"/>
          <w:sz w:val="40"/>
          <w:szCs w:val="40"/>
        </w:rPr>
        <w:t>项目评分标准</w:t>
      </w: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91"/>
        <w:gridCol w:w="2138"/>
        <w:gridCol w:w="5076"/>
      </w:tblGrid>
      <w:tr w14:paraId="7A2156A3">
        <w:tc>
          <w:tcPr>
            <w:tcW w:w="1091" w:type="dxa"/>
            <w:vAlign w:val="center"/>
          </w:tcPr>
          <w:p w14:paraId="603D0CAC">
            <w:pPr>
              <w:pStyle w:val="25"/>
              <w:jc w:val="center"/>
              <w:rPr>
                <w:rFonts w:hint="default"/>
              </w:rPr>
            </w:pPr>
            <w:r>
              <w:t>评审因素</w:t>
            </w:r>
          </w:p>
        </w:tc>
        <w:tc>
          <w:tcPr>
            <w:tcW w:w="7214" w:type="dxa"/>
            <w:gridSpan w:val="2"/>
            <w:vAlign w:val="center"/>
          </w:tcPr>
          <w:p w14:paraId="05BF45E3">
            <w:pPr>
              <w:pStyle w:val="25"/>
              <w:jc w:val="center"/>
              <w:rPr>
                <w:rFonts w:hint="default"/>
              </w:rPr>
            </w:pPr>
            <w:r>
              <w:t>评审标准</w:t>
            </w:r>
          </w:p>
        </w:tc>
      </w:tr>
      <w:tr w14:paraId="51BD4BB3">
        <w:tc>
          <w:tcPr>
            <w:tcW w:w="1091" w:type="dxa"/>
            <w:vAlign w:val="center"/>
          </w:tcPr>
          <w:p w14:paraId="4B74F6F9">
            <w:pPr>
              <w:pStyle w:val="25"/>
              <w:jc w:val="center"/>
              <w:rPr>
                <w:rFonts w:hint="default"/>
              </w:rPr>
            </w:pPr>
            <w:r>
              <w:t>分值构成</w:t>
            </w:r>
          </w:p>
        </w:tc>
        <w:tc>
          <w:tcPr>
            <w:tcW w:w="7214" w:type="dxa"/>
            <w:gridSpan w:val="2"/>
            <w:vAlign w:val="center"/>
          </w:tcPr>
          <w:p w14:paraId="65435AAD">
            <w:pPr>
              <w:pStyle w:val="25"/>
              <w:rPr>
                <w:rFonts w:hint="default"/>
              </w:rPr>
            </w:pPr>
            <w:r>
              <w:t>技术部分</w:t>
            </w:r>
            <w:r>
              <w:rPr>
                <w:lang w:eastAsia="zh-CN"/>
              </w:rPr>
              <w:t>5</w:t>
            </w:r>
            <w:r>
              <w:rPr>
                <w:rFonts w:hint="eastAsia"/>
                <w:lang w:val="en-US" w:eastAsia="zh-CN"/>
              </w:rPr>
              <w:t>6</w:t>
            </w:r>
            <w:r>
              <w:t>.0分</w:t>
            </w:r>
          </w:p>
          <w:p w14:paraId="69E021AC">
            <w:pPr>
              <w:pStyle w:val="25"/>
              <w:rPr>
                <w:rFonts w:hint="default"/>
              </w:rPr>
            </w:pPr>
            <w:r>
              <w:t>商务部分</w:t>
            </w:r>
            <w:r>
              <w:rPr>
                <w:rFonts w:hint="eastAsia"/>
                <w:lang w:val="en-US" w:eastAsia="zh-CN"/>
              </w:rPr>
              <w:t>34</w:t>
            </w:r>
            <w:r>
              <w:t>.0分</w:t>
            </w:r>
          </w:p>
          <w:p w14:paraId="2BB926E0">
            <w:pPr>
              <w:pStyle w:val="25"/>
              <w:rPr>
                <w:rFonts w:hint="default"/>
              </w:rPr>
            </w:pPr>
            <w:r>
              <w:t>报价得分10.0分</w:t>
            </w:r>
          </w:p>
        </w:tc>
      </w:tr>
      <w:tr w14:paraId="06887159">
        <w:tc>
          <w:tcPr>
            <w:tcW w:w="1091" w:type="dxa"/>
            <w:vMerge w:val="restart"/>
            <w:vAlign w:val="center"/>
          </w:tcPr>
          <w:p w14:paraId="6262602A">
            <w:pPr>
              <w:pStyle w:val="25"/>
              <w:jc w:val="center"/>
              <w:rPr>
                <w:rFonts w:hint="default"/>
              </w:rPr>
            </w:pPr>
            <w:r>
              <w:t>技术部分</w:t>
            </w:r>
          </w:p>
        </w:tc>
        <w:tc>
          <w:tcPr>
            <w:tcW w:w="2138" w:type="dxa"/>
            <w:vAlign w:val="center"/>
          </w:tcPr>
          <w:p w14:paraId="46655FAF">
            <w:pPr>
              <w:pStyle w:val="25"/>
              <w:jc w:val="center"/>
              <w:rPr>
                <w:rFonts w:hint="default"/>
              </w:rPr>
            </w:pPr>
            <w:r>
              <w:t>整体实施方案及服务方案 (</w:t>
            </w:r>
            <w:r>
              <w:rPr>
                <w:lang w:eastAsia="zh-CN"/>
              </w:rPr>
              <w:t>15</w:t>
            </w:r>
            <w:r>
              <w:t>.0分)</w:t>
            </w:r>
          </w:p>
        </w:tc>
        <w:tc>
          <w:tcPr>
            <w:tcW w:w="5076" w:type="dxa"/>
          </w:tcPr>
          <w:p w14:paraId="7B2EF10E">
            <w:pPr>
              <w:pStyle w:val="25"/>
              <w:rPr>
                <w:rFonts w:hint="default"/>
              </w:rPr>
            </w:pPr>
            <w:r>
              <w:t>根据各投标人针对“</w:t>
            </w:r>
            <w:r>
              <w:rPr>
                <w:rFonts w:hint="eastAsia"/>
                <w:lang w:val="en-US" w:eastAsia="zh-CN"/>
              </w:rPr>
              <w:t>三</w:t>
            </w:r>
            <w:r>
              <w:t>、整体实施及服务要求”所提供的整体实施方案及服务方案进行评价：</w:t>
            </w:r>
            <w:r>
              <w:rPr>
                <w:rFonts w:hint="default"/>
              </w:rPr>
              <w:t xml:space="preserve"> </w:t>
            </w:r>
          </w:p>
          <w:p w14:paraId="1AB93648">
            <w:pPr>
              <w:pStyle w:val="25"/>
              <w:rPr>
                <w:rFonts w:hint="default"/>
              </w:rPr>
            </w:pPr>
            <w:r>
              <w:t>投标人所提供的整体实施方案及服务方案内容完整，对于服务的内容均有详细的介绍，内容清晰，完全满足采购需求的，得</w:t>
            </w:r>
            <w:r>
              <w:rPr>
                <w:rFonts w:hint="default"/>
                <w:lang w:eastAsia="zh-CN"/>
              </w:rPr>
              <w:t>15</w:t>
            </w:r>
            <w:r>
              <w:t>分；</w:t>
            </w:r>
            <w:r>
              <w:rPr>
                <w:rFonts w:hint="default"/>
              </w:rPr>
              <w:t xml:space="preserve"> </w:t>
            </w:r>
          </w:p>
          <w:p w14:paraId="29E03A2F">
            <w:pPr>
              <w:pStyle w:val="25"/>
              <w:rPr>
                <w:rFonts w:hint="default"/>
              </w:rPr>
            </w:pPr>
            <w:r>
              <w:t>投标人所提供的整体实施方案及服务方案内容比较完整，对于服务的内容均有较详细的介绍，内容较清晰，满足采购需求的，得</w:t>
            </w:r>
            <w:r>
              <w:rPr>
                <w:rFonts w:hint="default"/>
              </w:rPr>
              <w:t>1</w:t>
            </w:r>
            <w:r>
              <w:rPr>
                <w:rFonts w:hint="default"/>
                <w:lang w:eastAsia="zh-CN"/>
              </w:rPr>
              <w:t>2</w:t>
            </w:r>
            <w:r>
              <w:t>分；</w:t>
            </w:r>
            <w:r>
              <w:rPr>
                <w:rFonts w:hint="default"/>
              </w:rPr>
              <w:t xml:space="preserve"> </w:t>
            </w:r>
          </w:p>
          <w:p w14:paraId="76188C40">
            <w:pPr>
              <w:pStyle w:val="25"/>
              <w:rPr>
                <w:rFonts w:hint="default"/>
              </w:rPr>
            </w:pPr>
            <w:r>
              <w:t>投标人所提供的整体实施方案及服务方案内容较完善，对于服务的内容均有一定的介绍，内容不够清晰，能基本满足采购需求的，得</w:t>
            </w:r>
            <w:r>
              <w:rPr>
                <w:rFonts w:hint="default"/>
                <w:lang w:eastAsia="zh-CN"/>
              </w:rPr>
              <w:t>6</w:t>
            </w:r>
            <w:r>
              <w:t>分；</w:t>
            </w:r>
            <w:r>
              <w:rPr>
                <w:rFonts w:hint="default"/>
              </w:rPr>
              <w:t xml:space="preserve"> </w:t>
            </w:r>
          </w:p>
          <w:p w14:paraId="56136AFA">
            <w:pPr>
              <w:pStyle w:val="25"/>
              <w:rPr>
                <w:rFonts w:hint="default"/>
              </w:rPr>
            </w:pPr>
            <w:r>
              <w:t>投标人所提供的整体实施方案及服务方案内容不完整，对于服务的内容有基本的介绍，但内容混乱，只有部分内容能够满足采购需求的，得</w:t>
            </w:r>
            <w:r>
              <w:rPr>
                <w:rFonts w:hint="default"/>
                <w:lang w:eastAsia="zh-CN"/>
              </w:rPr>
              <w:t>1</w:t>
            </w:r>
            <w:r>
              <w:t>分；</w:t>
            </w:r>
            <w:r>
              <w:rPr>
                <w:rFonts w:hint="default"/>
              </w:rPr>
              <w:t xml:space="preserve"> </w:t>
            </w:r>
          </w:p>
          <w:p w14:paraId="1939384D">
            <w:pPr>
              <w:pStyle w:val="25"/>
              <w:rPr>
                <w:rFonts w:hint="default"/>
              </w:rPr>
            </w:pPr>
            <w:r>
              <w:t>投标人无提供整体实施方案及服务方案或方案完全不能满足采购人项目实际要求，得0分。</w:t>
            </w:r>
          </w:p>
        </w:tc>
      </w:tr>
      <w:tr w14:paraId="64423AC9">
        <w:tc>
          <w:tcPr>
            <w:tcW w:w="1091" w:type="dxa"/>
            <w:vMerge w:val="continue"/>
            <w:vAlign w:val="center"/>
          </w:tcPr>
          <w:p w14:paraId="1A3426B7">
            <w:pPr>
              <w:jc w:val="center"/>
              <w:rPr>
                <w:sz w:val="20"/>
                <w:szCs w:val="20"/>
              </w:rPr>
            </w:pPr>
          </w:p>
        </w:tc>
        <w:tc>
          <w:tcPr>
            <w:tcW w:w="2138" w:type="dxa"/>
            <w:vAlign w:val="center"/>
          </w:tcPr>
          <w:p w14:paraId="505A688B">
            <w:pPr>
              <w:pStyle w:val="25"/>
              <w:jc w:val="center"/>
              <w:rPr>
                <w:rFonts w:hint="default"/>
              </w:rPr>
            </w:pPr>
            <w:r>
              <w:t>运维服务保障方案 (1</w:t>
            </w:r>
            <w:r>
              <w:rPr>
                <w:lang w:eastAsia="zh-CN"/>
              </w:rPr>
              <w:t>5</w:t>
            </w:r>
            <w:r>
              <w:t>.0分)</w:t>
            </w:r>
          </w:p>
        </w:tc>
        <w:tc>
          <w:tcPr>
            <w:tcW w:w="5076" w:type="dxa"/>
          </w:tcPr>
          <w:p w14:paraId="70A17BB0">
            <w:pPr>
              <w:pStyle w:val="25"/>
              <w:rPr>
                <w:rFonts w:hint="default"/>
              </w:rPr>
            </w:pPr>
            <w:r>
              <w:t>根据各投标人针对“</w:t>
            </w:r>
            <w:r>
              <w:rPr>
                <w:rFonts w:hint="default"/>
              </w:rPr>
              <w:t xml:space="preserve"> </w:t>
            </w:r>
            <w:r>
              <w:rPr>
                <w:rFonts w:hint="eastAsia"/>
                <w:lang w:val="en-US" w:eastAsia="zh-CN"/>
              </w:rPr>
              <w:t>四</w:t>
            </w:r>
            <w:r>
              <w:t>、运维服务保障要求”所提供的运维服务保障方案进行评价：</w:t>
            </w:r>
            <w:r>
              <w:rPr>
                <w:rFonts w:hint="default"/>
              </w:rPr>
              <w:t xml:space="preserve"> </w:t>
            </w:r>
          </w:p>
          <w:p w14:paraId="11091734">
            <w:pPr>
              <w:pStyle w:val="25"/>
              <w:rPr>
                <w:rFonts w:hint="default"/>
              </w:rPr>
            </w:pPr>
            <w:r>
              <w:t>投标人所提供的运维服务保障方案内容完整，对于服务的内容均有详细的介绍，内容清晰，完全满足采购需求的，得</w:t>
            </w:r>
            <w:r>
              <w:rPr>
                <w:rFonts w:hint="default"/>
                <w:lang w:eastAsia="zh-CN"/>
              </w:rPr>
              <w:t>15</w:t>
            </w:r>
            <w:r>
              <w:t>分；</w:t>
            </w:r>
            <w:r>
              <w:rPr>
                <w:rFonts w:hint="default"/>
              </w:rPr>
              <w:t xml:space="preserve"> </w:t>
            </w:r>
          </w:p>
          <w:p w14:paraId="63275B7A">
            <w:pPr>
              <w:pStyle w:val="25"/>
              <w:rPr>
                <w:rFonts w:hint="default"/>
              </w:rPr>
            </w:pPr>
            <w:r>
              <w:t>投标人所提供的运维服务保障方案内容比较完整，对于服务的内容均有较详细的介绍，内容较清晰，满足采购需求的，得1</w:t>
            </w:r>
            <w:r>
              <w:rPr>
                <w:rFonts w:hint="default"/>
                <w:lang w:eastAsia="zh-CN"/>
              </w:rPr>
              <w:t>2</w:t>
            </w:r>
            <w:r>
              <w:t>分；</w:t>
            </w:r>
            <w:r>
              <w:rPr>
                <w:rFonts w:hint="default"/>
              </w:rPr>
              <w:t xml:space="preserve"> </w:t>
            </w:r>
          </w:p>
          <w:p w14:paraId="562F48B9">
            <w:pPr>
              <w:pStyle w:val="25"/>
            </w:pPr>
            <w:r>
              <w:t>投标人所提供的运维服务保障方案内容较完善，对于服务的内容均有一定的介绍，内容不够清晰，基本满足采购需求的，得</w:t>
            </w:r>
            <w:r>
              <w:rPr>
                <w:rFonts w:hint="default"/>
                <w:lang w:eastAsia="zh-CN"/>
              </w:rPr>
              <w:t>6</w:t>
            </w:r>
            <w:r>
              <w:t>分；</w:t>
            </w:r>
          </w:p>
          <w:p w14:paraId="2C15981E">
            <w:pPr>
              <w:pStyle w:val="25"/>
              <w:rPr>
                <w:rFonts w:hint="default"/>
              </w:rPr>
            </w:pPr>
            <w:r>
              <w:t>投标人所提供的运维服务保障方案内容不完整，对于服务的内容有基本的介绍，但内容混乱，只有部分内容能够满足采购需求的，得1分；</w:t>
            </w:r>
            <w:r>
              <w:rPr>
                <w:rFonts w:hint="default"/>
              </w:rPr>
              <w:t xml:space="preserve"> </w:t>
            </w:r>
          </w:p>
          <w:p w14:paraId="04AB728B">
            <w:pPr>
              <w:pStyle w:val="25"/>
              <w:rPr>
                <w:rFonts w:hint="default"/>
              </w:rPr>
            </w:pPr>
            <w:r>
              <w:t>投标人无提供运维服务保障方案或方案完全不能满足采购人项目实际要求，得0分。</w:t>
            </w:r>
          </w:p>
        </w:tc>
      </w:tr>
      <w:tr w14:paraId="2236A36B">
        <w:tc>
          <w:tcPr>
            <w:tcW w:w="1091" w:type="dxa"/>
            <w:vMerge w:val="continue"/>
            <w:vAlign w:val="center"/>
          </w:tcPr>
          <w:p w14:paraId="0A9D079C">
            <w:pPr>
              <w:jc w:val="center"/>
              <w:rPr>
                <w:sz w:val="20"/>
                <w:szCs w:val="20"/>
              </w:rPr>
            </w:pPr>
          </w:p>
        </w:tc>
        <w:tc>
          <w:tcPr>
            <w:tcW w:w="2138" w:type="dxa"/>
            <w:vAlign w:val="center"/>
          </w:tcPr>
          <w:p w14:paraId="5E4DACBE">
            <w:pPr>
              <w:pStyle w:val="25"/>
              <w:jc w:val="center"/>
              <w:rPr>
                <w:rFonts w:hint="default"/>
              </w:rPr>
            </w:pPr>
            <w:r>
              <w:t>应急预案及处理措施 (1</w:t>
            </w:r>
            <w:r>
              <w:rPr>
                <w:rFonts w:hint="eastAsia"/>
                <w:lang w:val="en-US" w:eastAsia="zh-CN"/>
              </w:rPr>
              <w:t>5</w:t>
            </w:r>
            <w:r>
              <w:t>.0分)</w:t>
            </w:r>
          </w:p>
        </w:tc>
        <w:tc>
          <w:tcPr>
            <w:tcW w:w="5076" w:type="dxa"/>
          </w:tcPr>
          <w:p w14:paraId="5354A9FB">
            <w:pPr>
              <w:pStyle w:val="25"/>
            </w:pPr>
            <w:r>
              <w:t>根据各投标人针对“</w:t>
            </w:r>
            <w:r>
              <w:rPr>
                <w:rFonts w:hint="eastAsia"/>
                <w:lang w:val="en-US" w:eastAsia="zh-CN"/>
              </w:rPr>
              <w:t>五</w:t>
            </w:r>
            <w:r>
              <w:t xml:space="preserve">、应急预案及处理要求”的提供的应急预案及处理措施进行评价： </w:t>
            </w:r>
          </w:p>
          <w:p w14:paraId="75D17272">
            <w:pPr>
              <w:pStyle w:val="25"/>
            </w:pPr>
            <w:r>
              <w:t>投标人所提供的应急预案及处理措施内容完整，对于服务的内容均有详细的介绍，内容清晰，完全满足采购需求的采购需求的，得1</w:t>
            </w:r>
            <w:r>
              <w:rPr>
                <w:rFonts w:hint="eastAsia"/>
                <w:lang w:val="en-US" w:eastAsia="zh-CN"/>
              </w:rPr>
              <w:t>5</w:t>
            </w:r>
            <w:r>
              <w:t xml:space="preserve">分； </w:t>
            </w:r>
          </w:p>
          <w:p w14:paraId="27B4BE20">
            <w:pPr>
              <w:pStyle w:val="25"/>
            </w:pPr>
            <w:r>
              <w:t>投标人所提供的应急预案及处理措施内容比较完整，对于服务的内容均有较详细的介绍，内容较清晰，满足采购需求的，得</w:t>
            </w:r>
            <w:r>
              <w:rPr>
                <w:rFonts w:hint="eastAsia"/>
                <w:lang w:val="en-US" w:eastAsia="zh-CN"/>
              </w:rPr>
              <w:t>9</w:t>
            </w:r>
            <w:r>
              <w:t xml:space="preserve">分； </w:t>
            </w:r>
          </w:p>
          <w:p w14:paraId="48AA7BD1">
            <w:pPr>
              <w:pStyle w:val="25"/>
            </w:pPr>
            <w:r>
              <w:t xml:space="preserve">投标人所提供的应急预案及处理措施内容较完善，对于服务的内容均有一定的介绍，内容不够清晰，基本满足采购需求的，得4分； </w:t>
            </w:r>
          </w:p>
          <w:p w14:paraId="627C31E8">
            <w:pPr>
              <w:pStyle w:val="25"/>
            </w:pPr>
            <w:r>
              <w:t xml:space="preserve">投标人所提供的应急预案及处理措施内容不完整，对于服务的内容有基本的介绍，但内容混乱，只有部分内容能够满足采购需求的，得1分； </w:t>
            </w:r>
          </w:p>
          <w:p w14:paraId="7F7BFD12">
            <w:pPr>
              <w:pStyle w:val="25"/>
              <w:rPr>
                <w:rFonts w:hint="default"/>
              </w:rPr>
            </w:pPr>
            <w:r>
              <w:t>投标人无提供应急预案及处理措施或方案完全不能满足采购人项目实际要求，得0分。</w:t>
            </w:r>
          </w:p>
        </w:tc>
      </w:tr>
      <w:tr w14:paraId="68493FE1">
        <w:tc>
          <w:tcPr>
            <w:tcW w:w="1091" w:type="dxa"/>
            <w:vMerge w:val="continue"/>
            <w:vAlign w:val="center"/>
          </w:tcPr>
          <w:p w14:paraId="330C9DC1">
            <w:pPr>
              <w:jc w:val="center"/>
              <w:rPr>
                <w:sz w:val="20"/>
                <w:szCs w:val="20"/>
              </w:rPr>
            </w:pPr>
          </w:p>
        </w:tc>
        <w:tc>
          <w:tcPr>
            <w:tcW w:w="2138" w:type="dxa"/>
            <w:vAlign w:val="center"/>
          </w:tcPr>
          <w:p w14:paraId="19D1B7EB">
            <w:pPr>
              <w:jc w:val="center"/>
              <w:rPr>
                <w:sz w:val="20"/>
                <w:szCs w:val="20"/>
              </w:rPr>
            </w:pPr>
            <w:r>
              <w:rPr>
                <w:rFonts w:hint="eastAsia" w:asciiTheme="minorHAnsi" w:hAnsiTheme="minorHAnsi" w:cstheme="minorBidi"/>
                <w:kern w:val="0"/>
                <w:sz w:val="20"/>
                <w:szCs w:val="20"/>
                <w:lang w:eastAsia="zh-Hans"/>
              </w:rPr>
              <w:t>服务承诺 (</w:t>
            </w:r>
            <w:r>
              <w:rPr>
                <w:rFonts w:hint="eastAsia" w:asciiTheme="minorHAnsi" w:hAnsiTheme="minorHAnsi" w:cstheme="minorBidi"/>
                <w:kern w:val="0"/>
                <w:sz w:val="20"/>
                <w:szCs w:val="20"/>
              </w:rPr>
              <w:t>1</w:t>
            </w:r>
            <w:r>
              <w:rPr>
                <w:rFonts w:hint="eastAsia" w:asciiTheme="minorHAnsi" w:hAnsiTheme="minorHAnsi" w:cstheme="minorBidi"/>
                <w:kern w:val="0"/>
                <w:sz w:val="20"/>
                <w:szCs w:val="20"/>
                <w:lang w:val="en-US" w:eastAsia="zh-CN"/>
              </w:rPr>
              <w:t>1</w:t>
            </w:r>
            <w:r>
              <w:rPr>
                <w:rFonts w:hint="eastAsia" w:asciiTheme="minorHAnsi" w:hAnsiTheme="minorHAnsi" w:cstheme="minorBidi"/>
                <w:kern w:val="0"/>
                <w:sz w:val="20"/>
                <w:szCs w:val="20"/>
                <w:lang w:eastAsia="zh-Hans"/>
              </w:rPr>
              <w:t>.0分)</w:t>
            </w:r>
          </w:p>
        </w:tc>
        <w:tc>
          <w:tcPr>
            <w:tcW w:w="5076" w:type="dxa"/>
          </w:tcPr>
          <w:p w14:paraId="25489A80">
            <w:pPr>
              <w:jc w:val="left"/>
              <w:rPr>
                <w:rFonts w:hint="eastAsia" w:asciiTheme="minorHAnsi" w:hAnsiTheme="minorHAnsi" w:cstheme="minorBidi"/>
                <w:kern w:val="0"/>
                <w:sz w:val="20"/>
                <w:szCs w:val="20"/>
                <w:lang w:eastAsia="zh-Hans"/>
              </w:rPr>
            </w:pPr>
            <w:r>
              <w:rPr>
                <w:sz w:val="20"/>
                <w:szCs w:val="20"/>
              </w:rPr>
              <w:t>根据各投标人针对</w:t>
            </w:r>
            <w:r>
              <w:rPr>
                <w:rFonts w:hint="eastAsia" w:asciiTheme="minorHAnsi" w:hAnsiTheme="minorHAnsi" w:cstheme="minorBidi"/>
                <w:kern w:val="0"/>
                <w:sz w:val="20"/>
                <w:szCs w:val="20"/>
                <w:lang w:eastAsia="zh-Hans"/>
              </w:rPr>
              <w:t>提供的服务承诺（包括响应时间要求</w:t>
            </w:r>
            <w:r>
              <w:rPr>
                <w:rFonts w:hint="eastAsia" w:asciiTheme="minorHAnsi" w:hAnsiTheme="minorHAnsi" w:cstheme="minorBidi"/>
                <w:kern w:val="0"/>
                <w:sz w:val="20"/>
                <w:szCs w:val="20"/>
                <w:lang w:eastAsia="zh-CN"/>
              </w:rPr>
              <w:t>、</w:t>
            </w:r>
            <w:r>
              <w:rPr>
                <w:rFonts w:hint="eastAsia" w:asciiTheme="minorHAnsi" w:hAnsiTheme="minorHAnsi" w:cstheme="minorBidi"/>
                <w:kern w:val="0"/>
                <w:sz w:val="20"/>
                <w:szCs w:val="20"/>
                <w:lang w:eastAsia="zh-Hans"/>
              </w:rPr>
              <w:t>售后服务承诺等）进行评审：</w:t>
            </w:r>
          </w:p>
          <w:p w14:paraId="33CB4102">
            <w:pPr>
              <w:jc w:val="left"/>
              <w:rPr>
                <w:rFonts w:hint="eastAsia" w:asciiTheme="minorHAnsi" w:hAnsiTheme="minorHAnsi" w:cstheme="minorBidi"/>
                <w:kern w:val="0"/>
                <w:sz w:val="20"/>
                <w:szCs w:val="20"/>
                <w:lang w:eastAsia="zh-Hans"/>
              </w:rPr>
            </w:pPr>
            <w:r>
              <w:rPr>
                <w:rFonts w:hint="eastAsia" w:asciiTheme="minorHAnsi" w:hAnsiTheme="minorHAnsi" w:cstheme="minorBidi"/>
                <w:kern w:val="0"/>
                <w:sz w:val="20"/>
                <w:szCs w:val="20"/>
                <w:lang w:eastAsia="zh-Hans"/>
              </w:rPr>
              <w:t>投入的服务设立了专门的服务部门、提供了7*24小时售后服务热线电话，保证售后服务的响应措施详细、承诺到位</w:t>
            </w:r>
            <w:r>
              <w:rPr>
                <w:rFonts w:hint="eastAsia" w:asciiTheme="minorHAnsi" w:hAnsiTheme="minorHAnsi" w:cstheme="minorBidi"/>
                <w:kern w:val="0"/>
                <w:sz w:val="20"/>
                <w:szCs w:val="20"/>
                <w:lang w:eastAsia="zh-CN"/>
              </w:rPr>
              <w:t>，</w:t>
            </w:r>
            <w:r>
              <w:rPr>
                <w:sz w:val="20"/>
                <w:szCs w:val="20"/>
              </w:rPr>
              <w:t>得</w:t>
            </w:r>
            <w:r>
              <w:rPr>
                <w:rFonts w:hint="eastAsia"/>
                <w:sz w:val="20"/>
                <w:szCs w:val="20"/>
                <w:lang w:val="en-US" w:eastAsia="zh-CN"/>
              </w:rPr>
              <w:t>11</w:t>
            </w:r>
            <w:r>
              <w:rPr>
                <w:sz w:val="20"/>
                <w:szCs w:val="20"/>
              </w:rPr>
              <w:t>分；</w:t>
            </w:r>
            <w:r>
              <w:rPr>
                <w:rFonts w:hint="eastAsia" w:asciiTheme="minorHAnsi" w:hAnsiTheme="minorHAnsi" w:cstheme="minorBidi"/>
                <w:kern w:val="0"/>
                <w:sz w:val="20"/>
                <w:szCs w:val="20"/>
                <w:lang w:eastAsia="zh-Hans"/>
              </w:rPr>
              <w:t>；</w:t>
            </w:r>
          </w:p>
          <w:p w14:paraId="450D207D">
            <w:pPr>
              <w:jc w:val="left"/>
              <w:rPr>
                <w:rFonts w:hint="eastAsia" w:asciiTheme="minorHAnsi" w:hAnsiTheme="minorHAnsi" w:cstheme="minorBidi"/>
                <w:kern w:val="0"/>
                <w:sz w:val="20"/>
                <w:szCs w:val="20"/>
                <w:lang w:eastAsia="zh-Hans"/>
              </w:rPr>
            </w:pPr>
            <w:r>
              <w:rPr>
                <w:rFonts w:hint="eastAsia" w:asciiTheme="minorHAnsi" w:hAnsiTheme="minorHAnsi" w:cstheme="minorBidi"/>
                <w:kern w:val="0"/>
                <w:sz w:val="20"/>
                <w:szCs w:val="20"/>
                <w:lang w:eastAsia="zh-Hans"/>
              </w:rPr>
              <w:t>投入的服务设立了专门的服务部门、提供了7*24小时售后服务热线电话，保证售后服务的响应措施较好、承诺较好的</w:t>
            </w:r>
            <w:r>
              <w:rPr>
                <w:rFonts w:hint="eastAsia" w:asciiTheme="minorHAnsi" w:hAnsiTheme="minorHAnsi" w:cstheme="minorBidi"/>
                <w:kern w:val="0"/>
                <w:sz w:val="20"/>
                <w:szCs w:val="20"/>
                <w:lang w:eastAsia="zh-CN"/>
              </w:rPr>
              <w:t>，</w:t>
            </w:r>
            <w:r>
              <w:rPr>
                <w:rFonts w:hint="eastAsia" w:asciiTheme="minorHAnsi" w:hAnsiTheme="minorHAnsi" w:cstheme="minorBidi"/>
                <w:kern w:val="0"/>
                <w:sz w:val="20"/>
                <w:szCs w:val="20"/>
                <w:lang w:val="en-US" w:eastAsia="zh-CN"/>
              </w:rPr>
              <w:t>得7</w:t>
            </w:r>
            <w:r>
              <w:rPr>
                <w:rFonts w:hint="eastAsia" w:asciiTheme="minorHAnsi" w:hAnsiTheme="minorHAnsi" w:cstheme="minorBidi"/>
                <w:kern w:val="0"/>
                <w:sz w:val="20"/>
                <w:szCs w:val="20"/>
                <w:lang w:eastAsia="zh-Hans"/>
              </w:rPr>
              <w:t>分；</w:t>
            </w:r>
          </w:p>
          <w:p w14:paraId="2042DF2E">
            <w:pPr>
              <w:jc w:val="left"/>
              <w:rPr>
                <w:rFonts w:hint="eastAsia" w:asciiTheme="minorHAnsi" w:hAnsiTheme="minorHAnsi" w:cstheme="minorBidi"/>
                <w:kern w:val="0"/>
                <w:sz w:val="20"/>
                <w:szCs w:val="20"/>
                <w:lang w:eastAsia="zh-Hans"/>
              </w:rPr>
            </w:pPr>
            <w:r>
              <w:rPr>
                <w:rFonts w:hint="eastAsia" w:asciiTheme="minorHAnsi" w:hAnsiTheme="minorHAnsi" w:cstheme="minorBidi"/>
                <w:kern w:val="0"/>
                <w:sz w:val="20"/>
                <w:szCs w:val="20"/>
                <w:lang w:eastAsia="zh-Hans"/>
              </w:rPr>
              <w:t>投入的服务技术支持力量一般、或未设立专门的服务部门、或未提供了7*24小时售后服务热线电话，保证售后服务的响应措施简单、承诺一般的</w:t>
            </w:r>
            <w:r>
              <w:rPr>
                <w:rFonts w:hint="eastAsia" w:asciiTheme="minorHAnsi" w:hAnsiTheme="minorHAnsi" w:cstheme="minorBidi"/>
                <w:kern w:val="0"/>
                <w:sz w:val="20"/>
                <w:szCs w:val="20"/>
                <w:lang w:eastAsia="zh-CN"/>
              </w:rPr>
              <w:t>，</w:t>
            </w:r>
            <w:r>
              <w:rPr>
                <w:rFonts w:hint="eastAsia" w:asciiTheme="minorHAnsi" w:hAnsiTheme="minorHAnsi" w:cstheme="minorBidi"/>
                <w:kern w:val="0"/>
                <w:sz w:val="20"/>
                <w:szCs w:val="20"/>
                <w:lang w:val="en-US" w:eastAsia="zh-CN"/>
              </w:rPr>
              <w:t>得3</w:t>
            </w:r>
            <w:r>
              <w:rPr>
                <w:rFonts w:hint="eastAsia" w:asciiTheme="minorHAnsi" w:hAnsiTheme="minorHAnsi" w:cstheme="minorBidi"/>
                <w:kern w:val="0"/>
                <w:sz w:val="20"/>
                <w:szCs w:val="20"/>
                <w:lang w:eastAsia="zh-Hans"/>
              </w:rPr>
              <w:t>分；</w:t>
            </w:r>
          </w:p>
          <w:p w14:paraId="6D5C5D15">
            <w:pPr>
              <w:jc w:val="left"/>
              <w:rPr>
                <w:rFonts w:hint="eastAsia" w:asciiTheme="minorHAnsi" w:hAnsiTheme="minorHAnsi" w:cstheme="minorBidi"/>
                <w:kern w:val="0"/>
                <w:sz w:val="20"/>
                <w:szCs w:val="20"/>
                <w:lang w:eastAsia="zh-CN"/>
              </w:rPr>
            </w:pPr>
            <w:r>
              <w:rPr>
                <w:rFonts w:hint="eastAsia" w:asciiTheme="minorHAnsi" w:hAnsiTheme="minorHAnsi" w:cstheme="minorBidi"/>
                <w:kern w:val="0"/>
                <w:sz w:val="20"/>
                <w:szCs w:val="20"/>
                <w:lang w:eastAsia="zh-Hans"/>
              </w:rPr>
              <w:t>投入服务技术支持力量基本满足用户需求，但未设立专门的服务部门、或未提供了7*24小时售后服务热线电话，或未提供响应措施或承诺的</w:t>
            </w:r>
            <w:r>
              <w:rPr>
                <w:rFonts w:hint="eastAsia" w:asciiTheme="minorHAnsi" w:hAnsiTheme="minorHAnsi" w:cstheme="minorBidi"/>
                <w:kern w:val="0"/>
                <w:sz w:val="20"/>
                <w:szCs w:val="20"/>
                <w:lang w:eastAsia="zh-CN"/>
              </w:rPr>
              <w:t>，</w:t>
            </w:r>
            <w:r>
              <w:rPr>
                <w:rFonts w:hint="eastAsia" w:asciiTheme="minorHAnsi" w:hAnsiTheme="minorHAnsi" w:cstheme="minorBidi"/>
                <w:kern w:val="0"/>
                <w:sz w:val="20"/>
                <w:szCs w:val="20"/>
                <w:lang w:val="en-US" w:eastAsia="zh-CN"/>
              </w:rPr>
              <w:t>得</w:t>
            </w:r>
            <w:r>
              <w:rPr>
                <w:rFonts w:hint="eastAsia" w:asciiTheme="minorHAnsi" w:hAnsiTheme="minorHAnsi" w:cstheme="minorBidi"/>
                <w:kern w:val="0"/>
                <w:sz w:val="20"/>
                <w:szCs w:val="20"/>
                <w:lang w:eastAsia="zh-Hans"/>
              </w:rPr>
              <w:t>6分</w:t>
            </w:r>
            <w:r>
              <w:rPr>
                <w:rFonts w:hint="eastAsia" w:asciiTheme="minorHAnsi" w:hAnsiTheme="minorHAnsi" w:cstheme="minorBidi"/>
                <w:kern w:val="0"/>
                <w:sz w:val="20"/>
                <w:szCs w:val="20"/>
                <w:lang w:eastAsia="zh-CN"/>
              </w:rPr>
              <w:t>；</w:t>
            </w:r>
          </w:p>
          <w:p w14:paraId="35D3569D">
            <w:pPr>
              <w:jc w:val="left"/>
              <w:rPr>
                <w:sz w:val="20"/>
                <w:szCs w:val="20"/>
              </w:rPr>
            </w:pPr>
            <w:r>
              <w:rPr>
                <w:rFonts w:hint="eastAsia" w:asciiTheme="minorHAnsi" w:hAnsiTheme="minorHAnsi" w:cstheme="minorBidi"/>
                <w:kern w:val="0"/>
                <w:sz w:val="20"/>
                <w:szCs w:val="20"/>
                <w:lang w:eastAsia="zh-Hans"/>
              </w:rPr>
              <w:t>未提供相关内容</w:t>
            </w:r>
            <w:r>
              <w:rPr>
                <w:rFonts w:hint="eastAsia" w:asciiTheme="minorHAnsi" w:hAnsiTheme="minorHAnsi" w:cstheme="minorBidi"/>
                <w:kern w:val="0"/>
                <w:sz w:val="20"/>
                <w:szCs w:val="20"/>
                <w:lang w:eastAsia="zh-CN"/>
              </w:rPr>
              <w:t>，</w:t>
            </w:r>
            <w:r>
              <w:rPr>
                <w:sz w:val="20"/>
                <w:szCs w:val="20"/>
              </w:rPr>
              <w:t>得0分</w:t>
            </w:r>
            <w:r>
              <w:rPr>
                <w:rFonts w:hint="eastAsia" w:asciiTheme="minorHAnsi" w:hAnsiTheme="minorHAnsi" w:cstheme="minorBidi"/>
                <w:kern w:val="0"/>
                <w:sz w:val="20"/>
                <w:szCs w:val="20"/>
                <w:lang w:eastAsia="zh-Hans"/>
              </w:rPr>
              <w:t>。</w:t>
            </w:r>
          </w:p>
        </w:tc>
      </w:tr>
      <w:tr w14:paraId="5126B122">
        <w:trPr>
          <w:trHeight w:val="2798" w:hRule="atLeast"/>
        </w:trPr>
        <w:tc>
          <w:tcPr>
            <w:tcW w:w="1091" w:type="dxa"/>
            <w:vMerge w:val="restart"/>
            <w:vAlign w:val="center"/>
          </w:tcPr>
          <w:p w14:paraId="3697D589">
            <w:pPr>
              <w:pStyle w:val="25"/>
              <w:jc w:val="center"/>
              <w:rPr>
                <w:rFonts w:hint="default"/>
              </w:rPr>
            </w:pPr>
            <w:r>
              <w:t>商务部分</w:t>
            </w:r>
          </w:p>
        </w:tc>
        <w:tc>
          <w:tcPr>
            <w:tcW w:w="2138" w:type="dxa"/>
            <w:vAlign w:val="center"/>
          </w:tcPr>
          <w:p w14:paraId="73E0A386">
            <w:pPr>
              <w:pStyle w:val="25"/>
              <w:jc w:val="center"/>
              <w:rPr>
                <w:rFonts w:hint="default"/>
              </w:rPr>
            </w:pPr>
            <w:r>
              <w:t>同类项目业绩  (</w:t>
            </w:r>
            <w:r>
              <w:rPr>
                <w:lang w:eastAsia="zh-CN"/>
              </w:rPr>
              <w:t>1</w:t>
            </w:r>
            <w:r>
              <w:rPr>
                <w:rFonts w:hint="eastAsia"/>
                <w:lang w:val="en-US" w:eastAsia="zh-CN"/>
              </w:rPr>
              <w:t>2</w:t>
            </w:r>
            <w:r>
              <w:rPr>
                <w:lang w:eastAsia="zh-CN"/>
              </w:rPr>
              <w:t>.0</w:t>
            </w:r>
            <w:r>
              <w:t>分)</w:t>
            </w:r>
          </w:p>
        </w:tc>
        <w:tc>
          <w:tcPr>
            <w:tcW w:w="5076" w:type="dxa"/>
          </w:tcPr>
          <w:p w14:paraId="0EAECA73">
            <w:pPr>
              <w:pStyle w:val="25"/>
            </w:pPr>
            <w:r>
              <w:t>根据投标人自2021年1月1日以来（以合同签订时间为准）承接过同类合同业绩（同类业绩指合同内容中包含运维相关内容）的情况进行评分，每个业绩得</w:t>
            </w:r>
            <w:r>
              <w:rPr>
                <w:rFonts w:hint="eastAsia"/>
                <w:lang w:val="en-US" w:eastAsia="zh-CN"/>
              </w:rPr>
              <w:t>3</w:t>
            </w:r>
            <w:r>
              <w:t>分；本项满分</w:t>
            </w:r>
            <w:r>
              <w:rPr>
                <w:rFonts w:hint="eastAsia"/>
                <w:lang w:val="en-US" w:eastAsia="zh-CN"/>
              </w:rPr>
              <w:t>12</w:t>
            </w:r>
            <w:r>
              <w:t xml:space="preserve">分。 </w:t>
            </w:r>
          </w:p>
          <w:p w14:paraId="62507D1A">
            <w:pPr>
              <w:pStyle w:val="25"/>
              <w:rPr>
                <w:rFonts w:hint="default"/>
              </w:rPr>
            </w:pPr>
            <w:r>
              <w:t>注：投标文件中须提供项目合同全件复印件，或者合同关键页复印件（合同关键页应当体现合同当事人名称、合同内容、合同签章处及合同签订时间等关键信息）以上复印件均需加盖投标人公章，未提供或提供的资料不符合要求的则不得分。</w:t>
            </w:r>
          </w:p>
        </w:tc>
      </w:tr>
      <w:tr w14:paraId="3BDDAD7D">
        <w:tc>
          <w:tcPr>
            <w:tcW w:w="1091" w:type="dxa"/>
            <w:vMerge w:val="continue"/>
            <w:vAlign w:val="center"/>
          </w:tcPr>
          <w:p w14:paraId="6811EA0E">
            <w:pPr>
              <w:jc w:val="center"/>
              <w:rPr>
                <w:sz w:val="20"/>
                <w:szCs w:val="20"/>
              </w:rPr>
            </w:pPr>
          </w:p>
        </w:tc>
        <w:tc>
          <w:tcPr>
            <w:tcW w:w="2138" w:type="dxa"/>
            <w:vAlign w:val="center"/>
          </w:tcPr>
          <w:p w14:paraId="7F9DB44B">
            <w:pPr>
              <w:pStyle w:val="25"/>
              <w:jc w:val="center"/>
              <w:rPr>
                <w:rFonts w:hint="default"/>
              </w:rPr>
            </w:pPr>
            <w:r>
              <w:t>技术服务队伍 (</w:t>
            </w:r>
            <w:r>
              <w:rPr>
                <w:rFonts w:hint="eastAsia"/>
                <w:lang w:val="en-US" w:eastAsia="zh-CN"/>
              </w:rPr>
              <w:t>22</w:t>
            </w:r>
            <w:r>
              <w:t>.0分)</w:t>
            </w:r>
          </w:p>
        </w:tc>
        <w:tc>
          <w:tcPr>
            <w:tcW w:w="5076" w:type="dxa"/>
            <w:vAlign w:val="center"/>
          </w:tcPr>
          <w:p w14:paraId="613A33C8">
            <w:pPr>
              <w:spacing w:line="240" w:lineRule="auto"/>
              <w:rPr>
                <w:rFonts w:asciiTheme="minorHAnsi" w:hAnsiTheme="minorHAnsi" w:cstheme="minorBidi"/>
                <w:kern w:val="0"/>
                <w:sz w:val="20"/>
                <w:szCs w:val="20"/>
                <w:lang w:eastAsia="zh-Hans"/>
              </w:rPr>
            </w:pPr>
            <w:r>
              <w:rPr>
                <w:rFonts w:hint="eastAsia" w:ascii="宋体" w:hAnsi="宋体" w:cs="宋体"/>
                <w:sz w:val="20"/>
                <w:szCs w:val="20"/>
              </w:rPr>
              <w:t>1</w:t>
            </w:r>
            <w:r>
              <w:rPr>
                <w:rFonts w:hint="eastAsia" w:asciiTheme="minorHAnsi" w:hAnsiTheme="minorHAnsi" w:cstheme="minorBidi"/>
                <w:kern w:val="0"/>
                <w:sz w:val="20"/>
                <w:szCs w:val="20"/>
                <w:lang w:eastAsia="zh-Hans"/>
              </w:rPr>
              <w:t>.投标人（含其分支机构）拟投入本项目的项目经理（仅一人，技术负责人及技术人员除外）具有：</w:t>
            </w:r>
          </w:p>
          <w:p w14:paraId="6A27245E">
            <w:pPr>
              <w:spacing w:line="240" w:lineRule="auto"/>
              <w:rPr>
                <w:rFonts w:asciiTheme="minorHAnsi" w:hAnsiTheme="minorHAnsi" w:cstheme="minorBidi"/>
                <w:kern w:val="0"/>
                <w:sz w:val="20"/>
                <w:szCs w:val="20"/>
                <w:lang w:eastAsia="zh-Hans"/>
              </w:rPr>
            </w:pPr>
            <w:r>
              <w:rPr>
                <w:rFonts w:hint="eastAsia" w:asciiTheme="minorHAnsi" w:hAnsiTheme="minorHAnsi" w:cstheme="minorBidi"/>
                <w:kern w:val="0"/>
                <w:sz w:val="20"/>
                <w:szCs w:val="20"/>
                <w:lang w:eastAsia="zh-Hans"/>
              </w:rPr>
              <w:t>①人力资源和社会保障部门（含原人事部门）颁发的系统分析师证书；</w:t>
            </w:r>
          </w:p>
          <w:p w14:paraId="168CB523">
            <w:pPr>
              <w:spacing w:line="240" w:lineRule="auto"/>
              <w:rPr>
                <w:rFonts w:asciiTheme="minorHAnsi" w:hAnsiTheme="minorHAnsi" w:cstheme="minorBidi"/>
                <w:kern w:val="0"/>
                <w:sz w:val="20"/>
                <w:szCs w:val="20"/>
                <w:lang w:eastAsia="zh-Hans"/>
              </w:rPr>
            </w:pPr>
            <w:r>
              <w:rPr>
                <w:rFonts w:hint="eastAsia" w:asciiTheme="minorHAnsi" w:hAnsiTheme="minorHAnsi" w:cstheme="minorBidi"/>
                <w:kern w:val="0"/>
                <w:sz w:val="20"/>
                <w:szCs w:val="20"/>
                <w:lang w:eastAsia="zh-Hans"/>
              </w:rPr>
              <w:t>②人力资源和社会保障部门（含原人事部门）颁发的信息系统项目管理师证书；</w:t>
            </w:r>
          </w:p>
          <w:p w14:paraId="3AD8EAC2">
            <w:pPr>
              <w:spacing w:line="240" w:lineRule="auto"/>
              <w:rPr>
                <w:rFonts w:asciiTheme="minorHAnsi" w:hAnsiTheme="minorHAnsi" w:cstheme="minorBidi"/>
                <w:kern w:val="0"/>
                <w:sz w:val="20"/>
                <w:szCs w:val="20"/>
                <w:lang w:eastAsia="zh-Hans"/>
              </w:rPr>
            </w:pPr>
            <w:r>
              <w:rPr>
                <w:rFonts w:hint="eastAsia" w:asciiTheme="minorHAnsi" w:hAnsiTheme="minorHAnsi" w:cstheme="minorBidi"/>
                <w:kern w:val="0"/>
                <w:sz w:val="20"/>
                <w:szCs w:val="20"/>
                <w:lang w:eastAsia="zh-Hans"/>
              </w:rPr>
              <w:t>③人力资源和社会保障部门（含原人事部门）颁发的正高级或高级工程师证书（信息通信技术类）；</w:t>
            </w:r>
          </w:p>
          <w:p w14:paraId="17C94C25">
            <w:pPr>
              <w:spacing w:line="240" w:lineRule="auto"/>
              <w:rPr>
                <w:rFonts w:asciiTheme="minorHAnsi" w:hAnsiTheme="minorHAnsi" w:cstheme="minorBidi"/>
                <w:kern w:val="0"/>
                <w:sz w:val="20"/>
                <w:szCs w:val="20"/>
                <w:lang w:eastAsia="zh-Hans"/>
              </w:rPr>
            </w:pPr>
            <w:r>
              <w:rPr>
                <w:rFonts w:hint="eastAsia" w:asciiTheme="minorHAnsi" w:hAnsiTheme="minorHAnsi" w:cstheme="minorBidi"/>
                <w:kern w:val="0"/>
                <w:sz w:val="20"/>
                <w:szCs w:val="20"/>
                <w:lang w:eastAsia="zh-Hans"/>
              </w:rPr>
              <w:t>④工业和信息化部门（含原信息产业部门）颁发的物联网工程师证书。</w:t>
            </w:r>
          </w:p>
          <w:p w14:paraId="21B1C1ED">
            <w:pPr>
              <w:spacing w:line="240" w:lineRule="auto"/>
              <w:rPr>
                <w:rFonts w:asciiTheme="minorHAnsi" w:hAnsiTheme="minorHAnsi" w:cstheme="minorBidi"/>
                <w:kern w:val="0"/>
                <w:sz w:val="20"/>
                <w:szCs w:val="20"/>
                <w:lang w:eastAsia="zh-Hans"/>
              </w:rPr>
            </w:pPr>
            <w:r>
              <w:rPr>
                <w:rFonts w:hint="eastAsia" w:asciiTheme="minorHAnsi" w:hAnsiTheme="minorHAnsi" w:cstheme="minorBidi"/>
                <w:kern w:val="0"/>
                <w:sz w:val="20"/>
                <w:szCs w:val="20"/>
                <w:lang w:eastAsia="zh-Hans"/>
              </w:rPr>
              <w:t>以上每个证书得</w:t>
            </w:r>
            <w:r>
              <w:rPr>
                <w:rFonts w:hint="eastAsia" w:asciiTheme="minorHAnsi" w:hAnsiTheme="minorHAnsi" w:cstheme="minorBidi"/>
                <w:kern w:val="0"/>
                <w:sz w:val="20"/>
                <w:szCs w:val="20"/>
                <w:lang w:val="en-US" w:eastAsia="zh-CN"/>
              </w:rPr>
              <w:t>4</w:t>
            </w:r>
            <w:r>
              <w:rPr>
                <w:rFonts w:hint="eastAsia" w:asciiTheme="minorHAnsi" w:hAnsiTheme="minorHAnsi" w:cstheme="minorBidi"/>
                <w:kern w:val="0"/>
                <w:sz w:val="20"/>
                <w:szCs w:val="20"/>
                <w:lang w:eastAsia="zh-Hans"/>
              </w:rPr>
              <w:t>分，满分</w:t>
            </w:r>
            <w:r>
              <w:rPr>
                <w:rFonts w:hint="eastAsia" w:asciiTheme="minorHAnsi" w:hAnsiTheme="minorHAnsi" w:cstheme="minorBidi"/>
                <w:kern w:val="0"/>
                <w:sz w:val="20"/>
                <w:szCs w:val="20"/>
                <w:lang w:val="en-US" w:eastAsia="zh-CN"/>
              </w:rPr>
              <w:t>16</w:t>
            </w:r>
            <w:r>
              <w:rPr>
                <w:rFonts w:hint="eastAsia" w:asciiTheme="minorHAnsi" w:hAnsiTheme="minorHAnsi" w:cstheme="minorBidi"/>
                <w:kern w:val="0"/>
                <w:sz w:val="20"/>
                <w:szCs w:val="20"/>
                <w:lang w:eastAsia="zh-Hans"/>
              </w:rPr>
              <w:t>分。</w:t>
            </w:r>
          </w:p>
          <w:p w14:paraId="096170F8">
            <w:pPr>
              <w:spacing w:line="240" w:lineRule="auto"/>
              <w:rPr>
                <w:rFonts w:asciiTheme="minorHAnsi" w:hAnsiTheme="minorHAnsi" w:cstheme="minorBidi"/>
                <w:kern w:val="0"/>
                <w:sz w:val="20"/>
                <w:szCs w:val="20"/>
                <w:lang w:eastAsia="zh-Hans"/>
              </w:rPr>
            </w:pPr>
            <w:r>
              <w:rPr>
                <w:rFonts w:hint="eastAsia" w:asciiTheme="minorHAnsi" w:hAnsiTheme="minorHAnsi" w:cstheme="minorBidi"/>
                <w:kern w:val="0"/>
                <w:sz w:val="20"/>
                <w:szCs w:val="20"/>
                <w:lang w:eastAsia="zh-Hans"/>
              </w:rPr>
              <w:t>2.拟投入本项目的团队人员（除项目负责人外）具有：</w:t>
            </w:r>
          </w:p>
          <w:p w14:paraId="0841325B">
            <w:pPr>
              <w:spacing w:line="240" w:lineRule="auto"/>
              <w:rPr>
                <w:rFonts w:asciiTheme="minorHAnsi" w:hAnsiTheme="minorHAnsi" w:cstheme="minorBidi"/>
                <w:kern w:val="0"/>
                <w:sz w:val="20"/>
                <w:szCs w:val="20"/>
                <w:lang w:eastAsia="zh-Hans"/>
              </w:rPr>
            </w:pPr>
            <w:r>
              <w:rPr>
                <w:rFonts w:hint="eastAsia" w:asciiTheme="minorHAnsi" w:hAnsiTheme="minorHAnsi" w:cstheme="minorBidi"/>
                <w:kern w:val="0"/>
                <w:sz w:val="20"/>
                <w:szCs w:val="20"/>
                <w:lang w:eastAsia="zh-Hans"/>
              </w:rPr>
              <w:t>①具有注册信息安全工程师证书的得</w:t>
            </w:r>
            <w:r>
              <w:rPr>
                <w:rFonts w:hint="eastAsia" w:asciiTheme="minorHAnsi" w:hAnsiTheme="minorHAnsi" w:cstheme="minorBidi"/>
                <w:kern w:val="0"/>
                <w:sz w:val="20"/>
                <w:szCs w:val="20"/>
                <w:lang w:val="en-US" w:eastAsia="zh-CN"/>
              </w:rPr>
              <w:t>3</w:t>
            </w:r>
            <w:r>
              <w:rPr>
                <w:rFonts w:hint="eastAsia" w:asciiTheme="minorHAnsi" w:hAnsiTheme="minorHAnsi" w:cstheme="minorBidi"/>
                <w:kern w:val="0"/>
                <w:sz w:val="20"/>
                <w:szCs w:val="20"/>
                <w:lang w:eastAsia="zh-Hans"/>
              </w:rPr>
              <w:t>分，满分</w:t>
            </w:r>
            <w:r>
              <w:rPr>
                <w:rFonts w:hint="eastAsia" w:asciiTheme="minorHAnsi" w:hAnsiTheme="minorHAnsi" w:cstheme="minorBidi"/>
                <w:kern w:val="0"/>
                <w:sz w:val="20"/>
                <w:szCs w:val="20"/>
                <w:lang w:val="en-US" w:eastAsia="zh-CN"/>
              </w:rPr>
              <w:t>3</w:t>
            </w:r>
            <w:r>
              <w:rPr>
                <w:rFonts w:hint="eastAsia" w:asciiTheme="minorHAnsi" w:hAnsiTheme="minorHAnsi" w:cstheme="minorBidi"/>
                <w:kern w:val="0"/>
                <w:sz w:val="20"/>
                <w:szCs w:val="20"/>
                <w:lang w:eastAsia="zh-Hans"/>
              </w:rPr>
              <w:t>分；</w:t>
            </w:r>
          </w:p>
          <w:p w14:paraId="73948401">
            <w:pPr>
              <w:spacing w:line="240" w:lineRule="auto"/>
              <w:rPr>
                <w:rFonts w:asciiTheme="minorHAnsi" w:hAnsiTheme="minorHAnsi" w:cstheme="minorBidi"/>
                <w:kern w:val="0"/>
                <w:sz w:val="20"/>
                <w:szCs w:val="20"/>
                <w:lang w:eastAsia="zh-Hans"/>
              </w:rPr>
            </w:pPr>
            <w:r>
              <w:rPr>
                <w:rFonts w:hint="eastAsia" w:asciiTheme="minorHAnsi" w:hAnsiTheme="minorHAnsi" w:cstheme="minorBidi"/>
                <w:kern w:val="0"/>
                <w:sz w:val="20"/>
                <w:szCs w:val="20"/>
                <w:lang w:eastAsia="zh-Hans"/>
              </w:rPr>
              <w:t>②具有</w:t>
            </w:r>
            <w:r>
              <w:rPr>
                <w:rFonts w:hint="eastAsia" w:asciiTheme="minorHAnsi" w:hAnsiTheme="minorHAnsi" w:cstheme="minorBidi"/>
                <w:kern w:val="0"/>
                <w:sz w:val="20"/>
                <w:szCs w:val="20"/>
                <w:lang w:eastAsia="zh-CN"/>
              </w:rPr>
              <w:t>中级或以上</w:t>
            </w:r>
            <w:r>
              <w:rPr>
                <w:rFonts w:hint="eastAsia" w:asciiTheme="minorHAnsi" w:hAnsiTheme="minorHAnsi" w:cstheme="minorBidi"/>
                <w:kern w:val="0"/>
                <w:sz w:val="20"/>
                <w:szCs w:val="20"/>
                <w:lang w:eastAsia="zh-Hans"/>
              </w:rPr>
              <w:t>网络工程师证书的得</w:t>
            </w:r>
            <w:r>
              <w:rPr>
                <w:rFonts w:hint="eastAsia" w:asciiTheme="minorHAnsi" w:hAnsiTheme="minorHAnsi" w:cstheme="minorBidi"/>
                <w:kern w:val="0"/>
                <w:sz w:val="20"/>
                <w:szCs w:val="20"/>
                <w:lang w:val="en-US" w:eastAsia="zh-CN"/>
              </w:rPr>
              <w:t>3</w:t>
            </w:r>
            <w:r>
              <w:rPr>
                <w:rFonts w:hint="eastAsia" w:asciiTheme="minorHAnsi" w:hAnsiTheme="minorHAnsi" w:cstheme="minorBidi"/>
                <w:kern w:val="0"/>
                <w:sz w:val="20"/>
                <w:szCs w:val="20"/>
                <w:lang w:eastAsia="zh-Hans"/>
              </w:rPr>
              <w:t>分，满分</w:t>
            </w:r>
            <w:r>
              <w:rPr>
                <w:rFonts w:hint="eastAsia" w:asciiTheme="minorHAnsi" w:hAnsiTheme="minorHAnsi" w:cstheme="minorBidi"/>
                <w:kern w:val="0"/>
                <w:sz w:val="20"/>
                <w:szCs w:val="20"/>
                <w:lang w:val="en-US" w:eastAsia="zh-CN"/>
              </w:rPr>
              <w:t>3</w:t>
            </w:r>
            <w:r>
              <w:rPr>
                <w:rFonts w:hint="eastAsia" w:asciiTheme="minorHAnsi" w:hAnsiTheme="minorHAnsi" w:cstheme="minorBidi"/>
                <w:kern w:val="0"/>
                <w:sz w:val="20"/>
                <w:szCs w:val="20"/>
                <w:lang w:eastAsia="zh-Hans"/>
              </w:rPr>
              <w:t>分；</w:t>
            </w:r>
          </w:p>
          <w:p w14:paraId="0D3B8155">
            <w:pPr>
              <w:spacing w:line="240" w:lineRule="auto"/>
              <w:rPr>
                <w:rFonts w:asciiTheme="minorHAnsi" w:hAnsiTheme="minorHAnsi" w:cstheme="minorBidi"/>
                <w:kern w:val="0"/>
                <w:sz w:val="20"/>
                <w:szCs w:val="20"/>
                <w:lang w:eastAsia="zh-Hans"/>
              </w:rPr>
            </w:pPr>
            <w:r>
              <w:rPr>
                <w:rFonts w:hint="eastAsia" w:asciiTheme="minorHAnsi" w:hAnsiTheme="minorHAnsi" w:cstheme="minorBidi"/>
                <w:kern w:val="0"/>
                <w:sz w:val="20"/>
                <w:szCs w:val="20"/>
                <w:lang w:eastAsia="zh-Hans"/>
              </w:rPr>
              <w:t>每人提供一个证件，一人具备多证，不重复计分，本小项满分</w:t>
            </w:r>
            <w:r>
              <w:rPr>
                <w:rFonts w:hint="eastAsia" w:asciiTheme="minorHAnsi" w:hAnsiTheme="minorHAnsi" w:cstheme="minorBidi"/>
                <w:kern w:val="0"/>
                <w:sz w:val="20"/>
                <w:szCs w:val="20"/>
                <w:lang w:val="en-US" w:eastAsia="zh-CN"/>
              </w:rPr>
              <w:t>6</w:t>
            </w:r>
            <w:r>
              <w:rPr>
                <w:rFonts w:hint="eastAsia" w:asciiTheme="minorHAnsi" w:hAnsiTheme="minorHAnsi" w:cstheme="minorBidi"/>
                <w:kern w:val="0"/>
                <w:sz w:val="20"/>
                <w:szCs w:val="20"/>
                <w:lang w:eastAsia="zh-Hans"/>
              </w:rPr>
              <w:t>分。</w:t>
            </w:r>
          </w:p>
          <w:p w14:paraId="0ED37640">
            <w:pPr>
              <w:spacing w:line="240" w:lineRule="auto"/>
              <w:rPr>
                <w:rFonts w:ascii="宋体" w:hAnsi="宋体" w:cs="宋体"/>
                <w:sz w:val="20"/>
                <w:szCs w:val="20"/>
              </w:rPr>
            </w:pPr>
            <w:r>
              <w:rPr>
                <w:rFonts w:hint="eastAsia" w:asciiTheme="minorHAnsi" w:hAnsiTheme="minorHAnsi" w:cstheme="minorBidi"/>
                <w:kern w:val="0"/>
                <w:sz w:val="20"/>
                <w:szCs w:val="20"/>
                <w:lang w:eastAsia="zh-Hans"/>
              </w:rPr>
              <w:t>注：需提供证书及投标人或其分支机构为</w:t>
            </w:r>
            <w:r>
              <w:rPr>
                <w:rFonts w:hint="eastAsia" w:asciiTheme="minorHAnsi" w:hAnsiTheme="minorHAnsi" w:cstheme="minorBidi"/>
                <w:kern w:val="0"/>
                <w:sz w:val="20"/>
                <w:szCs w:val="20"/>
                <w:lang w:val="en-US" w:eastAsia="zh-CN"/>
              </w:rPr>
              <w:t>人员</w:t>
            </w:r>
            <w:r>
              <w:rPr>
                <w:rFonts w:hint="eastAsia" w:asciiTheme="minorHAnsi" w:hAnsiTheme="minorHAnsi" w:cstheme="minorBidi"/>
                <w:kern w:val="0"/>
                <w:sz w:val="20"/>
                <w:szCs w:val="20"/>
                <w:lang w:eastAsia="zh-Hans"/>
              </w:rPr>
              <w:t>购买</w:t>
            </w:r>
            <w:r>
              <w:rPr>
                <w:rFonts w:hint="eastAsia" w:asciiTheme="minorHAnsi" w:hAnsiTheme="minorHAnsi" w:cstheme="minorBidi"/>
                <w:kern w:val="0"/>
                <w:sz w:val="20"/>
                <w:szCs w:val="20"/>
                <w:lang w:val="en-US" w:eastAsia="zh-Hans"/>
              </w:rPr>
              <w:t>的</w:t>
            </w:r>
            <w:r>
              <w:rPr>
                <w:rFonts w:hint="eastAsia" w:asciiTheme="minorHAnsi" w:hAnsiTheme="minorHAnsi" w:cstheme="minorBidi"/>
                <w:kern w:val="0"/>
                <w:sz w:val="20"/>
                <w:szCs w:val="20"/>
                <w:lang w:eastAsia="zh-Hans"/>
              </w:rPr>
              <w:t xml:space="preserve">投标截止日前任意1个月的社保证明复印件加盖公章，未提供不得分。 </w:t>
            </w:r>
          </w:p>
        </w:tc>
      </w:tr>
      <w:tr w14:paraId="6B40D23B">
        <w:tc>
          <w:tcPr>
            <w:tcW w:w="1091" w:type="dxa"/>
            <w:vAlign w:val="center"/>
          </w:tcPr>
          <w:p w14:paraId="2D74677A">
            <w:pPr>
              <w:pStyle w:val="25"/>
              <w:jc w:val="center"/>
              <w:rPr>
                <w:rFonts w:hint="default"/>
              </w:rPr>
            </w:pPr>
            <w:r>
              <w:t>投标报价</w:t>
            </w:r>
          </w:p>
        </w:tc>
        <w:tc>
          <w:tcPr>
            <w:tcW w:w="2138" w:type="dxa"/>
            <w:vAlign w:val="center"/>
          </w:tcPr>
          <w:p w14:paraId="5E258E1F">
            <w:pPr>
              <w:pStyle w:val="25"/>
              <w:jc w:val="center"/>
              <w:rPr>
                <w:rFonts w:hint="default"/>
              </w:rPr>
            </w:pPr>
            <w:r>
              <w:t>投标报价得分 (10.0分)</w:t>
            </w:r>
          </w:p>
        </w:tc>
        <w:tc>
          <w:tcPr>
            <w:tcW w:w="5076" w:type="dxa"/>
          </w:tcPr>
          <w:p w14:paraId="42600F75">
            <w:pPr>
              <w:pStyle w:val="25"/>
              <w:rPr>
                <w:rFonts w:hint="default"/>
                <w:lang w:eastAsia="zh-CN"/>
              </w:rPr>
            </w:pPr>
            <w:r>
              <w:t>投标报价得分＝（评标基准价/投标报价）×价格分值</w:t>
            </w:r>
            <w:r>
              <w:rPr>
                <w:lang w:eastAsia="zh-CN"/>
              </w:rPr>
              <w:t>（分数出现小数点，保留小数点后 2 位，从小数点后第 3 位四舍五入）</w:t>
            </w:r>
          </w:p>
          <w:p w14:paraId="0BC35DBD">
            <w:pPr>
              <w:pStyle w:val="25"/>
              <w:rPr>
                <w:rFonts w:hint="default"/>
              </w:rPr>
            </w:pPr>
            <w:r>
              <w:t>注：评标基准价</w:t>
            </w:r>
            <w:r>
              <w:rPr>
                <w:rFonts w:hint="eastAsia"/>
                <w:lang w:val="en-US" w:eastAsia="zh-CN"/>
              </w:rPr>
              <w:t>为</w:t>
            </w:r>
            <w:r>
              <w:t>满足</w:t>
            </w:r>
            <w:r>
              <w:rPr>
                <w:lang w:eastAsia="zh-CN"/>
              </w:rPr>
              <w:t>采购需求</w:t>
            </w:r>
            <w:r>
              <w:t>要求且投标价格最低的投标报价为评标基准价。最低报价不是中标的唯一依据。因落实采购政策进行价格调整的，以调整后的价格计算评标基准价和投标报价。</w:t>
            </w:r>
          </w:p>
        </w:tc>
      </w:tr>
    </w:tbl>
    <w:p w14:paraId="7BD50B0F">
      <w:pPr>
        <w:pStyle w:val="4"/>
        <w:numPr>
          <w:ilvl w:val="0"/>
          <w:numId w:val="0"/>
        </w:numPr>
        <w:bidi w:val="0"/>
        <w:outlineLvl w:val="0"/>
        <w:rPr>
          <w:rFonts w:hint="default"/>
          <w:sz w:val="20"/>
          <w:szCs w:val="20"/>
          <w:lang w:val="en-US" w:eastAsia="zh-CN"/>
        </w:rPr>
      </w:pPr>
    </w:p>
    <w:sectPr>
      <w:footerReference r:id="rId3"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0000000" w:usb3="00000000" w:csb0="2000019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PMingLiU">
    <w:altName w:val="宋体-繁"/>
    <w:panose1 w:val="02020500000000000000"/>
    <w:charset w:val="88"/>
    <w:family w:val="roman"/>
    <w:pitch w:val="default"/>
    <w:sig w:usb0="00000000" w:usb1="00000000" w:usb2="00000016" w:usb3="00000000" w:csb0="00100001" w:csb1="00000000"/>
  </w:font>
  <w:font w:name="Tahoma">
    <w:panose1 w:val="020B0604030504040204"/>
    <w:charset w:val="00"/>
    <w:family w:val="auto"/>
    <w:pitch w:val="default"/>
    <w:sig w:usb0="E1002AFF" w:usb1="C000605B" w:usb2="00000029" w:usb3="00000000" w:csb0="200101FF" w:csb1="20280000"/>
  </w:font>
  <w:font w:name="方正小标宋_GBK">
    <w:altName w:val="汉仪书宋二KW"/>
    <w:panose1 w:val="02000000000000000000"/>
    <w:charset w:val="86"/>
    <w:family w:val="auto"/>
    <w:pitch w:val="default"/>
    <w:sig w:usb0="00000000" w:usb1="00000000" w:usb2="00082016"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2CC1B">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16C1C7">
                          <w:pPr>
                            <w:pStyle w:val="1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E16C1C7">
                    <w:pPr>
                      <w:pStyle w:val="1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306A96"/>
    <w:multiLevelType w:val="multilevel"/>
    <w:tmpl w:val="89306A96"/>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
    <w:nsid w:val="FC7EBE10"/>
    <w:multiLevelType w:val="singleLevel"/>
    <w:tmpl w:val="FC7EBE10"/>
    <w:lvl w:ilvl="0" w:tentative="0">
      <w:start w:val="1"/>
      <w:numFmt w:val="chineseCounting"/>
      <w:suff w:val="nothing"/>
      <w:lvlText w:val="%1、"/>
      <w:lvlJc w:val="left"/>
      <w:rPr>
        <w:rFonts w:hint="eastAsia"/>
      </w:rPr>
    </w:lvl>
  </w:abstractNum>
  <w:abstractNum w:abstractNumId="2">
    <w:nsid w:val="419E27A0"/>
    <w:multiLevelType w:val="singleLevel"/>
    <w:tmpl w:val="419E27A0"/>
    <w:lvl w:ilvl="0" w:tentative="0">
      <w:start w:val="1"/>
      <w:numFmt w:val="decimal"/>
      <w:suff w:val="nothing"/>
      <w:lvlText w:val="%1．"/>
      <w:lvlJc w:val="left"/>
      <w:pPr>
        <w:ind w:left="0" w:firstLine="400"/>
      </w:pPr>
      <w:rPr>
        <w:rFonts w:hint="default"/>
      </w:rPr>
    </w:lvl>
  </w:abstractNum>
  <w:abstractNum w:abstractNumId="3">
    <w:nsid w:val="58393BDD"/>
    <w:multiLevelType w:val="multilevel"/>
    <w:tmpl w:val="58393BDD"/>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4">
    <w:nsid w:val="6DE9BBFF"/>
    <w:multiLevelType w:val="singleLevel"/>
    <w:tmpl w:val="6DE9BBFF"/>
    <w:lvl w:ilvl="0" w:tentative="0">
      <w:start w:val="1"/>
      <w:numFmt w:val="decimal"/>
      <w:suff w:val="nothing"/>
      <w:lvlText w:val="%1．"/>
      <w:lvlJc w:val="left"/>
      <w:pPr>
        <w:ind w:left="0" w:firstLine="400"/>
      </w:pPr>
      <w:rPr>
        <w:rFont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JhNzgzZjhjMmI5MmYxNTQzMjdmYjY4MGUzMzI0YTcifQ=="/>
  </w:docVars>
  <w:rsids>
    <w:rsidRoot w:val="74531B0F"/>
    <w:rsid w:val="00024816"/>
    <w:rsid w:val="00033240"/>
    <w:rsid w:val="000A02EF"/>
    <w:rsid w:val="00225627"/>
    <w:rsid w:val="00232D67"/>
    <w:rsid w:val="002D569F"/>
    <w:rsid w:val="00323492"/>
    <w:rsid w:val="00333389"/>
    <w:rsid w:val="004D39CA"/>
    <w:rsid w:val="004D52E9"/>
    <w:rsid w:val="0055551A"/>
    <w:rsid w:val="005F29AA"/>
    <w:rsid w:val="006B5A16"/>
    <w:rsid w:val="0081065E"/>
    <w:rsid w:val="008D03EB"/>
    <w:rsid w:val="008F1D19"/>
    <w:rsid w:val="00983EF5"/>
    <w:rsid w:val="00A408F0"/>
    <w:rsid w:val="00A85007"/>
    <w:rsid w:val="00B26B45"/>
    <w:rsid w:val="00B43273"/>
    <w:rsid w:val="00BF0622"/>
    <w:rsid w:val="00C0708C"/>
    <w:rsid w:val="00C567C8"/>
    <w:rsid w:val="00CF2551"/>
    <w:rsid w:val="00D3721A"/>
    <w:rsid w:val="013B2B96"/>
    <w:rsid w:val="01914021"/>
    <w:rsid w:val="03320BCC"/>
    <w:rsid w:val="036C0BEA"/>
    <w:rsid w:val="055D222F"/>
    <w:rsid w:val="05B35D6A"/>
    <w:rsid w:val="06E25862"/>
    <w:rsid w:val="071D111B"/>
    <w:rsid w:val="0730075A"/>
    <w:rsid w:val="078401E4"/>
    <w:rsid w:val="088210AA"/>
    <w:rsid w:val="08923B7D"/>
    <w:rsid w:val="08B52BC0"/>
    <w:rsid w:val="08C11E7A"/>
    <w:rsid w:val="09A2275D"/>
    <w:rsid w:val="0B8247E5"/>
    <w:rsid w:val="0C766168"/>
    <w:rsid w:val="0C871385"/>
    <w:rsid w:val="0C8E0534"/>
    <w:rsid w:val="0CA02B02"/>
    <w:rsid w:val="0DB756F3"/>
    <w:rsid w:val="0E3D61ED"/>
    <w:rsid w:val="0ED70494"/>
    <w:rsid w:val="0F8F6A2A"/>
    <w:rsid w:val="101C5154"/>
    <w:rsid w:val="102A19BC"/>
    <w:rsid w:val="1074577C"/>
    <w:rsid w:val="10B71639"/>
    <w:rsid w:val="11561326"/>
    <w:rsid w:val="11CD266C"/>
    <w:rsid w:val="127647DA"/>
    <w:rsid w:val="133E5727"/>
    <w:rsid w:val="15000C07"/>
    <w:rsid w:val="153654FD"/>
    <w:rsid w:val="15BE3B9B"/>
    <w:rsid w:val="15F3690F"/>
    <w:rsid w:val="168D3A3C"/>
    <w:rsid w:val="1A2768D1"/>
    <w:rsid w:val="1B5003E0"/>
    <w:rsid w:val="1B570174"/>
    <w:rsid w:val="1BC530A8"/>
    <w:rsid w:val="1BCB46BE"/>
    <w:rsid w:val="1CC26082"/>
    <w:rsid w:val="1CFD169F"/>
    <w:rsid w:val="1D646B79"/>
    <w:rsid w:val="1E85324A"/>
    <w:rsid w:val="1F163C83"/>
    <w:rsid w:val="1FDE39D7"/>
    <w:rsid w:val="201237A1"/>
    <w:rsid w:val="206A6B9C"/>
    <w:rsid w:val="2208666C"/>
    <w:rsid w:val="229127B5"/>
    <w:rsid w:val="23243F21"/>
    <w:rsid w:val="233A7F95"/>
    <w:rsid w:val="23C91DC7"/>
    <w:rsid w:val="23DA55DA"/>
    <w:rsid w:val="251B46E0"/>
    <w:rsid w:val="2522012E"/>
    <w:rsid w:val="261C5741"/>
    <w:rsid w:val="264C77E2"/>
    <w:rsid w:val="26747773"/>
    <w:rsid w:val="2732291C"/>
    <w:rsid w:val="273F621F"/>
    <w:rsid w:val="285343B6"/>
    <w:rsid w:val="293272A7"/>
    <w:rsid w:val="29C22883"/>
    <w:rsid w:val="2AF23A16"/>
    <w:rsid w:val="2B5B0B52"/>
    <w:rsid w:val="2BE0023C"/>
    <w:rsid w:val="2CBF50BF"/>
    <w:rsid w:val="2F7075FF"/>
    <w:rsid w:val="2F883D9F"/>
    <w:rsid w:val="2FD30669"/>
    <w:rsid w:val="300375D5"/>
    <w:rsid w:val="30355826"/>
    <w:rsid w:val="306E628C"/>
    <w:rsid w:val="30822F82"/>
    <w:rsid w:val="31184F0D"/>
    <w:rsid w:val="31380C90"/>
    <w:rsid w:val="319E06FE"/>
    <w:rsid w:val="3208131B"/>
    <w:rsid w:val="334131D3"/>
    <w:rsid w:val="335E6CEC"/>
    <w:rsid w:val="33A87367"/>
    <w:rsid w:val="349F69BC"/>
    <w:rsid w:val="350110C8"/>
    <w:rsid w:val="35661650"/>
    <w:rsid w:val="35FF4995"/>
    <w:rsid w:val="375872F6"/>
    <w:rsid w:val="376B527C"/>
    <w:rsid w:val="38654816"/>
    <w:rsid w:val="388D3036"/>
    <w:rsid w:val="38C36887"/>
    <w:rsid w:val="394564EF"/>
    <w:rsid w:val="39981C2C"/>
    <w:rsid w:val="39B00481"/>
    <w:rsid w:val="3ABC01EE"/>
    <w:rsid w:val="3B005CDB"/>
    <w:rsid w:val="3CDC4526"/>
    <w:rsid w:val="3D600441"/>
    <w:rsid w:val="3E264B07"/>
    <w:rsid w:val="3E8A70C5"/>
    <w:rsid w:val="3F115748"/>
    <w:rsid w:val="40477DCB"/>
    <w:rsid w:val="40DF3F57"/>
    <w:rsid w:val="4117090C"/>
    <w:rsid w:val="42AA4A0A"/>
    <w:rsid w:val="42F8478B"/>
    <w:rsid w:val="430400AA"/>
    <w:rsid w:val="4314381B"/>
    <w:rsid w:val="43F8437F"/>
    <w:rsid w:val="447E4FEB"/>
    <w:rsid w:val="44827761"/>
    <w:rsid w:val="44C60ED8"/>
    <w:rsid w:val="44F3240C"/>
    <w:rsid w:val="457053EC"/>
    <w:rsid w:val="45C638A6"/>
    <w:rsid w:val="463843BB"/>
    <w:rsid w:val="46F543B8"/>
    <w:rsid w:val="472E582C"/>
    <w:rsid w:val="48084152"/>
    <w:rsid w:val="489317F8"/>
    <w:rsid w:val="48FA4E15"/>
    <w:rsid w:val="493C25D4"/>
    <w:rsid w:val="49E2286F"/>
    <w:rsid w:val="49E96F19"/>
    <w:rsid w:val="4AAE4B20"/>
    <w:rsid w:val="4B4B6913"/>
    <w:rsid w:val="4B885FA4"/>
    <w:rsid w:val="4BC16A36"/>
    <w:rsid w:val="4C380FDF"/>
    <w:rsid w:val="4C6729F8"/>
    <w:rsid w:val="4CAF785F"/>
    <w:rsid w:val="4E006AFF"/>
    <w:rsid w:val="4FFC7296"/>
    <w:rsid w:val="509946DA"/>
    <w:rsid w:val="50AC1387"/>
    <w:rsid w:val="50BB6EA5"/>
    <w:rsid w:val="518F08A7"/>
    <w:rsid w:val="51DE621B"/>
    <w:rsid w:val="522D5237"/>
    <w:rsid w:val="524A3079"/>
    <w:rsid w:val="52C43394"/>
    <w:rsid w:val="53101AD7"/>
    <w:rsid w:val="54396FBB"/>
    <w:rsid w:val="54AD6034"/>
    <w:rsid w:val="56230B3D"/>
    <w:rsid w:val="56C66CC8"/>
    <w:rsid w:val="578F4217"/>
    <w:rsid w:val="588D7FBA"/>
    <w:rsid w:val="59090F75"/>
    <w:rsid w:val="59605240"/>
    <w:rsid w:val="599A52A7"/>
    <w:rsid w:val="5A8E01A4"/>
    <w:rsid w:val="5A926A0D"/>
    <w:rsid w:val="5AF2774B"/>
    <w:rsid w:val="5C3A5B1E"/>
    <w:rsid w:val="5DBD61E8"/>
    <w:rsid w:val="5E5E2B95"/>
    <w:rsid w:val="5E9020F1"/>
    <w:rsid w:val="5EBD07DB"/>
    <w:rsid w:val="60252D65"/>
    <w:rsid w:val="6314191D"/>
    <w:rsid w:val="63572933"/>
    <w:rsid w:val="64AC5DA7"/>
    <w:rsid w:val="65274DFD"/>
    <w:rsid w:val="6554084E"/>
    <w:rsid w:val="65BE1B6A"/>
    <w:rsid w:val="663C7C5F"/>
    <w:rsid w:val="668B3C8E"/>
    <w:rsid w:val="66B528AF"/>
    <w:rsid w:val="671E02BE"/>
    <w:rsid w:val="685D6CD6"/>
    <w:rsid w:val="68640845"/>
    <w:rsid w:val="68F05628"/>
    <w:rsid w:val="6939728B"/>
    <w:rsid w:val="6B153AF6"/>
    <w:rsid w:val="6B813EC3"/>
    <w:rsid w:val="6DF365FF"/>
    <w:rsid w:val="6FC94CC2"/>
    <w:rsid w:val="6FCF2480"/>
    <w:rsid w:val="7110138E"/>
    <w:rsid w:val="712054A9"/>
    <w:rsid w:val="71D61ED6"/>
    <w:rsid w:val="740E2F75"/>
    <w:rsid w:val="743617C8"/>
    <w:rsid w:val="74531B0F"/>
    <w:rsid w:val="7591450D"/>
    <w:rsid w:val="75E52004"/>
    <w:rsid w:val="7688788E"/>
    <w:rsid w:val="76A43029"/>
    <w:rsid w:val="77200320"/>
    <w:rsid w:val="776963DA"/>
    <w:rsid w:val="785266ED"/>
    <w:rsid w:val="7A602571"/>
    <w:rsid w:val="7B0C0269"/>
    <w:rsid w:val="7B0E7903"/>
    <w:rsid w:val="7BDD478B"/>
    <w:rsid w:val="7C0230D5"/>
    <w:rsid w:val="7D133C30"/>
    <w:rsid w:val="7E365E80"/>
    <w:rsid w:val="FAFD5F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paragraph" w:styleId="6">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kinsoku w:val="0"/>
      <w:overflowPunct w:val="0"/>
      <w:adjustRightInd w:val="0"/>
      <w:snapToGrid w:val="0"/>
      <w:ind w:firstLine="600" w:firstLineChars="200"/>
    </w:pPr>
    <w:rPr>
      <w:rFonts w:ascii="仿宋" w:hAnsi="仿宋" w:eastAsia="仿宋_GB2312" w:cs="仿宋"/>
    </w:rPr>
  </w:style>
  <w:style w:type="paragraph" w:styleId="3">
    <w:name w:val="Body Text Indent"/>
    <w:basedOn w:val="1"/>
    <w:qFormat/>
    <w:uiPriority w:val="99"/>
    <w:pPr>
      <w:ind w:left="1260"/>
    </w:pPr>
  </w:style>
  <w:style w:type="paragraph" w:styleId="7">
    <w:name w:val="Normal Indent"/>
    <w:basedOn w:val="1"/>
    <w:qFormat/>
    <w:uiPriority w:val="0"/>
    <w:pPr>
      <w:ind w:firstLine="420" w:firstLineChars="200"/>
    </w:pPr>
  </w:style>
  <w:style w:type="paragraph" w:styleId="8">
    <w:name w:val="annotation text"/>
    <w:basedOn w:val="1"/>
    <w:qFormat/>
    <w:uiPriority w:val="0"/>
    <w:pPr>
      <w:jc w:val="left"/>
    </w:pPr>
  </w:style>
  <w:style w:type="paragraph" w:styleId="9">
    <w:name w:val="Body Text"/>
    <w:basedOn w:val="1"/>
    <w:unhideWhenUsed/>
    <w:qFormat/>
    <w:uiPriority w:val="99"/>
    <w:pPr>
      <w:spacing w:after="120"/>
    </w:pPr>
  </w:style>
  <w:style w:type="paragraph" w:styleId="10">
    <w:name w:val="List 2"/>
    <w:basedOn w:val="1"/>
    <w:qFormat/>
    <w:uiPriority w:val="0"/>
    <w:pPr>
      <w:spacing w:line="360" w:lineRule="auto"/>
      <w:ind w:left="100" w:leftChars="200" w:hanging="200" w:hangingChars="200"/>
    </w:pPr>
    <w:rPr>
      <w:sz w:val="24"/>
    </w:rPr>
  </w:style>
  <w:style w:type="paragraph" w:styleId="11">
    <w:name w:val="Plain Text"/>
    <w:basedOn w:val="1"/>
    <w:qFormat/>
    <w:uiPriority w:val="99"/>
    <w:rPr>
      <w:rFonts w:ascii="宋体" w:hAnsi="Courier New" w:cs="宋体"/>
    </w:rPr>
  </w:style>
  <w:style w:type="paragraph" w:styleId="12">
    <w:name w:val="footer"/>
    <w:basedOn w:val="1"/>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13">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14">
    <w:name w:val="toc 2"/>
    <w:basedOn w:val="1"/>
    <w:next w:val="1"/>
    <w:unhideWhenUsed/>
    <w:qFormat/>
    <w:uiPriority w:val="39"/>
    <w:pPr>
      <w:spacing w:after="156"/>
      <w:ind w:left="480" w:leftChars="200"/>
    </w:pPr>
  </w:style>
  <w:style w:type="paragraph" w:customStyle="1" w:styleId="17">
    <w:name w:val="列表段落1"/>
    <w:basedOn w:val="1"/>
    <w:unhideWhenUsed/>
    <w:qFormat/>
    <w:uiPriority w:val="34"/>
    <w:pPr>
      <w:ind w:firstLine="420" w:firstLineChars="200"/>
    </w:pPr>
    <w:rPr>
      <w:rFonts w:eastAsia="宋体"/>
      <w:szCs w:val="24"/>
    </w:rPr>
  </w:style>
  <w:style w:type="paragraph" w:customStyle="1" w:styleId="18">
    <w:name w:val="_Style 97"/>
    <w:basedOn w:val="1"/>
    <w:next w:val="17"/>
    <w:qFormat/>
    <w:uiPriority w:val="0"/>
    <w:pPr>
      <w:ind w:firstLine="420" w:firstLineChars="200"/>
    </w:pPr>
  </w:style>
  <w:style w:type="paragraph" w:customStyle="1" w:styleId="19">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
    <w:name w:val="列表段落11"/>
    <w:basedOn w:val="1"/>
    <w:unhideWhenUsed/>
    <w:qFormat/>
    <w:uiPriority w:val="34"/>
    <w:pPr>
      <w:ind w:firstLine="420" w:firstLineChars="200"/>
    </w:pPr>
    <w:rPr>
      <w:rFonts w:eastAsia="宋体"/>
    </w:rPr>
  </w:style>
  <w:style w:type="paragraph" w:customStyle="1" w:styleId="21">
    <w:name w:val="Body text|21"/>
    <w:basedOn w:val="1"/>
    <w:qFormat/>
    <w:uiPriority w:val="0"/>
    <w:pPr>
      <w:shd w:val="clear" w:color="auto" w:fill="FFFFFF"/>
      <w:spacing w:before="300" w:line="605" w:lineRule="exact"/>
      <w:jc w:val="distribute"/>
    </w:pPr>
    <w:rPr>
      <w:rFonts w:ascii="PMingLiU" w:hAnsi="PMingLiU" w:eastAsia="PMingLiU" w:cs="PMingLiU"/>
      <w:spacing w:val="30"/>
      <w:sz w:val="30"/>
      <w:szCs w:val="30"/>
    </w:rPr>
  </w:style>
  <w:style w:type="paragraph" w:customStyle="1" w:styleId="22">
    <w:name w:val="样式 标题 2 + Times New Roman 四号 非加粗 段前: 5 磅 段后: 0 磅 行距: 固定值 20..."/>
    <w:basedOn w:val="5"/>
    <w:qFormat/>
    <w:uiPriority w:val="0"/>
    <w:pPr>
      <w:spacing w:before="100" w:after="0" w:line="400" w:lineRule="exact"/>
    </w:pPr>
    <w:rPr>
      <w:rFonts w:ascii="Times New Roman" w:hAnsi="Times New Roman" w:eastAsia="黑体" w:cs="宋体"/>
      <w:b w:val="0"/>
      <w:bCs w:val="0"/>
      <w:sz w:val="28"/>
      <w:szCs w:val="20"/>
    </w:rPr>
  </w:style>
  <w:style w:type="character" w:customStyle="1" w:styleId="23">
    <w:name w:val="unnamed11"/>
    <w:qFormat/>
    <w:uiPriority w:val="0"/>
    <w:rPr>
      <w:sz w:val="18"/>
      <w:szCs w:val="18"/>
    </w:rPr>
  </w:style>
  <w:style w:type="paragraph" w:styleId="24">
    <w:name w:val="List Paragraph"/>
    <w:basedOn w:val="1"/>
    <w:qFormat/>
    <w:uiPriority w:val="99"/>
    <w:pPr>
      <w:ind w:firstLine="420" w:firstLineChars="200"/>
    </w:pPr>
  </w:style>
  <w:style w:type="paragraph" w:customStyle="1" w:styleId="25">
    <w:name w:val="null3"/>
    <w:hidden/>
    <w:qFormat/>
    <w:uiPriority w:val="0"/>
    <w:rPr>
      <w:rFonts w:hint="eastAsia" w:asciiTheme="minorHAnsi" w:hAnsiTheme="minorHAnsi" w:eastAsiaTheme="minorEastAsia" w:cstheme="minorBidi"/>
      <w:lang w:val="en-US" w:eastAsia="zh-Hans"/>
    </w:rPr>
  </w:style>
  <w:style w:type="character" w:customStyle="1" w:styleId="26">
    <w:name w:val="font61"/>
    <w:basedOn w:val="16"/>
    <w:qFormat/>
    <w:uiPriority w:val="0"/>
    <w:rPr>
      <w:rFonts w:hint="default" w:ascii="Tahoma" w:hAnsi="Tahoma" w:eastAsia="Tahoma" w:cs="Tahoma"/>
      <w:color w:val="000000"/>
      <w:sz w:val="16"/>
      <w:szCs w:val="16"/>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31</Pages>
  <Words>1792</Words>
  <Characters>2062</Characters>
  <Lines>51</Lines>
  <Paragraphs>14</Paragraphs>
  <TotalTime>10</TotalTime>
  <ScaleCrop>false</ScaleCrop>
  <LinksUpToDate>false</LinksUpToDate>
  <CharactersWithSpaces>2070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2024-03-06T14:22:00Z</dcterms:created>
  <dc:creator>Administrator</dc:creator>
  <cp:lastModifiedBy>RaphaelL</cp:lastModifiedBy>
  <cp:lastPrinted>2024-06-12T13:55:00Z</cp:lastPrinted>
  <dcterms:modified xsi:type="dcterms:W3CDTF">2025-04-27T16:06:54Z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A595FA2FFFE44879B722F1043013B9B1</vt:lpwstr>
  </property>
  <property fmtid="{D5CDD505-2E9C-101B-9397-08002B2CF9AE}" pid="4" name="ribbonExt">
    <vt:lpwstr>{"WPSExtOfficeTab":{"OnGetEnabled":false,"OnGetVisible":false}}</vt:lpwstr>
  </property>
  <property fmtid="{D5CDD505-2E9C-101B-9397-08002B2CF9AE}" pid="5" name="KSOTemplateDocerSaveRecord">
    <vt:lpwstr>eyJoZGlkIjoiMzVjYTU0YzZmOGIyMjA0MmE0NDFhYjdkZjU3NDU5YTYiLCJ1c2VySWQiOiI0MTMwMjc4NjgifQ==</vt:lpwstr>
  </property>
</Properties>
</file>