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9023CF">
      <w:pPr>
        <w:pStyle w:val="4"/>
        <w:rPr>
          <w:rFonts w:ascii="Times New Roman"/>
          <w:sz w:val="20"/>
        </w:rPr>
      </w:pPr>
    </w:p>
    <w:p w14:paraId="0FDF1DEA">
      <w:pPr>
        <w:pStyle w:val="4"/>
        <w:rPr>
          <w:rFonts w:ascii="Times New Roman"/>
          <w:sz w:val="20"/>
        </w:rPr>
      </w:pPr>
    </w:p>
    <w:p w14:paraId="697A28E7">
      <w:pPr>
        <w:pStyle w:val="4"/>
        <w:rPr>
          <w:rFonts w:ascii="Times New Roman"/>
          <w:sz w:val="20"/>
        </w:rPr>
      </w:pPr>
    </w:p>
    <w:p w14:paraId="34312576">
      <w:pPr>
        <w:pStyle w:val="4"/>
        <w:rPr>
          <w:rFonts w:ascii="Times New Roman"/>
          <w:sz w:val="20"/>
        </w:rPr>
      </w:pPr>
    </w:p>
    <w:p w14:paraId="29BB9A92">
      <w:pPr>
        <w:pStyle w:val="4"/>
        <w:rPr>
          <w:rFonts w:ascii="Times New Roman"/>
          <w:sz w:val="20"/>
        </w:rPr>
      </w:pPr>
    </w:p>
    <w:p w14:paraId="3A96C5FA">
      <w:pPr>
        <w:rPr>
          <w:rFonts w:ascii="Times New Roman"/>
          <w:sz w:val="20"/>
        </w:rPr>
      </w:pPr>
    </w:p>
    <w:p w14:paraId="103B34D1">
      <w:pPr>
        <w:jc w:val="center"/>
        <w:rPr>
          <w:rFonts w:ascii="Times New Roman"/>
          <w:b/>
          <w:bCs/>
          <w:sz w:val="52"/>
          <w:szCs w:val="52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横琴粤澳深度合作区惠企利民服务平台</w:t>
      </w:r>
      <w:r>
        <w:rPr>
          <w:rFonts w:hint="eastAsia" w:ascii="Times New Roman"/>
          <w:b/>
          <w:bCs/>
          <w:sz w:val="52"/>
          <w:szCs w:val="52"/>
        </w:rPr>
        <w:t xml:space="preserve"> </w:t>
      </w:r>
    </w:p>
    <w:p w14:paraId="445E2AE6">
      <w:pPr>
        <w:rPr>
          <w:rFonts w:ascii="Times New Roman"/>
          <w:sz w:val="20"/>
        </w:rPr>
      </w:pPr>
    </w:p>
    <w:p w14:paraId="013E2D90">
      <w:pPr>
        <w:rPr>
          <w:rFonts w:ascii="Times New Roman"/>
          <w:sz w:val="20"/>
        </w:rPr>
      </w:pPr>
    </w:p>
    <w:p w14:paraId="56BE6476">
      <w:pPr>
        <w:rPr>
          <w:rFonts w:ascii="Times New Roman"/>
          <w:sz w:val="20"/>
        </w:rPr>
      </w:pPr>
    </w:p>
    <w:p w14:paraId="043ABB89">
      <w:pPr>
        <w:rPr>
          <w:rFonts w:ascii="Times New Roman"/>
          <w:sz w:val="20"/>
        </w:rPr>
      </w:pPr>
    </w:p>
    <w:p w14:paraId="793E751B"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企业</w:t>
      </w:r>
      <w:r>
        <w:rPr>
          <w:b/>
          <w:sz w:val="52"/>
          <w:szCs w:val="52"/>
        </w:rPr>
        <w:t>使用手册</w:t>
      </w:r>
    </w:p>
    <w:p w14:paraId="4FB39F38">
      <w:pPr>
        <w:spacing w:before="162"/>
        <w:jc w:val="center"/>
        <w:rPr>
          <w:b/>
          <w:sz w:val="72"/>
        </w:rPr>
      </w:pPr>
    </w:p>
    <w:p w14:paraId="40DF587B">
      <w:pPr>
        <w:pStyle w:val="4"/>
        <w:rPr>
          <w:b/>
          <w:sz w:val="83"/>
        </w:rPr>
      </w:pPr>
    </w:p>
    <w:p w14:paraId="68D5616D">
      <w:pPr>
        <w:ind w:left="456" w:right="224"/>
        <w:jc w:val="center"/>
        <w:rPr>
          <w:b/>
          <w:sz w:val="48"/>
        </w:rPr>
      </w:pPr>
      <w:r>
        <w:rPr>
          <w:b/>
          <w:sz w:val="48"/>
        </w:rPr>
        <w:t>（申报单位</w:t>
      </w:r>
      <w:r>
        <w:rPr>
          <w:rFonts w:hint="eastAsia"/>
          <w:b/>
          <w:sz w:val="48"/>
        </w:rPr>
        <w:t>）</w:t>
      </w:r>
    </w:p>
    <w:p w14:paraId="1C70A709">
      <w:pPr>
        <w:ind w:left="456" w:right="224"/>
        <w:jc w:val="center"/>
        <w:rPr>
          <w:b/>
          <w:sz w:val="48"/>
        </w:rPr>
      </w:pPr>
    </w:p>
    <w:p w14:paraId="5CF605B2">
      <w:pPr>
        <w:spacing w:before="170"/>
        <w:ind w:right="224" w:firstLine="2409" w:firstLineChars="800"/>
        <w:rPr>
          <w:b/>
          <w:sz w:val="30"/>
        </w:rPr>
      </w:pPr>
    </w:p>
    <w:p w14:paraId="5DAE71CF"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主办单位：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横琴粤澳深度合作区</w:t>
      </w:r>
      <w:r>
        <w:rPr>
          <w:rFonts w:hint="eastAsia" w:ascii="黑体" w:hAnsi="黑体" w:eastAsia="黑体" w:cs="黑体"/>
          <w:b/>
          <w:sz w:val="32"/>
          <w:szCs w:val="32"/>
        </w:rPr>
        <w:t>财政局</w:t>
      </w:r>
    </w:p>
    <w:p w14:paraId="10B0F730"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承建单位：广州政企互联科技有限公司</w:t>
      </w:r>
    </w:p>
    <w:p w14:paraId="0429DE01">
      <w:pPr>
        <w:ind w:left="456" w:right="224" w:firstLine="643" w:firstLineChars="200"/>
        <w:jc w:val="center"/>
        <w:rPr>
          <w:rFonts w:ascii="黑体" w:hAnsi="黑体" w:eastAsia="黑体" w:cs="黑体"/>
          <w:b/>
          <w:sz w:val="32"/>
          <w:szCs w:val="32"/>
        </w:rPr>
      </w:pPr>
    </w:p>
    <w:p w14:paraId="1514DF95"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  <w:sectPr>
          <w:headerReference r:id="rId3" w:type="default"/>
          <w:pgSz w:w="11930" w:h="16860"/>
          <w:pgMar w:top="2040" w:right="80" w:bottom="280" w:left="800" w:header="1631" w:footer="0" w:gutter="0"/>
          <w:cols w:space="720" w:num="1"/>
        </w:sectPr>
      </w:pPr>
      <w:r>
        <w:rPr>
          <w:rFonts w:hint="eastAsia" w:ascii="黑体" w:hAnsi="黑体" w:eastAsia="黑体" w:cs="黑体"/>
          <w:b/>
          <w:sz w:val="32"/>
          <w:szCs w:val="32"/>
        </w:rPr>
        <w:t>202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b/>
          <w:sz w:val="32"/>
          <w:szCs w:val="32"/>
        </w:rPr>
        <w:t>年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6</w:t>
      </w:r>
      <w:r>
        <w:rPr>
          <w:rFonts w:hint="eastAsia" w:ascii="黑体" w:hAnsi="黑体" w:eastAsia="黑体" w:cs="黑体"/>
          <w:b/>
          <w:sz w:val="32"/>
          <w:szCs w:val="32"/>
        </w:rPr>
        <w:t>月</w:t>
      </w:r>
    </w:p>
    <w:p w14:paraId="0D074CC9">
      <w:pPr>
        <w:kinsoku w:val="0"/>
        <w:overflowPunct w:val="0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 w14:paraId="29C57476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0"/>
          <w:rFonts w:hint="eastAsia" w:asciiTheme="minorEastAsia" w:hAnsiTheme="minorEastAsia"/>
          <w:sz w:val="24"/>
        </w:rPr>
        <w:t>https://ycfz.hengqin.gov.cn/#/home</w:t>
      </w:r>
    </w:p>
    <w:p w14:paraId="2D767441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 w14:paraId="027381A7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https://www.google.cn/chrome/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 w14:paraId="56762E0F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4" w:type="default"/>
          <w:footerReference r:id="rId5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</w:t>
      </w:r>
      <w:r>
        <w:rPr>
          <w:rFonts w:hint="eastAsia" w:ascii="宋体" w:hAnsi="宋体" w:eastAsia="宋体" w:cs="宋体"/>
          <w:sz w:val="24"/>
          <w:lang w:val="en-US" w:eastAsia="zh-CN"/>
        </w:rPr>
        <w:t>0756-8841172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 w14:paraId="0321254A"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 w14:paraId="32C2DB38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_Toc32679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</w:rPr>
            <w:t>一、 账号注册</w:t>
          </w:r>
          <w:r>
            <w:tab/>
          </w:r>
          <w:r>
            <w:fldChar w:fldCharType="begin"/>
          </w:r>
          <w:r>
            <w:instrText xml:space="preserve"> PAGEREF _Toc32679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54575BD6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_Toc6266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二、 账号登录</w:t>
          </w:r>
          <w:r>
            <w:tab/>
          </w:r>
          <w:r>
            <w:fldChar w:fldCharType="begin"/>
          </w:r>
          <w:r>
            <w:instrText xml:space="preserve"> PAGEREF _Toc6266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181BEB7D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_Toc26861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三、 查找、申报项目</w:t>
          </w:r>
          <w:r>
            <w:tab/>
          </w:r>
          <w:r>
            <w:fldChar w:fldCharType="begin"/>
          </w:r>
          <w:r>
            <w:instrText xml:space="preserve"> PAGEREF _Toc26861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72BF8848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_Toc10878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四、 项目申报相关操作</w:t>
          </w:r>
          <w:r>
            <w:tab/>
          </w:r>
          <w:r>
            <w:fldChar w:fldCharType="begin"/>
          </w:r>
          <w:r>
            <w:instrText xml:space="preserve"> PAGEREF _Toc10878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67E3B8BA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_Toc512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五、</w:t>
          </w:r>
          <w:r>
            <w:rPr>
              <w:rFonts w:hint="eastAsia" w:ascii="宋体" w:hAnsi="宋体" w:eastAsia="宋体" w:cs="宋体"/>
              <w:szCs w:val="36"/>
            </w:rPr>
            <w:t>项目进度查询</w:t>
          </w:r>
          <w:r>
            <w:tab/>
          </w:r>
          <w:r>
            <w:fldChar w:fldCharType="begin"/>
          </w:r>
          <w:r>
            <w:instrText xml:space="preserve"> PAGEREF _Toc512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3D45C96E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_Toc18439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六、</w:t>
          </w:r>
          <w:r>
            <w:rPr>
              <w:rFonts w:hint="eastAsia" w:ascii="宋体" w:hAnsi="宋体" w:eastAsia="宋体" w:cs="宋体"/>
              <w:szCs w:val="36"/>
            </w:rPr>
            <w:t>下载打印</w:t>
          </w:r>
          <w:r>
            <w:tab/>
          </w:r>
          <w:r>
            <w:fldChar w:fldCharType="begin"/>
          </w:r>
          <w:r>
            <w:instrText xml:space="preserve"> PAGEREF _Toc18439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71954794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_Toc27836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七、</w:t>
          </w:r>
          <w:r>
            <w:rPr>
              <w:rFonts w:hint="eastAsia" w:ascii="宋体" w:hAnsi="宋体" w:eastAsia="宋体" w:cs="宋体"/>
              <w:szCs w:val="36"/>
            </w:rPr>
            <w:t>项目退回修改</w:t>
          </w:r>
          <w:r>
            <w:tab/>
          </w:r>
          <w:r>
            <w:fldChar w:fldCharType="begin"/>
          </w:r>
          <w:r>
            <w:instrText xml:space="preserve"> PAGEREF _Toc27836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1894C9F3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_Toc17646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八、政策解读</w:t>
          </w:r>
          <w:r>
            <w:tab/>
          </w:r>
          <w:r>
            <w:fldChar w:fldCharType="begin"/>
          </w:r>
          <w:r>
            <w:instrText xml:space="preserve"> PAGEREF _Toc17646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26999AAA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_Toc10586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九、操作指引</w:t>
          </w:r>
          <w:r>
            <w:tab/>
          </w:r>
          <w:r>
            <w:fldChar w:fldCharType="begin"/>
          </w:r>
          <w:r>
            <w:instrText xml:space="preserve"> PAGEREF _Toc10586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7F0F0AE1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_Toc13630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十、订阅操作</w:t>
          </w:r>
          <w:r>
            <w:tab/>
          </w:r>
          <w:r>
            <w:fldChar w:fldCharType="begin"/>
          </w:r>
          <w:r>
            <w:instrText xml:space="preserve"> PAGEREF _Toc13630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1E9F494C"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_Toc9609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十一、 账号管理</w:t>
          </w:r>
          <w:r>
            <w:tab/>
          </w:r>
          <w:r>
            <w:fldChar w:fldCharType="begin"/>
          </w:r>
          <w:r>
            <w:instrText xml:space="preserve"> PAGEREF _Toc9609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44F9B9B8"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 w14:paraId="7621B901">
      <w:pPr>
        <w:pStyle w:val="2"/>
        <w:numPr>
          <w:ilvl w:val="0"/>
          <w:numId w:val="2"/>
        </w:numPr>
        <w:spacing w:line="360" w:lineRule="auto"/>
        <w:ind w:firstLine="0"/>
        <w:rPr>
          <w:sz w:val="36"/>
          <w:szCs w:val="36"/>
        </w:rPr>
      </w:pPr>
      <w:bookmarkStart w:id="0" w:name="_Toc32679"/>
      <w:r>
        <w:rPr>
          <w:rFonts w:hint="eastAsia"/>
          <w:sz w:val="36"/>
          <w:szCs w:val="36"/>
        </w:rPr>
        <w:t>账号注册</w:t>
      </w:r>
      <w:bookmarkEnd w:id="0"/>
    </w:p>
    <w:p w14:paraId="21F2CC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Theme="minor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若贵单位之前注册过广东省统一身份认证平台账号，可跳过该注册步骤，直接查看下方【账号登录】指引。</w:t>
      </w:r>
    </w:p>
    <w:p w14:paraId="13537C9B"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 w14:paraId="54AA689B"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B1B9B"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页面跳转至广东省统一身份认证平台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选择“法人登录”，点击下方“账号密码”进行注册</w:t>
      </w:r>
      <w:r>
        <w:rPr>
          <w:rFonts w:hint="eastAsia" w:ascii="宋体" w:hAnsi="宋体" w:eastAsia="宋体" w:cs="宋体"/>
          <w:sz w:val="24"/>
        </w:rPr>
        <w:t>；</w:t>
      </w:r>
    </w:p>
    <w:p w14:paraId="1D4B9B2E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6A8931">
      <w:pPr>
        <w:spacing w:line="360" w:lineRule="auto"/>
        <w:jc w:val="center"/>
        <w:rPr>
          <w:rFonts w:ascii="宋体" w:hAnsi="宋体" w:eastAsia="宋体" w:cs="宋体"/>
          <w:sz w:val="24"/>
        </w:rPr>
      </w:pPr>
    </w:p>
    <w:p w14:paraId="5FF62408">
      <w:pPr>
        <w:spacing w:line="360" w:lineRule="auto"/>
        <w:rPr>
          <w:rFonts w:ascii="宋体" w:hAnsi="宋体" w:eastAsia="宋体" w:cs="宋体"/>
          <w:sz w:val="24"/>
        </w:rPr>
      </w:pPr>
    </w:p>
    <w:p w14:paraId="3BB79EAD"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点击“立即注册”，开始注册；</w:t>
      </w:r>
    </w:p>
    <w:p w14:paraId="2E40E2F6"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3515" cy="2875915"/>
            <wp:effectExtent l="0" t="0" r="952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A76A5">
      <w:pPr>
        <w:spacing w:line="360" w:lineRule="auto"/>
        <w:rPr>
          <w:rFonts w:ascii="宋体" w:hAnsi="宋体" w:eastAsia="宋体" w:cs="宋体"/>
        </w:rPr>
      </w:pPr>
    </w:p>
    <w:p w14:paraId="1A0C9B11"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选择注册方式；</w:t>
      </w:r>
      <w:r>
        <w:rPr>
          <w:rFonts w:hint="eastAsia" w:ascii="宋体" w:hAnsi="宋体" w:eastAsia="宋体" w:cs="宋体"/>
          <w:b/>
          <w:bCs/>
          <w:color w:val="FF0000"/>
          <w:sz w:val="24"/>
        </w:rPr>
        <w:t>若注册单位账号请点击法人注册</w:t>
      </w:r>
      <w:r>
        <w:rPr>
          <w:rFonts w:hint="eastAsia" w:ascii="宋体" w:hAnsi="宋体" w:eastAsia="宋体" w:cs="宋体"/>
          <w:sz w:val="24"/>
        </w:rPr>
        <w:t>；（法人注册最后扫码环节可由经办人扫码，第二步实名核验可跳过）</w:t>
      </w:r>
    </w:p>
    <w:p w14:paraId="429B9616">
      <w:pPr>
        <w:spacing w:line="360" w:lineRule="auto"/>
      </w:pPr>
      <w:r>
        <w:drawing>
          <wp:inline distT="0" distB="0" distL="114300" distR="114300">
            <wp:extent cx="5266690" cy="296291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878F8">
      <w:pPr>
        <w:spacing w:line="360" w:lineRule="auto"/>
      </w:pPr>
    </w:p>
    <w:p w14:paraId="58F6ECBF">
      <w:pPr>
        <w:spacing w:line="360" w:lineRule="auto"/>
      </w:pPr>
    </w:p>
    <w:p w14:paraId="494C1F60">
      <w:pPr>
        <w:spacing w:line="360" w:lineRule="auto"/>
      </w:pPr>
    </w:p>
    <w:p w14:paraId="0DCAF739"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6266"/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1"/>
    </w:p>
    <w:p w14:paraId="0D214563">
      <w:pPr>
        <w:numPr>
          <w:ilvl w:val="0"/>
          <w:numId w:val="5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 w14:paraId="54DB609B"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6C2E5">
      <w:pPr>
        <w:numPr>
          <w:ilvl w:val="0"/>
          <w:numId w:val="5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</w:t>
      </w:r>
      <w:r>
        <w:rPr>
          <w:rFonts w:hint="eastAsia" w:ascii="宋体" w:hAnsi="宋体" w:eastAsia="宋体" w:cs="宋体"/>
          <w:sz w:val="24"/>
          <w:lang w:val="en-US" w:eastAsia="zh-CN"/>
        </w:rPr>
        <w:t>切换成【法人登录】，</w:t>
      </w:r>
      <w:r>
        <w:rPr>
          <w:rFonts w:hint="eastAsia" w:ascii="宋体" w:hAnsi="宋体" w:eastAsia="宋体" w:cs="宋体"/>
          <w:sz w:val="24"/>
        </w:rPr>
        <w:t>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 w14:paraId="609F13C5"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C13B05">
      <w:pPr>
        <w:spacing w:line="360" w:lineRule="auto"/>
        <w:rPr>
          <w:rFonts w:ascii="宋体" w:hAnsi="宋体" w:eastAsia="宋体" w:cs="宋体"/>
        </w:rPr>
      </w:pPr>
    </w:p>
    <w:p w14:paraId="1DBE8D01">
      <w:pPr>
        <w:spacing w:line="360" w:lineRule="auto"/>
        <w:rPr>
          <w:rFonts w:ascii="宋体" w:hAnsi="宋体" w:eastAsia="宋体" w:cs="宋体"/>
        </w:rPr>
      </w:pPr>
    </w:p>
    <w:p w14:paraId="0EF8A691"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2" w:name="_Toc26861"/>
      <w:r>
        <w:rPr>
          <w:rFonts w:hint="eastAsia" w:ascii="宋体" w:hAnsi="宋体" w:eastAsia="宋体" w:cs="宋体"/>
          <w:sz w:val="36"/>
          <w:szCs w:val="36"/>
        </w:rPr>
        <w:t>查找、申报项目</w:t>
      </w:r>
      <w:bookmarkEnd w:id="2"/>
    </w:p>
    <w:p w14:paraId="51E76CDD">
      <w:pPr>
        <w:numPr>
          <w:ilvl w:val="0"/>
          <w:numId w:val="6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 w14:paraId="32732892">
      <w:pPr>
        <w:numPr>
          <w:ilvl w:val="0"/>
          <w:numId w:val="7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</w:t>
      </w:r>
      <w:r>
        <w:rPr>
          <w:rFonts w:hint="eastAsia" w:ascii="宋体" w:hAnsi="宋体" w:eastAsia="宋体" w:cs="宋体"/>
          <w:sz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</w:rPr>
        <w:t>：在“搜索框”内输入关键字进行搜索；</w:t>
      </w:r>
    </w:p>
    <w:p w14:paraId="31647D92">
      <w:pPr>
        <w:spacing w:line="360" w:lineRule="auto"/>
      </w:pPr>
      <w:r>
        <w:drawing>
          <wp:inline distT="0" distB="0" distL="114300" distR="114300">
            <wp:extent cx="5270500" cy="2668270"/>
            <wp:effectExtent l="0" t="0" r="254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1C46C"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2）方法二：点击“项目申报”，进行条件筛选；</w:t>
      </w:r>
    </w:p>
    <w:p w14:paraId="33A06B06">
      <w:pPr>
        <w:spacing w:line="360" w:lineRule="auto"/>
      </w:pPr>
      <w:r>
        <w:drawing>
          <wp:inline distT="0" distB="0" distL="114300" distR="114300">
            <wp:extent cx="5264150" cy="2684780"/>
            <wp:effectExtent l="0" t="0" r="889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6E295">
      <w:pPr>
        <w:spacing w:line="360" w:lineRule="auto"/>
        <w:rPr>
          <w:rFonts w:ascii="宋体" w:hAnsi="宋体" w:eastAsia="宋体" w:cs="宋体"/>
          <w:sz w:val="24"/>
        </w:rPr>
      </w:pPr>
    </w:p>
    <w:p w14:paraId="288F0ADE">
      <w:pPr>
        <w:spacing w:line="360" w:lineRule="auto"/>
        <w:rPr>
          <w:rFonts w:ascii="宋体" w:hAnsi="宋体" w:eastAsia="宋体" w:cs="宋体"/>
          <w:sz w:val="24"/>
        </w:rPr>
      </w:pPr>
    </w:p>
    <w:p w14:paraId="64F6C04C">
      <w:pPr>
        <w:spacing w:line="360" w:lineRule="auto"/>
        <w:rPr>
          <w:rFonts w:ascii="宋体" w:hAnsi="宋体" w:eastAsia="宋体" w:cs="宋体"/>
          <w:sz w:val="24"/>
        </w:rPr>
      </w:pPr>
    </w:p>
    <w:p w14:paraId="42582DAE">
      <w:pPr>
        <w:spacing w:line="360" w:lineRule="auto"/>
        <w:rPr>
          <w:rFonts w:ascii="宋体" w:hAnsi="宋体" w:eastAsia="宋体" w:cs="宋体"/>
          <w:sz w:val="24"/>
        </w:rPr>
      </w:pPr>
    </w:p>
    <w:p w14:paraId="5E488A13">
      <w:pPr>
        <w:spacing w:line="360" w:lineRule="auto"/>
        <w:rPr>
          <w:rFonts w:ascii="宋体" w:hAnsi="宋体" w:eastAsia="宋体" w:cs="宋体"/>
          <w:sz w:val="24"/>
        </w:rPr>
      </w:pPr>
    </w:p>
    <w:p w14:paraId="5F512281">
      <w:pPr>
        <w:spacing w:line="360" w:lineRule="auto"/>
        <w:rPr>
          <w:rFonts w:ascii="宋体" w:hAnsi="宋体" w:eastAsia="宋体" w:cs="宋体"/>
          <w:sz w:val="24"/>
        </w:rPr>
      </w:pPr>
    </w:p>
    <w:p w14:paraId="4F9DB5B8"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点击“申报项目”，进入项目详情页；</w:t>
      </w:r>
    </w:p>
    <w:p w14:paraId="5F3E2E39">
      <w:pPr>
        <w:spacing w:line="360" w:lineRule="auto"/>
        <w:jc w:val="center"/>
      </w:pPr>
      <w:r>
        <w:drawing>
          <wp:inline distT="0" distB="0" distL="114300" distR="114300">
            <wp:extent cx="5266055" cy="2190750"/>
            <wp:effectExtent l="0" t="0" r="6985" b="38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B9E17">
      <w:pPr>
        <w:spacing w:line="360" w:lineRule="auto"/>
        <w:rPr>
          <w:rFonts w:ascii="宋体" w:hAnsi="宋体" w:eastAsia="宋体" w:cs="宋体"/>
        </w:rPr>
      </w:pPr>
    </w:p>
    <w:p w14:paraId="33AC274C"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选择对应的“申报方向”，点击“立即申报”，填写材料后完成申报。</w:t>
      </w:r>
    </w:p>
    <w:p w14:paraId="7F8212A7">
      <w:pPr>
        <w:spacing w:line="360" w:lineRule="auto"/>
        <w:jc w:val="center"/>
      </w:pPr>
      <w:r>
        <w:drawing>
          <wp:inline distT="0" distB="0" distL="114300" distR="114300">
            <wp:extent cx="5273675" cy="3006725"/>
            <wp:effectExtent l="0" t="0" r="14605" b="1079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DB02B">
      <w:pPr>
        <w:spacing w:line="360" w:lineRule="auto"/>
        <w:jc w:val="center"/>
      </w:pPr>
    </w:p>
    <w:p w14:paraId="2164DE5D">
      <w:pPr>
        <w:spacing w:line="360" w:lineRule="auto"/>
        <w:jc w:val="center"/>
      </w:pPr>
    </w:p>
    <w:p w14:paraId="468F25BF">
      <w:pPr>
        <w:spacing w:line="360" w:lineRule="auto"/>
        <w:jc w:val="center"/>
      </w:pPr>
    </w:p>
    <w:p w14:paraId="17AE6FD7">
      <w:pPr>
        <w:spacing w:line="360" w:lineRule="auto"/>
        <w:jc w:val="center"/>
      </w:pPr>
    </w:p>
    <w:p w14:paraId="15525856">
      <w:pPr>
        <w:spacing w:line="360" w:lineRule="auto"/>
        <w:jc w:val="center"/>
      </w:pPr>
    </w:p>
    <w:p w14:paraId="1D8E5D21">
      <w:pPr>
        <w:spacing w:line="360" w:lineRule="auto"/>
        <w:jc w:val="center"/>
      </w:pPr>
    </w:p>
    <w:p w14:paraId="15B48CE8">
      <w:pPr>
        <w:spacing w:line="360" w:lineRule="auto"/>
        <w:jc w:val="center"/>
      </w:pPr>
    </w:p>
    <w:p w14:paraId="628D6653">
      <w:pPr>
        <w:spacing w:line="360" w:lineRule="auto"/>
        <w:jc w:val="center"/>
      </w:pPr>
    </w:p>
    <w:p w14:paraId="030C721B">
      <w:pPr>
        <w:pStyle w:val="2"/>
        <w:numPr>
          <w:ilvl w:val="0"/>
          <w:numId w:val="4"/>
        </w:numPr>
        <w:bidi w:val="0"/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bookmarkStart w:id="3" w:name="_Toc10878"/>
      <w:r>
        <w:rPr>
          <w:rFonts w:hint="eastAsia"/>
          <w:sz w:val="36"/>
          <w:szCs w:val="36"/>
          <w:lang w:val="en-US" w:eastAsia="zh-CN"/>
        </w:rPr>
        <w:t>项目申报相关操作</w:t>
      </w:r>
      <w:bookmarkEnd w:id="3"/>
    </w:p>
    <w:p w14:paraId="569B11E1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在线项目填报，点击立即申报后会进入在线填写表单界面，用户无需再填写纸质表单，随填随改，随时保存。</w:t>
      </w:r>
    </w:p>
    <w:p w14:paraId="748E74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A09BE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点击附件列表，可以查看当前申报项目需要提交的附件材料列表，附件材料会展示附件的要求、材料模板。</w:t>
      </w:r>
    </w:p>
    <w:p w14:paraId="383D0C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0A227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点击发票列表（此功能只有需要上传发票的项目会显示），用户可根据项目申报要求在发票列表添加发票，仅需输入发票代码、号码、发票文件，即可成功添加发票。</w:t>
      </w:r>
    </w:p>
    <w:p w14:paraId="3302EB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218FE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点击合同管理，用户可根据项目申报要求在合同列表添加合同。</w:t>
      </w:r>
    </w:p>
    <w:p w14:paraId="3B4B8D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C719F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填写申报表单时，系统自动调用系统数据或者政务数据，进行自定填充，帮助用户实现“少报、少填”甚至“不填”</w:t>
      </w:r>
    </w:p>
    <w:p w14:paraId="0C797A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687F2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提交表单的时候，可以通过填写检查，查看未填写的内容，进行自动跟踪和填写，快速检查漏填内容。</w:t>
      </w:r>
    </w:p>
    <w:p w14:paraId="1E8540D2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0D6FD"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 w14:paraId="371C67EE"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 w14:paraId="486B1ACE"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 w14:paraId="6F51DEBB"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 w14:paraId="5FEC8694">
      <w:pPr>
        <w:pStyle w:val="2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 w14:paraId="17CFADB3"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4" w:name="_Toc512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五、</w:t>
      </w:r>
      <w:r>
        <w:rPr>
          <w:rFonts w:hint="eastAsia" w:ascii="宋体" w:hAnsi="宋体" w:eastAsia="宋体" w:cs="宋体"/>
          <w:sz w:val="36"/>
          <w:szCs w:val="36"/>
        </w:rPr>
        <w:t>项目进度查询</w:t>
      </w:r>
      <w:bookmarkEnd w:id="4"/>
    </w:p>
    <w:p w14:paraId="1A8D15CD"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 w14:paraId="6E9E7330">
      <w:pPr>
        <w:spacing w:line="360" w:lineRule="auto"/>
        <w:jc w:val="center"/>
      </w:pPr>
      <w:r>
        <w:drawing>
          <wp:inline distT="0" distB="0" distL="114300" distR="114300">
            <wp:extent cx="5265420" cy="2693670"/>
            <wp:effectExtent l="0" t="0" r="762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10642"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点击“我的项目”，在该项目右侧可查看当前进度。</w:t>
      </w:r>
    </w:p>
    <w:p w14:paraId="16831870">
      <w:pPr>
        <w:spacing w:line="360" w:lineRule="auto"/>
        <w:jc w:val="center"/>
      </w:pPr>
      <w:r>
        <w:drawing>
          <wp:inline distT="0" distB="0" distL="114300" distR="114300">
            <wp:extent cx="5270500" cy="3098165"/>
            <wp:effectExtent l="0" t="0" r="2540" b="1079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24195">
      <w:pPr>
        <w:spacing w:line="360" w:lineRule="auto"/>
        <w:jc w:val="center"/>
      </w:pPr>
    </w:p>
    <w:p w14:paraId="5A223EFF">
      <w:pPr>
        <w:spacing w:line="360" w:lineRule="auto"/>
        <w:jc w:val="center"/>
      </w:pPr>
    </w:p>
    <w:p w14:paraId="31932CF8">
      <w:pPr>
        <w:spacing w:line="360" w:lineRule="auto"/>
        <w:jc w:val="center"/>
      </w:pPr>
    </w:p>
    <w:p w14:paraId="488A5634">
      <w:pPr>
        <w:spacing w:line="360" w:lineRule="auto"/>
        <w:jc w:val="center"/>
      </w:pPr>
    </w:p>
    <w:p w14:paraId="7A54F78F"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5" w:name="_Toc18439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六、</w:t>
      </w:r>
      <w:r>
        <w:rPr>
          <w:rFonts w:hint="eastAsia" w:ascii="宋体" w:hAnsi="宋体" w:eastAsia="宋体" w:cs="宋体"/>
          <w:sz w:val="36"/>
          <w:szCs w:val="36"/>
        </w:rPr>
        <w:t>下载打印</w:t>
      </w:r>
      <w:bookmarkEnd w:id="5"/>
    </w:p>
    <w:p w14:paraId="64959DE1"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 w14:paraId="7896F07F">
      <w:pPr>
        <w:spacing w:line="360" w:lineRule="auto"/>
      </w:pPr>
      <w:r>
        <w:drawing>
          <wp:inline distT="0" distB="0" distL="114300" distR="114300">
            <wp:extent cx="5265420" cy="2693670"/>
            <wp:effectExtent l="0" t="0" r="7620" b="38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7A692">
      <w:pPr>
        <w:spacing w:line="360" w:lineRule="auto"/>
        <w:rPr>
          <w:rFonts w:ascii="宋体" w:hAnsi="宋体" w:eastAsia="宋体" w:cs="宋体"/>
        </w:rPr>
      </w:pPr>
    </w:p>
    <w:p w14:paraId="71A4EBCE"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点击“我的项目”，寻找</w:t>
      </w:r>
      <w:r>
        <w:rPr>
          <w:rFonts w:hint="eastAsia" w:ascii="宋体" w:hAnsi="宋体" w:eastAsia="宋体" w:cs="宋体"/>
          <w:sz w:val="24"/>
          <w:lang w:val="en-US" w:eastAsia="zh-CN"/>
        </w:rPr>
        <w:t>到</w:t>
      </w:r>
      <w:r>
        <w:rPr>
          <w:rFonts w:hint="eastAsia" w:ascii="宋体" w:hAnsi="宋体" w:eastAsia="宋体" w:cs="宋体"/>
          <w:sz w:val="24"/>
        </w:rPr>
        <w:t>需要打印的项目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点击右侧“打印/递交”</w:t>
      </w:r>
      <w:r>
        <w:rPr>
          <w:rFonts w:hint="eastAsia" w:ascii="宋体" w:hAnsi="宋体" w:eastAsia="宋体" w:cs="宋体"/>
          <w:sz w:val="24"/>
        </w:rPr>
        <w:t>即可</w:t>
      </w:r>
      <w:r>
        <w:rPr>
          <w:rFonts w:hint="eastAsia" w:ascii="宋体" w:hAnsi="宋体" w:eastAsia="宋体" w:cs="宋体"/>
          <w:sz w:val="24"/>
          <w:lang w:val="en-US" w:eastAsia="zh-CN"/>
        </w:rPr>
        <w:t>进行打印下载</w:t>
      </w:r>
      <w:r>
        <w:rPr>
          <w:rFonts w:hint="eastAsia" w:ascii="宋体" w:hAnsi="宋体" w:eastAsia="宋体" w:cs="宋体"/>
          <w:sz w:val="24"/>
        </w:rPr>
        <w:t>；</w:t>
      </w:r>
    </w:p>
    <w:p w14:paraId="2C175C76">
      <w:pPr>
        <w:spacing w:line="360" w:lineRule="auto"/>
        <w:jc w:val="center"/>
      </w:pPr>
      <w:r>
        <w:drawing>
          <wp:inline distT="0" distB="0" distL="114300" distR="114300">
            <wp:extent cx="5273675" cy="2835910"/>
            <wp:effectExtent l="0" t="0" r="14605" b="1397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B5BFD">
      <w:pPr>
        <w:spacing w:line="360" w:lineRule="auto"/>
        <w:jc w:val="center"/>
      </w:pPr>
    </w:p>
    <w:p w14:paraId="0F211F88">
      <w:pPr>
        <w:spacing w:line="360" w:lineRule="auto"/>
        <w:jc w:val="center"/>
      </w:pPr>
    </w:p>
    <w:p w14:paraId="5520FF5F">
      <w:pPr>
        <w:spacing w:line="360" w:lineRule="auto"/>
        <w:jc w:val="center"/>
      </w:pPr>
    </w:p>
    <w:p w14:paraId="04E31BF6">
      <w:pPr>
        <w:spacing w:line="360" w:lineRule="auto"/>
        <w:jc w:val="center"/>
      </w:pPr>
    </w:p>
    <w:p w14:paraId="570787A7">
      <w:pPr>
        <w:spacing w:line="360" w:lineRule="auto"/>
        <w:ind w:firstLine="210"/>
        <w:rPr>
          <w:rFonts w:ascii="宋体" w:hAnsi="宋体" w:eastAsia="宋体" w:cs="宋体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hint="eastAsia" w:ascii="宋体" w:hAnsi="宋体" w:eastAsia="宋体" w:cs="宋体"/>
          <w:sz w:val="24"/>
        </w:rPr>
        <w:instrText xml:space="preserve">= 3 \* GB3</w:instrText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hint="eastAsia" w:ascii="宋体" w:hAnsi="宋体" w:eastAsia="宋体" w:cs="宋体"/>
          <w:sz w:val="24"/>
        </w:rPr>
        <w:t>③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点击“打印/递交”，再点击“一键打包下载”即可。</w:t>
      </w:r>
    </w:p>
    <w:p w14:paraId="5EFBC532"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79645" cy="2070735"/>
            <wp:effectExtent l="0" t="0" r="1905" b="57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86374" cy="20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17C06">
      <w:pPr>
        <w:spacing w:line="360" w:lineRule="auto"/>
        <w:rPr>
          <w:rFonts w:ascii="宋体" w:hAnsi="宋体" w:eastAsia="宋体" w:cs="宋体"/>
        </w:rPr>
      </w:pPr>
    </w:p>
    <w:p w14:paraId="29C7762E">
      <w:pPr>
        <w:spacing w:line="360" w:lineRule="auto"/>
        <w:rPr>
          <w:rFonts w:ascii="宋体" w:hAnsi="宋体" w:eastAsia="宋体" w:cs="宋体"/>
        </w:rPr>
      </w:pPr>
    </w:p>
    <w:p w14:paraId="6BC2BF81">
      <w:pPr>
        <w:widowControl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page"/>
      </w:r>
    </w:p>
    <w:p w14:paraId="23F16277">
      <w:pPr>
        <w:pStyle w:val="2"/>
        <w:numPr>
          <w:ilvl w:val="0"/>
          <w:numId w:val="0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6" w:name="_Toc27836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七、</w:t>
      </w:r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6"/>
    </w:p>
    <w:p w14:paraId="76100C9D">
      <w:pPr>
        <w:numPr>
          <w:ilvl w:val="0"/>
          <w:numId w:val="11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 w14:paraId="51059D35">
      <w:pPr>
        <w:spacing w:line="360" w:lineRule="auto"/>
      </w:pPr>
      <w:r>
        <w:drawing>
          <wp:inline distT="0" distB="0" distL="114300" distR="114300">
            <wp:extent cx="4827905" cy="2470150"/>
            <wp:effectExtent l="0" t="0" r="3175" b="139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F4A62">
      <w:pPr>
        <w:numPr>
          <w:ilvl w:val="0"/>
          <w:numId w:val="11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点击“我的项目”，选择“已退回”，点击“修改”，修改完提交即可。（若该项目当时是申报员提交，则需要登录申报员账号才有“修改”按钮。</w:t>
      </w:r>
      <w:r>
        <w:rPr>
          <w:rFonts w:hint="eastAsia" w:ascii="宋体" w:hAnsi="宋体" w:eastAsia="宋体" w:cs="宋体"/>
          <w:color w:val="FF0000"/>
          <w:sz w:val="24"/>
        </w:rPr>
        <w:t>若显示“已逾期”</w:t>
      </w:r>
      <w:r>
        <w:rPr>
          <w:rFonts w:hint="eastAsia" w:ascii="宋体" w:hAnsi="宋体" w:eastAsia="宋体" w:cs="宋体"/>
          <w:sz w:val="24"/>
        </w:rPr>
        <w:t>，则需要</w:t>
      </w:r>
      <w:r>
        <w:rPr>
          <w:rFonts w:hint="eastAsia" w:ascii="宋体" w:hAnsi="宋体" w:eastAsia="宋体" w:cs="宋体"/>
          <w:sz w:val="24"/>
          <w:lang w:val="en-US" w:eastAsia="zh-CN"/>
        </w:rPr>
        <w:t>点击左侧联系方式，</w:t>
      </w:r>
      <w:r>
        <w:rPr>
          <w:rFonts w:hint="eastAsia" w:ascii="宋体" w:hAnsi="宋体" w:eastAsia="宋体" w:cs="宋体"/>
          <w:sz w:val="24"/>
        </w:rPr>
        <w:t>联系相关部门咨询如何处理）</w:t>
      </w:r>
    </w:p>
    <w:p w14:paraId="087B239B">
      <w:pPr>
        <w:spacing w:line="360" w:lineRule="auto"/>
      </w:pPr>
      <w:r>
        <w:drawing>
          <wp:inline distT="0" distB="0" distL="114300" distR="114300">
            <wp:extent cx="4557395" cy="2288540"/>
            <wp:effectExtent l="0" t="0" r="14605" b="127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0F795">
      <w:pPr>
        <w:spacing w:line="360" w:lineRule="auto"/>
      </w:pPr>
      <w:r>
        <w:drawing>
          <wp:inline distT="0" distB="0" distL="114300" distR="114300">
            <wp:extent cx="4558030" cy="2254885"/>
            <wp:effectExtent l="0" t="0" r="1397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0628E">
      <w:pPr>
        <w:pStyle w:val="2"/>
        <w:numPr>
          <w:ilvl w:val="0"/>
          <w:numId w:val="0"/>
        </w:numPr>
        <w:bidi w:val="0"/>
        <w:ind w:leftChars="0"/>
        <w:rPr>
          <w:rFonts w:hint="eastAsia"/>
          <w:sz w:val="36"/>
          <w:szCs w:val="36"/>
          <w:lang w:val="en-US" w:eastAsia="zh-CN"/>
        </w:rPr>
      </w:pPr>
      <w:bookmarkStart w:id="7" w:name="_Toc17646"/>
      <w:r>
        <w:rPr>
          <w:rFonts w:hint="eastAsia"/>
          <w:sz w:val="36"/>
          <w:szCs w:val="36"/>
          <w:lang w:val="en-US" w:eastAsia="zh-CN"/>
        </w:rPr>
        <w:t>八、政策解读</w:t>
      </w:r>
      <w:bookmarkEnd w:id="7"/>
    </w:p>
    <w:p w14:paraId="24034BF2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动漫解读专区，点击政策解读-动漫解读，可以跳转至政策解读专区，动漫解读专区有形象化、通俗化的政策动漫解读，让企业对政策内容有更加深入的理解。</w:t>
      </w:r>
    </w:p>
    <w:p w14:paraId="6FA7A27E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B8780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视频解读专区，点击政策解读-直播解读，可以跳转至视频解读专区，查看部门发布的官方媒体视频资讯，让普通的市民对政策内容有更加深入的理解。</w:t>
      </w:r>
    </w:p>
    <w:p w14:paraId="03F511DA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534ED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文字解读专区，点击政策解读-文字解读，可以跳转至文字解读专区，查看部门发布的官方部门和媒体文章，通过文字问答的方式进行问题式解读，让申报用户快速找到疑问的答案。</w:t>
      </w:r>
    </w:p>
    <w:p w14:paraId="7597053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10160" b="698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DB8C7">
      <w:pPr>
        <w:numPr>
          <w:ilvl w:val="0"/>
          <w:numId w:val="0"/>
        </w:numPr>
        <w:ind w:leftChars="0"/>
      </w:pPr>
    </w:p>
    <w:p w14:paraId="4F5F090A">
      <w:pPr>
        <w:numPr>
          <w:ilvl w:val="0"/>
          <w:numId w:val="0"/>
        </w:numPr>
        <w:ind w:leftChars="0"/>
      </w:pPr>
    </w:p>
    <w:p w14:paraId="1C3774D6">
      <w:pPr>
        <w:numPr>
          <w:ilvl w:val="0"/>
          <w:numId w:val="0"/>
        </w:numPr>
        <w:ind w:leftChars="0"/>
      </w:pPr>
    </w:p>
    <w:p w14:paraId="26A8A12D">
      <w:pPr>
        <w:numPr>
          <w:ilvl w:val="0"/>
          <w:numId w:val="0"/>
        </w:numPr>
        <w:ind w:leftChars="0"/>
      </w:pPr>
    </w:p>
    <w:p w14:paraId="548037A2">
      <w:pPr>
        <w:numPr>
          <w:ilvl w:val="0"/>
          <w:numId w:val="0"/>
        </w:numPr>
        <w:ind w:leftChars="0"/>
      </w:pPr>
    </w:p>
    <w:p w14:paraId="305B5A3A">
      <w:pPr>
        <w:numPr>
          <w:ilvl w:val="0"/>
          <w:numId w:val="0"/>
        </w:numPr>
        <w:ind w:leftChars="0"/>
      </w:pPr>
    </w:p>
    <w:p w14:paraId="225FFAA9">
      <w:pPr>
        <w:numPr>
          <w:ilvl w:val="0"/>
          <w:numId w:val="0"/>
        </w:numPr>
        <w:ind w:leftChars="0"/>
      </w:pPr>
    </w:p>
    <w:p w14:paraId="45E4A856">
      <w:pPr>
        <w:numPr>
          <w:ilvl w:val="0"/>
          <w:numId w:val="0"/>
        </w:numPr>
        <w:ind w:leftChars="0"/>
      </w:pPr>
    </w:p>
    <w:p w14:paraId="374CAB49">
      <w:pPr>
        <w:numPr>
          <w:ilvl w:val="0"/>
          <w:numId w:val="0"/>
        </w:numPr>
        <w:ind w:leftChars="0"/>
      </w:pPr>
    </w:p>
    <w:p w14:paraId="3355DC1B">
      <w:pPr>
        <w:numPr>
          <w:ilvl w:val="0"/>
          <w:numId w:val="0"/>
        </w:numPr>
        <w:ind w:leftChars="0"/>
      </w:pPr>
    </w:p>
    <w:p w14:paraId="6BE03404">
      <w:pPr>
        <w:numPr>
          <w:ilvl w:val="0"/>
          <w:numId w:val="0"/>
        </w:numPr>
        <w:ind w:leftChars="0"/>
      </w:pPr>
    </w:p>
    <w:p w14:paraId="6C10F31A">
      <w:pPr>
        <w:numPr>
          <w:ilvl w:val="0"/>
          <w:numId w:val="0"/>
        </w:numPr>
        <w:ind w:leftChars="0"/>
      </w:pPr>
    </w:p>
    <w:p w14:paraId="4A79882A">
      <w:pPr>
        <w:numPr>
          <w:ilvl w:val="0"/>
          <w:numId w:val="0"/>
        </w:numPr>
        <w:ind w:leftChars="0"/>
      </w:pPr>
    </w:p>
    <w:p w14:paraId="0183B171">
      <w:pPr>
        <w:numPr>
          <w:ilvl w:val="0"/>
          <w:numId w:val="0"/>
        </w:numPr>
        <w:ind w:leftChars="0"/>
      </w:pPr>
    </w:p>
    <w:p w14:paraId="4B85CF80">
      <w:pPr>
        <w:numPr>
          <w:ilvl w:val="0"/>
          <w:numId w:val="0"/>
        </w:numPr>
        <w:ind w:leftChars="0"/>
      </w:pPr>
    </w:p>
    <w:p w14:paraId="6332BE8C">
      <w:pPr>
        <w:numPr>
          <w:ilvl w:val="0"/>
          <w:numId w:val="0"/>
        </w:numPr>
        <w:ind w:leftChars="0"/>
      </w:pPr>
    </w:p>
    <w:p w14:paraId="6996AEB5">
      <w:pPr>
        <w:numPr>
          <w:ilvl w:val="0"/>
          <w:numId w:val="0"/>
        </w:numPr>
        <w:ind w:leftChars="0"/>
      </w:pPr>
    </w:p>
    <w:p w14:paraId="7D66E8D6">
      <w:pPr>
        <w:numPr>
          <w:ilvl w:val="0"/>
          <w:numId w:val="0"/>
        </w:numPr>
        <w:ind w:leftChars="0"/>
      </w:pPr>
    </w:p>
    <w:p w14:paraId="294DE427">
      <w:pPr>
        <w:numPr>
          <w:ilvl w:val="0"/>
          <w:numId w:val="0"/>
        </w:numPr>
        <w:ind w:leftChars="0"/>
      </w:pPr>
    </w:p>
    <w:p w14:paraId="776ECA75">
      <w:pPr>
        <w:numPr>
          <w:ilvl w:val="0"/>
          <w:numId w:val="0"/>
        </w:numPr>
        <w:ind w:leftChars="0"/>
      </w:pPr>
    </w:p>
    <w:p w14:paraId="4C4F17CD">
      <w:pPr>
        <w:numPr>
          <w:ilvl w:val="0"/>
          <w:numId w:val="0"/>
        </w:numPr>
        <w:ind w:leftChars="0"/>
      </w:pPr>
    </w:p>
    <w:p w14:paraId="2C7F881F">
      <w:pPr>
        <w:numPr>
          <w:ilvl w:val="0"/>
          <w:numId w:val="0"/>
        </w:numPr>
        <w:ind w:leftChars="0"/>
      </w:pPr>
    </w:p>
    <w:p w14:paraId="1F80F4D9">
      <w:pPr>
        <w:numPr>
          <w:ilvl w:val="0"/>
          <w:numId w:val="0"/>
        </w:numPr>
        <w:ind w:leftChars="0"/>
      </w:pPr>
    </w:p>
    <w:p w14:paraId="60B1524D">
      <w:pPr>
        <w:numPr>
          <w:ilvl w:val="0"/>
          <w:numId w:val="0"/>
        </w:numPr>
        <w:ind w:leftChars="0"/>
      </w:pPr>
    </w:p>
    <w:p w14:paraId="2249680E">
      <w:pPr>
        <w:numPr>
          <w:ilvl w:val="0"/>
          <w:numId w:val="0"/>
        </w:numPr>
        <w:ind w:leftChars="0"/>
      </w:pPr>
    </w:p>
    <w:p w14:paraId="295D850E">
      <w:pPr>
        <w:numPr>
          <w:ilvl w:val="0"/>
          <w:numId w:val="0"/>
        </w:numPr>
        <w:ind w:leftChars="0"/>
      </w:pPr>
    </w:p>
    <w:p w14:paraId="2D6868C3">
      <w:pPr>
        <w:numPr>
          <w:ilvl w:val="0"/>
          <w:numId w:val="0"/>
        </w:numPr>
        <w:ind w:leftChars="0"/>
      </w:pPr>
    </w:p>
    <w:p w14:paraId="32AB9C99">
      <w:pPr>
        <w:numPr>
          <w:ilvl w:val="0"/>
          <w:numId w:val="0"/>
        </w:numPr>
        <w:ind w:leftChars="0"/>
      </w:pPr>
    </w:p>
    <w:p w14:paraId="2FBAC045">
      <w:pPr>
        <w:numPr>
          <w:ilvl w:val="0"/>
          <w:numId w:val="0"/>
        </w:numPr>
        <w:ind w:leftChars="0"/>
      </w:pPr>
    </w:p>
    <w:p w14:paraId="266F545A">
      <w:pPr>
        <w:numPr>
          <w:ilvl w:val="0"/>
          <w:numId w:val="0"/>
        </w:numPr>
        <w:ind w:leftChars="0"/>
      </w:pPr>
    </w:p>
    <w:p w14:paraId="14DCE5AC">
      <w:pPr>
        <w:pStyle w:val="2"/>
        <w:numPr>
          <w:ilvl w:val="0"/>
          <w:numId w:val="0"/>
        </w:numPr>
        <w:bidi w:val="0"/>
        <w:ind w:leftChars="0"/>
        <w:rPr>
          <w:sz w:val="36"/>
          <w:szCs w:val="36"/>
        </w:rPr>
      </w:pPr>
      <w:bookmarkStart w:id="8" w:name="_Toc10586"/>
      <w:r>
        <w:rPr>
          <w:rFonts w:hint="eastAsia"/>
          <w:sz w:val="36"/>
          <w:szCs w:val="36"/>
          <w:lang w:val="en-US" w:eastAsia="zh-CN"/>
        </w:rPr>
        <w:t>九、操作指引</w:t>
      </w:r>
      <w:bookmarkEnd w:id="8"/>
    </w:p>
    <w:p w14:paraId="736AF9A5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新手指南，可以下载系统的企业使用手册，新手指南包含申报流程、注册向导、设置向导、申报向导功能，通过非常简洁到位的图文结合、步骤式的系统操作讲解，解决新手用户对于操作使用上的疑问，同时提供使用手册下载，方便用户日后随时查看。</w:t>
      </w:r>
    </w:p>
    <w:p w14:paraId="7E36965C">
      <w:pPr>
        <w:numPr>
          <w:ilvl w:val="0"/>
          <w:numId w:val="0"/>
        </w:numPr>
      </w:pPr>
      <w:r>
        <w:drawing>
          <wp:inline distT="0" distB="0" distL="114300" distR="114300">
            <wp:extent cx="5266690" cy="2583815"/>
            <wp:effectExtent l="0" t="0" r="10160" b="698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D7FF8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见问题，可以查看使用系统时会出现的常见问题，通过一线运维人员的日常工作记录及总结，汇集出用户咨询的问答库，再从中挑选出最常见的一些用户问题，上架到常见问题内。常见问题采取Q&amp;A的方式，并且划分好不同情形的解决方式，所有问题已根据不同的用户角色进行划分，涵盖申报主体、部门审核人及财政部门。</w:t>
      </w:r>
    </w:p>
    <w:p w14:paraId="105BCB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238A0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点击使用帮助-常用工具，可以快速下载在使用系统的过程中可能会用到的工具</w:t>
      </w:r>
    </w:p>
    <w:p w14:paraId="7E30A3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B8E33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视频教学，可以查看系统使用的教学视频，视频教学内容包括单位注册、激活用户、单位基本信息设置、如何寻找项目、查询项目审批进度等常见操作，由一线运维人员录制，内容简短直击高频操作，对于关键的操作和界面，还有非常清晰的特效提醒，视频内容将根据系统升级的情况定期更新。</w:t>
      </w:r>
    </w:p>
    <w:p w14:paraId="6B8496E8">
      <w:pPr>
        <w:numPr>
          <w:ilvl w:val="0"/>
          <w:numId w:val="0"/>
        </w:numPr>
        <w:ind w:left="400" w:leftChars="0"/>
      </w:pPr>
    </w:p>
    <w:p w14:paraId="09AA694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58110"/>
            <wp:effectExtent l="0" t="0" r="10160" b="889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617D8">
      <w:pPr>
        <w:numPr>
          <w:ilvl w:val="0"/>
          <w:numId w:val="0"/>
        </w:numPr>
        <w:ind w:leftChars="0"/>
      </w:pPr>
    </w:p>
    <w:p w14:paraId="3DBC06DB">
      <w:pPr>
        <w:numPr>
          <w:ilvl w:val="0"/>
          <w:numId w:val="0"/>
        </w:numPr>
        <w:ind w:leftChars="0"/>
      </w:pPr>
    </w:p>
    <w:p w14:paraId="2C52E7AC">
      <w:pPr>
        <w:pStyle w:val="2"/>
        <w:numPr>
          <w:ilvl w:val="0"/>
          <w:numId w:val="0"/>
        </w:numPr>
        <w:bidi w:val="0"/>
        <w:ind w:leftChars="0"/>
        <w:rPr>
          <w:rFonts w:hint="default"/>
          <w:sz w:val="36"/>
          <w:szCs w:val="36"/>
          <w:lang w:val="en-US" w:eastAsia="zh-CN"/>
        </w:rPr>
      </w:pPr>
      <w:bookmarkStart w:id="9" w:name="_Toc13630"/>
      <w:r>
        <w:rPr>
          <w:rFonts w:hint="eastAsia"/>
          <w:sz w:val="36"/>
          <w:szCs w:val="36"/>
          <w:lang w:val="en-US" w:eastAsia="zh-CN"/>
        </w:rPr>
        <w:t>十、订阅操作</w:t>
      </w:r>
      <w:bookmarkEnd w:id="9"/>
    </w:p>
    <w:p w14:paraId="14CD9243"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主题订阅，点击具体项目，点击关注可以对此项目进行订阅操作，订阅后将鼠标悬停在系统右上角的铃铛图标，点击查看更多，可以查看订阅的主题。</w:t>
      </w:r>
    </w:p>
    <w:p w14:paraId="650D41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A3B57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7A4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4DC0F"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点击右上角我的工作台-设置-智能订阅，可以自行添加订阅的关键字，系统会根据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用户订阅的关键字，推送相关的政策、专题等内容，便于用户更高效获取想要的信息。</w:t>
      </w:r>
    </w:p>
    <w:p w14:paraId="5F3012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4053F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8A64A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5A5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853EF"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注部门旗舰店，点击具体项目，在界面右侧可以对发布项目的审核部门进行关注，系统会根据用户关注的部门推送该部门相关的政策和申报项目，点击具体部门，可以进入该部门的项目旗舰店查看与次部门相关的扶持政策、通知。</w:t>
      </w:r>
    </w:p>
    <w:p w14:paraId="5FF5E0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B08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7CC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0E154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C0524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11EEDB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2759F6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A0C52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11203D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BB7D6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5F8155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117EA3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1B927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83E6A45">
      <w:pPr>
        <w:pStyle w:val="2"/>
        <w:numPr>
          <w:ilvl w:val="0"/>
          <w:numId w:val="15"/>
        </w:numPr>
        <w:bidi w:val="0"/>
        <w:rPr>
          <w:rFonts w:hint="eastAsia"/>
          <w:sz w:val="36"/>
          <w:szCs w:val="36"/>
          <w:lang w:val="en-US" w:eastAsia="zh-CN"/>
        </w:rPr>
      </w:pPr>
      <w:bookmarkStart w:id="10" w:name="_Toc9609"/>
      <w:r>
        <w:rPr>
          <w:rFonts w:hint="eastAsia"/>
          <w:sz w:val="36"/>
          <w:szCs w:val="36"/>
          <w:lang w:val="en-US" w:eastAsia="zh-CN"/>
        </w:rPr>
        <w:t>账号管理</w:t>
      </w:r>
      <w:bookmarkEnd w:id="10"/>
    </w:p>
    <w:p w14:paraId="214691E7"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基础信息管理，在系统首页右上方点击“我的工作台”-设置，可以对用户在系统的基础信息进行添加修改操作</w:t>
      </w:r>
    </w:p>
    <w:p w14:paraId="56DD27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F3FE2"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申报员管理，在系统首页右上方点击“我的工作台”-设置-申报员管理，可以添加申报员。</w:t>
      </w:r>
    </w:p>
    <w:p w14:paraId="79E7B9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针对一些集团、大型企业存在多个业务经办人</w:t>
      </w:r>
      <w:bookmarkStart w:id="11" w:name="_GoBack"/>
      <w:bookmarkEnd w:id="1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以及子公司申报等情况，提供申报员管理功能：</w:t>
      </w:r>
    </w:p>
    <w:p w14:paraId="60EF98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1、通过添加申报人员，可在系统内协助单位管理员进行项目申报；</w:t>
      </w:r>
    </w:p>
    <w:p w14:paraId="4531C4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2、申报员所有提交的项目均需要得到单位管理员同意后，才可提交至对应主管部门审批；</w:t>
      </w:r>
    </w:p>
    <w:p w14:paraId="2D21BC15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S UI Gothic">
    <w:panose1 w:val="020B0600070205080204"/>
    <w:charset w:val="80"/>
    <w:family w:val="swiss"/>
    <w:pitch w:val="default"/>
    <w:sig w:usb0="E00002FF" w:usb1="6AC7FDFB" w:usb2="00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 w14:paraId="01F06AB4"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 w14:paraId="2B9755E2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E21077"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F508CB">
                          <w:pPr>
                            <w:spacing w:line="247" w:lineRule="exact"/>
                            <w:ind w:left="2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 w14:paraId="322274CF">
                          <w:pPr>
                            <w:spacing w:before="4" w:line="214" w:lineRule="exact"/>
                            <w:ind w:left="20"/>
                            <w:jc w:val="left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6192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7mi+8tgAAAAKAQAADwAAAAAAAAABACAAAAAiAAAAZHJzL2Rvd25yZXYueG1sUEsBAhQA&#10;FAAAAAgAh07iQL0iZ4a5AQAAcAMAAA4AAAAAAAAAAQAgAAAAJw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2F508CB">
                    <w:pPr>
                      <w:spacing w:line="247" w:lineRule="exact"/>
                      <w:ind w:left="2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 w14:paraId="322274CF">
                    <w:pPr>
                      <w:spacing w:before="4" w:line="214" w:lineRule="exact"/>
                      <w:ind w:left="2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FBADB8"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3C32B21"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 w14:paraId="1DC8B965"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3C32B21"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 w14:paraId="1DC8B965"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2B3BE8"/>
    <w:multiLevelType w:val="singleLevel"/>
    <w:tmpl w:val="852B3BE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8D77033B"/>
    <w:multiLevelType w:val="singleLevel"/>
    <w:tmpl w:val="8D77033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D2E449E6"/>
    <w:multiLevelType w:val="singleLevel"/>
    <w:tmpl w:val="D2E449E6"/>
    <w:lvl w:ilvl="0" w:tentative="0">
      <w:start w:val="1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>
    <w:nsid w:val="E42A8281"/>
    <w:multiLevelType w:val="singleLevel"/>
    <w:tmpl w:val="E42A828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8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25B9510E"/>
    <w:multiLevelType w:val="singleLevel"/>
    <w:tmpl w:val="25B9510E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0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1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12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3">
    <w:nsid w:val="563561AB"/>
    <w:multiLevelType w:val="singleLevel"/>
    <w:tmpl w:val="563561A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4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5">
    <w:nsid w:val="62D7E516"/>
    <w:multiLevelType w:val="singleLevel"/>
    <w:tmpl w:val="62D7E51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14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3"/>
  </w:num>
  <w:num w:numId="9">
    <w:abstractNumId w:val="4"/>
  </w:num>
  <w:num w:numId="10">
    <w:abstractNumId w:val="0"/>
  </w:num>
  <w:num w:numId="11">
    <w:abstractNumId w:val="10"/>
  </w:num>
  <w:num w:numId="12">
    <w:abstractNumId w:val="7"/>
  </w:num>
  <w:num w:numId="13">
    <w:abstractNumId w:val="15"/>
  </w:num>
  <w:num w:numId="14">
    <w:abstractNumId w:val="13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mMmI0NzhmNGRhMmVkOGYyZjA4NmZmMGE2NDU5NGQ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194109C"/>
    <w:rsid w:val="07347DD3"/>
    <w:rsid w:val="0A0B6832"/>
    <w:rsid w:val="0CDD69F5"/>
    <w:rsid w:val="0F434077"/>
    <w:rsid w:val="1067099D"/>
    <w:rsid w:val="147534AF"/>
    <w:rsid w:val="179C7F46"/>
    <w:rsid w:val="1A37490E"/>
    <w:rsid w:val="1C250C9B"/>
    <w:rsid w:val="1C2853E6"/>
    <w:rsid w:val="1D5A224E"/>
    <w:rsid w:val="1E8216F8"/>
    <w:rsid w:val="1FDE5AA1"/>
    <w:rsid w:val="214C6E27"/>
    <w:rsid w:val="21AB1C20"/>
    <w:rsid w:val="2286411B"/>
    <w:rsid w:val="23E23813"/>
    <w:rsid w:val="261D371D"/>
    <w:rsid w:val="285052B0"/>
    <w:rsid w:val="28FF2897"/>
    <w:rsid w:val="2C522502"/>
    <w:rsid w:val="2D311FE8"/>
    <w:rsid w:val="31FB65D6"/>
    <w:rsid w:val="37B559B6"/>
    <w:rsid w:val="3E7159BB"/>
    <w:rsid w:val="3E817CEB"/>
    <w:rsid w:val="3F8C3612"/>
    <w:rsid w:val="3FC07E61"/>
    <w:rsid w:val="406E4EF1"/>
    <w:rsid w:val="40A7060A"/>
    <w:rsid w:val="420E2C62"/>
    <w:rsid w:val="43646821"/>
    <w:rsid w:val="43C77038"/>
    <w:rsid w:val="44EC1AE8"/>
    <w:rsid w:val="44EF6439"/>
    <w:rsid w:val="4506395D"/>
    <w:rsid w:val="46172330"/>
    <w:rsid w:val="4834051C"/>
    <w:rsid w:val="4DE45609"/>
    <w:rsid w:val="4E0C25DD"/>
    <w:rsid w:val="4E53377F"/>
    <w:rsid w:val="4F5A165D"/>
    <w:rsid w:val="524D69F1"/>
    <w:rsid w:val="585D67BA"/>
    <w:rsid w:val="5A376EB0"/>
    <w:rsid w:val="5BF73483"/>
    <w:rsid w:val="5C655AE3"/>
    <w:rsid w:val="5DF533F2"/>
    <w:rsid w:val="5EB1159A"/>
    <w:rsid w:val="5F2C0C06"/>
    <w:rsid w:val="5FAF269B"/>
    <w:rsid w:val="5FC912F8"/>
    <w:rsid w:val="615A48A1"/>
    <w:rsid w:val="652E212D"/>
    <w:rsid w:val="65373945"/>
    <w:rsid w:val="65636C2B"/>
    <w:rsid w:val="65CA5763"/>
    <w:rsid w:val="66DB06B4"/>
    <w:rsid w:val="6B545D24"/>
    <w:rsid w:val="70410FD1"/>
    <w:rsid w:val="72304000"/>
    <w:rsid w:val="72C861C8"/>
    <w:rsid w:val="758E79D5"/>
    <w:rsid w:val="77CB24B2"/>
    <w:rsid w:val="7A5945D0"/>
    <w:rsid w:val="7A936015"/>
    <w:rsid w:val="7B634883"/>
    <w:rsid w:val="7CF242BD"/>
    <w:rsid w:val="7D975849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221</Words>
  <Characters>313</Characters>
  <Lines>9</Lines>
  <Paragraphs>2</Paragraphs>
  <TotalTime>0</TotalTime>
  <ScaleCrop>false</ScaleCrop>
  <LinksUpToDate>false</LinksUpToDate>
  <CharactersWithSpaces>352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凯瑟绿</cp:lastModifiedBy>
  <dcterms:modified xsi:type="dcterms:W3CDTF">2025-05-26T03:31:46Z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1F1937E60D824E29A3DD6E21C4B38E1D</vt:lpwstr>
  </property>
  <property fmtid="{D5CDD505-2E9C-101B-9397-08002B2CF9AE}" pid="4" name="KSOTemplateDocerSaveRecord">
    <vt:lpwstr>eyJoZGlkIjoiOTI5NDJjNjQxN2Q0MDBiOWFlODAyM2I2YWQ1M2NiZDkiLCJ1c2VySWQiOiIxMjE5Mzg3MTc0In0=</vt:lpwstr>
  </property>
</Properties>
</file>