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6"/>
        <w:widowControl w:val="0"/>
        <w:adjustRightInd w:val="0"/>
        <w:spacing w:line="560" w:lineRule="exact"/>
        <w:ind w:right="1104"/>
        <w:jc w:val="center"/>
        <w:rPr>
          <w:rFonts w:ascii="仿宋_GB2312" w:eastAsia="仿宋_GB2312"/>
          <w:kern w:val="2"/>
          <w:sz w:val="32"/>
        </w:rPr>
      </w:pPr>
    </w:p>
    <w:p>
      <w:pPr>
        <w:pStyle w:val="26"/>
        <w:widowControl w:val="0"/>
        <w:adjustRightInd w:val="0"/>
        <w:spacing w:line="560" w:lineRule="exact"/>
        <w:ind w:right="1104"/>
        <w:jc w:val="center"/>
        <w:rPr>
          <w:rFonts w:ascii="仿宋_GB2312" w:hAnsi="仿宋_GB2312" w:eastAsia="仿宋_GB2312"/>
          <w:kern w:val="2"/>
          <w:sz w:val="32"/>
          <w:szCs w:val="32"/>
        </w:rPr>
      </w:pPr>
    </w:p>
    <w:p>
      <w:pPr>
        <w:jc w:val="center"/>
        <w:rPr>
          <w:b/>
          <w:bCs/>
          <w:sz w:val="44"/>
          <w:szCs w:val="44"/>
          <w:lang w:eastAsia="zh-TW"/>
        </w:rPr>
      </w:pPr>
    </w:p>
    <w:p>
      <w:pPr>
        <w:rPr>
          <w:b/>
          <w:bCs/>
          <w:sz w:val="44"/>
          <w:szCs w:val="44"/>
          <w:lang w:eastAsia="zh-TW"/>
        </w:rPr>
      </w:pPr>
    </w:p>
    <w:p>
      <w:pPr>
        <w:rPr>
          <w:b/>
          <w:bCs/>
          <w:sz w:val="44"/>
          <w:szCs w:val="44"/>
          <w:lang w:eastAsia="zh-TW"/>
        </w:rPr>
      </w:pPr>
    </w:p>
    <w:p>
      <w:pPr>
        <w:jc w:val="center"/>
        <w:rPr>
          <w:b/>
          <w:bCs/>
          <w:sz w:val="44"/>
          <w:szCs w:val="44"/>
          <w:lang w:eastAsia="zh-TW"/>
        </w:rPr>
      </w:pPr>
    </w:p>
    <w:p>
      <w:pPr>
        <w:jc w:val="center"/>
        <w:rPr>
          <w:b/>
          <w:bCs/>
          <w:sz w:val="44"/>
          <w:szCs w:val="44"/>
          <w:lang w:eastAsia="zh-TW"/>
        </w:rPr>
      </w:pPr>
    </w:p>
    <w:p>
      <w:pPr>
        <w:pStyle w:val="12"/>
        <w:rPr>
          <w:lang w:eastAsia="zh-TW"/>
        </w:rPr>
      </w:pPr>
    </w:p>
    <w:p>
      <w:pPr>
        <w:jc w:val="center"/>
        <w:rPr>
          <w:b/>
          <w:bCs/>
          <w:sz w:val="44"/>
          <w:szCs w:val="44"/>
          <w:lang w:eastAsia="zh-TW"/>
        </w:rPr>
      </w:pPr>
    </w:p>
    <w:p>
      <w:pPr>
        <w:ind w:firstLine="3120" w:firstLineChars="60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项目需求书</w:t>
      </w:r>
    </w:p>
    <w:p>
      <w:pPr>
        <w:jc w:val="center"/>
        <w:rPr>
          <w:b/>
          <w:bCs/>
          <w:sz w:val="44"/>
          <w:szCs w:val="44"/>
        </w:rPr>
      </w:pPr>
    </w:p>
    <w:p>
      <w:pPr>
        <w:rPr>
          <w:b/>
          <w:bCs/>
          <w:sz w:val="44"/>
          <w:szCs w:val="44"/>
        </w:rPr>
      </w:pPr>
    </w:p>
    <w:p>
      <w:pPr>
        <w:rPr>
          <w:b/>
          <w:bCs/>
          <w:sz w:val="44"/>
          <w:szCs w:val="44"/>
        </w:rPr>
      </w:pPr>
    </w:p>
    <w:p>
      <w:pPr>
        <w:pStyle w:val="12"/>
        <w:rPr>
          <w:b/>
          <w:bCs/>
          <w:sz w:val="44"/>
          <w:szCs w:val="44"/>
        </w:rPr>
      </w:pPr>
    </w:p>
    <w:p>
      <w:pPr>
        <w:pStyle w:val="12"/>
        <w:ind w:left="0" w:firstLine="0"/>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rPr>
          <w:b/>
          <w:bCs/>
          <w:sz w:val="44"/>
          <w:szCs w:val="44"/>
        </w:rPr>
      </w:pPr>
    </w:p>
    <w:p>
      <w:pPr>
        <w:pStyle w:val="12"/>
        <w:ind w:left="0" w:firstLine="0"/>
        <w:rPr>
          <w:rFonts w:hint="eastAsia"/>
          <w:b/>
          <w:bCs/>
          <w:sz w:val="44"/>
          <w:szCs w:val="44"/>
        </w:rPr>
      </w:pPr>
    </w:p>
    <w:p>
      <w:pPr>
        <w:pStyle w:val="12"/>
        <w:ind w:left="0" w:firstLine="0"/>
        <w:rPr>
          <w:b/>
          <w:bCs/>
          <w:sz w:val="44"/>
          <w:szCs w:val="44"/>
        </w:rPr>
      </w:pPr>
      <w:r>
        <w:rPr>
          <w:rFonts w:hint="eastAsia"/>
          <w:b/>
          <w:bCs/>
          <w:sz w:val="44"/>
          <w:szCs w:val="44"/>
        </w:rPr>
        <w:t xml:space="preserve">             </w:t>
      </w:r>
    </w:p>
    <w:p>
      <w:pPr>
        <w:widowControl/>
        <w:jc w:val="left"/>
        <w:rPr>
          <w:rFonts w:ascii="黑体" w:hAnsi="黑体" w:eastAsia="黑体" w:cs="黑体"/>
          <w:bCs/>
          <w:sz w:val="32"/>
          <w:szCs w:val="32"/>
        </w:rPr>
      </w:pPr>
      <w:r>
        <w:rPr>
          <w:rFonts w:hint="eastAsia"/>
          <w:b/>
          <w:bCs/>
          <w:sz w:val="44"/>
          <w:szCs w:val="44"/>
        </w:rPr>
        <w:t xml:space="preserve">   </w:t>
      </w:r>
      <w:r>
        <w:rPr>
          <w:rFonts w:hint="eastAsia" w:ascii="黑体" w:hAnsi="黑体" w:eastAsia="黑体" w:cs="黑体"/>
          <w:bCs/>
          <w:sz w:val="32"/>
          <w:szCs w:val="32"/>
        </w:rPr>
        <w:t>一、项目名称</w:t>
      </w:r>
    </w:p>
    <w:p>
      <w:pPr>
        <w:pStyle w:val="25"/>
        <w:spacing w:line="579" w:lineRule="exact"/>
        <w:ind w:firstLine="640"/>
        <w:rPr>
          <w:rFonts w:ascii="仿宋" w:hAnsi="仿宋" w:eastAsia="仿宋" w:cs="仿宋"/>
          <w:bCs/>
          <w:sz w:val="32"/>
          <w:szCs w:val="32"/>
        </w:rPr>
      </w:pPr>
      <w:r>
        <w:rPr>
          <w:rFonts w:hint="eastAsia" w:ascii="仿宋" w:hAnsi="仿宋" w:eastAsia="仿宋" w:cs="仿宋"/>
          <w:bCs/>
          <w:sz w:val="32"/>
          <w:szCs w:val="32"/>
        </w:rPr>
        <w:t>横琴粤澳深度合作区碳普惠平台运营及推广（2025年）项目</w:t>
      </w:r>
    </w:p>
    <w:p>
      <w:pPr>
        <w:ind w:firstLine="640" w:firstLineChars="200"/>
        <w:rPr>
          <w:rFonts w:ascii="黑体" w:hAnsi="黑体" w:eastAsia="黑体" w:cs="黑体"/>
          <w:bCs/>
          <w:sz w:val="32"/>
          <w:szCs w:val="32"/>
        </w:rPr>
      </w:pPr>
      <w:r>
        <w:rPr>
          <w:rFonts w:hint="eastAsia" w:ascii="黑体" w:hAnsi="黑体" w:eastAsia="黑体" w:cs="黑体"/>
          <w:bCs/>
          <w:sz w:val="32"/>
          <w:szCs w:val="32"/>
        </w:rPr>
        <w:t>二、项目概况</w:t>
      </w:r>
    </w:p>
    <w:p>
      <w:pPr>
        <w:pStyle w:val="25"/>
        <w:spacing w:line="579" w:lineRule="exact"/>
        <w:ind w:firstLine="640"/>
        <w:rPr>
          <w:rFonts w:hint="eastAsia" w:ascii="仿宋" w:hAnsi="仿宋" w:eastAsia="仿宋" w:cs="仿宋"/>
          <w:bCs/>
          <w:sz w:val="32"/>
          <w:szCs w:val="32"/>
        </w:rPr>
      </w:pPr>
      <w:r>
        <w:rPr>
          <w:rFonts w:hint="eastAsia" w:ascii="仿宋" w:hAnsi="仿宋" w:eastAsia="仿宋" w:cs="仿宋"/>
          <w:bCs/>
          <w:sz w:val="32"/>
          <w:szCs w:val="32"/>
          <w:lang w:eastAsia="zh-CN"/>
        </w:rPr>
        <w:t>横琴粤澳深度合作区（简称合作区）作为广东省首批碳中和试点之一，2024年开发并发布横琴粤澳深度合作区“琴碳星人”碳普惠平台，持续倡导全民减碳。为更好推进横琴碳普惠体系建设与平台推广，扩大</w:t>
      </w:r>
      <w:r>
        <w:rPr>
          <w:rFonts w:hint="eastAsia" w:ascii="仿宋" w:hAnsi="仿宋" w:eastAsia="仿宋" w:cs="仿宋"/>
          <w:bCs/>
          <w:sz w:val="32"/>
          <w:szCs w:val="32"/>
        </w:rPr>
        <w:t>“琴碳星人”</w:t>
      </w:r>
      <w:r>
        <w:rPr>
          <w:rFonts w:hint="eastAsia" w:ascii="仿宋" w:hAnsi="仿宋" w:eastAsia="仿宋" w:cs="仿宋"/>
          <w:bCs/>
          <w:sz w:val="32"/>
          <w:szCs w:val="32"/>
          <w:lang w:eastAsia="zh-CN"/>
        </w:rPr>
        <w:t>影响力，鼓励社会各界参与碳减排行动，推动形成绿色低碳生产生活方式和消费模式，合作区城市规划和建设局开展</w:t>
      </w:r>
      <w:r>
        <w:rPr>
          <w:rFonts w:hint="eastAsia" w:ascii="仿宋" w:hAnsi="仿宋" w:eastAsia="仿宋" w:cs="仿宋"/>
          <w:bCs/>
          <w:sz w:val="32"/>
          <w:szCs w:val="32"/>
          <w:lang w:val="en-US" w:eastAsia="zh-CN"/>
        </w:rPr>
        <w:t>2025年度</w:t>
      </w:r>
      <w:r>
        <w:rPr>
          <w:rFonts w:hint="eastAsia" w:ascii="仿宋" w:hAnsi="仿宋" w:eastAsia="仿宋" w:cs="仿宋"/>
          <w:bCs/>
          <w:sz w:val="32"/>
          <w:szCs w:val="32"/>
          <w:lang w:eastAsia="zh-CN"/>
        </w:rPr>
        <w:t>碳普惠平台运营及推广工作</w:t>
      </w:r>
      <w:r>
        <w:rPr>
          <w:rFonts w:hint="eastAsia" w:ascii="仿宋" w:hAnsi="仿宋" w:eastAsia="仿宋" w:cs="仿宋"/>
          <w:bCs/>
          <w:sz w:val="32"/>
          <w:szCs w:val="32"/>
        </w:rPr>
        <w:t>。</w:t>
      </w:r>
    </w:p>
    <w:p>
      <w:pPr>
        <w:pStyle w:val="25"/>
        <w:spacing w:line="579" w:lineRule="exact"/>
        <w:ind w:firstLine="640"/>
        <w:rPr>
          <w:rFonts w:ascii="黑体" w:hAnsi="黑体" w:eastAsia="黑体" w:cs="黑体"/>
          <w:bCs/>
          <w:sz w:val="32"/>
          <w:szCs w:val="32"/>
        </w:rPr>
      </w:pPr>
      <w:r>
        <w:rPr>
          <w:rFonts w:hint="eastAsia" w:ascii="黑体" w:hAnsi="黑体" w:eastAsia="黑体" w:cs="黑体"/>
          <w:bCs/>
          <w:sz w:val="32"/>
          <w:szCs w:val="32"/>
        </w:rPr>
        <w:t>三、服务期限</w:t>
      </w:r>
    </w:p>
    <w:p>
      <w:pPr>
        <w:pStyle w:val="25"/>
        <w:spacing w:line="579"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7</w:t>
      </w:r>
      <w:r>
        <w:rPr>
          <w:rFonts w:hint="eastAsia" w:ascii="仿宋" w:hAnsi="仿宋" w:eastAsia="仿宋" w:cs="仿宋"/>
          <w:sz w:val="32"/>
          <w:szCs w:val="32"/>
        </w:rPr>
        <w:t>月至202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7</w:t>
      </w:r>
      <w:r>
        <w:rPr>
          <w:rFonts w:hint="eastAsia" w:ascii="仿宋" w:hAnsi="仿宋" w:eastAsia="仿宋" w:cs="仿宋"/>
          <w:sz w:val="32"/>
          <w:szCs w:val="32"/>
        </w:rPr>
        <w:t>月</w:t>
      </w:r>
      <w:r>
        <w:rPr>
          <w:rFonts w:hint="eastAsia" w:ascii="仿宋" w:hAnsi="仿宋" w:eastAsia="仿宋" w:cs="仿宋"/>
          <w:sz w:val="32"/>
          <w:szCs w:val="32"/>
          <w:lang w:eastAsia="zh-CN"/>
        </w:rPr>
        <w:t>。</w:t>
      </w:r>
    </w:p>
    <w:p>
      <w:pPr>
        <w:pStyle w:val="25"/>
        <w:spacing w:line="579" w:lineRule="exact"/>
        <w:ind w:firstLine="640"/>
        <w:rPr>
          <w:rFonts w:ascii="黑体" w:hAnsi="黑体" w:eastAsia="黑体" w:cs="黑体"/>
          <w:bCs/>
          <w:sz w:val="32"/>
          <w:szCs w:val="32"/>
        </w:rPr>
      </w:pPr>
      <w:r>
        <w:rPr>
          <w:rFonts w:hint="eastAsia" w:ascii="黑体" w:hAnsi="黑体" w:eastAsia="黑体" w:cs="黑体"/>
          <w:bCs/>
          <w:sz w:val="32"/>
          <w:szCs w:val="32"/>
        </w:rPr>
        <w:t>四、服务内容及服务要求</w:t>
      </w:r>
    </w:p>
    <w:p>
      <w:pPr>
        <w:pStyle w:val="25"/>
        <w:spacing w:line="579"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为更好</w:t>
      </w:r>
      <w:r>
        <w:rPr>
          <w:rFonts w:hint="eastAsia" w:ascii="仿宋" w:hAnsi="仿宋" w:eastAsia="仿宋" w:cs="仿宋"/>
          <w:sz w:val="32"/>
          <w:szCs w:val="32"/>
          <w:lang w:eastAsia="zh-CN"/>
        </w:rPr>
        <w:t>推进</w:t>
      </w:r>
      <w:r>
        <w:rPr>
          <w:rFonts w:hint="eastAsia" w:ascii="仿宋" w:hAnsi="仿宋" w:eastAsia="仿宋" w:cs="仿宋"/>
          <w:sz w:val="32"/>
          <w:szCs w:val="32"/>
        </w:rPr>
        <w:t>合作区碳普惠</w:t>
      </w:r>
      <w:r>
        <w:rPr>
          <w:rFonts w:hint="eastAsia" w:ascii="仿宋" w:hAnsi="仿宋" w:eastAsia="仿宋" w:cs="仿宋"/>
          <w:sz w:val="32"/>
          <w:szCs w:val="32"/>
          <w:lang w:eastAsia="zh-CN"/>
        </w:rPr>
        <w:t>平台</w:t>
      </w:r>
      <w:r>
        <w:rPr>
          <w:rFonts w:hint="eastAsia" w:ascii="仿宋" w:hAnsi="仿宋" w:eastAsia="仿宋" w:cs="仿宋"/>
          <w:sz w:val="32"/>
          <w:szCs w:val="32"/>
        </w:rPr>
        <w:t>建设与运行，制定有效的推广策略，</w:t>
      </w:r>
      <w:r>
        <w:rPr>
          <w:rFonts w:hint="eastAsia" w:ascii="仿宋" w:hAnsi="仿宋" w:eastAsia="仿宋" w:cs="仿宋"/>
          <w:sz w:val="32"/>
          <w:szCs w:val="32"/>
          <w:lang w:eastAsia="zh-CN"/>
        </w:rPr>
        <w:t>强化“琴碳星人”品牌</w:t>
      </w:r>
      <w:r>
        <w:rPr>
          <w:rFonts w:hint="eastAsia" w:ascii="仿宋" w:hAnsi="仿宋" w:eastAsia="仿宋" w:cs="仿宋"/>
          <w:sz w:val="32"/>
          <w:szCs w:val="32"/>
        </w:rPr>
        <w:t>，</w:t>
      </w:r>
      <w:r>
        <w:rPr>
          <w:rFonts w:hint="eastAsia" w:ascii="仿宋" w:hAnsi="仿宋" w:eastAsia="仿宋" w:cs="仿宋"/>
          <w:sz w:val="32"/>
          <w:szCs w:val="32"/>
          <w:lang w:eastAsia="zh-CN"/>
        </w:rPr>
        <w:t>开展线上线下活动，</w:t>
      </w:r>
      <w:r>
        <w:rPr>
          <w:rFonts w:hint="eastAsia" w:ascii="仿宋" w:hAnsi="仿宋" w:eastAsia="仿宋" w:cs="仿宋"/>
          <w:sz w:val="32"/>
          <w:szCs w:val="32"/>
        </w:rPr>
        <w:t>持续扩大琴碳星人影响力，为合作区的绿色发展贡献力量。</w:t>
      </w:r>
      <w:r>
        <w:rPr>
          <w:rFonts w:hint="eastAsia" w:ascii="仿宋" w:hAnsi="仿宋" w:eastAsia="仿宋" w:cs="仿宋"/>
          <w:sz w:val="32"/>
          <w:szCs w:val="32"/>
          <w:lang w:eastAsia="zh-CN"/>
        </w:rPr>
        <w:t>具体服务内容如下：</w:t>
      </w:r>
    </w:p>
    <w:p>
      <w:pPr>
        <w:pStyle w:val="24"/>
        <w:spacing w:line="579" w:lineRule="exact"/>
        <w:ind w:firstLine="640"/>
        <w:outlineLvl w:val="0"/>
        <w:rPr>
          <w:rFonts w:hint="eastAsia" w:ascii="仿宋" w:hAnsi="仿宋" w:eastAsia="仿宋" w:cs="仿宋"/>
          <w:sz w:val="32"/>
          <w:szCs w:val="32"/>
        </w:rPr>
      </w:pPr>
      <w:bookmarkStart w:id="0" w:name="_Toc529800909"/>
      <w:bookmarkStart w:id="1" w:name="_Toc76328165"/>
      <w:bookmarkStart w:id="2" w:name="_Toc77098321"/>
      <w:r>
        <w:rPr>
          <w:rFonts w:hint="eastAsia" w:ascii="仿宋" w:hAnsi="仿宋" w:eastAsia="仿宋" w:cs="仿宋"/>
          <w:sz w:val="32"/>
          <w:szCs w:val="32"/>
        </w:rPr>
        <w:t>（一）</w:t>
      </w:r>
      <w:r>
        <w:rPr>
          <w:rFonts w:hint="eastAsia" w:ascii="仿宋" w:hAnsi="仿宋" w:eastAsia="仿宋" w:cs="仿宋"/>
          <w:sz w:val="32"/>
          <w:szCs w:val="32"/>
          <w:lang w:eastAsia="zh-CN"/>
        </w:rPr>
        <w:t>打造“琴碳星人”绿色品牌</w:t>
      </w:r>
      <w:r>
        <w:rPr>
          <w:rFonts w:hint="eastAsia" w:ascii="仿宋" w:hAnsi="仿宋" w:eastAsia="仿宋" w:cs="仿宋"/>
          <w:sz w:val="32"/>
          <w:szCs w:val="32"/>
        </w:rPr>
        <w:t xml:space="preserve"> </w:t>
      </w:r>
    </w:p>
    <w:p>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rPr>
        <w:t>深化“琴碳星人”IP形象视觉传播，着力打造具有持久生命力和广泛影响力的文化符号，增强用户渗透率</w:t>
      </w:r>
      <w:r>
        <w:rPr>
          <w:rFonts w:hint="eastAsia" w:ascii="仿宋" w:hAnsi="仿宋" w:eastAsia="仿宋" w:cs="仿宋"/>
          <w:sz w:val="32"/>
          <w:szCs w:val="32"/>
          <w:lang w:eastAsia="zh-CN"/>
        </w:rPr>
        <w:t>。设计制作“琴碳星人”洛卡表情包</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套，设计专属文创产品</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类并分别制作不少于</w:t>
      </w:r>
      <w:r>
        <w:rPr>
          <w:rFonts w:hint="eastAsia" w:ascii="仿宋" w:hAnsi="仿宋" w:eastAsia="仿宋" w:cs="仿宋"/>
          <w:sz w:val="32"/>
          <w:szCs w:val="32"/>
          <w:lang w:val="en-US" w:eastAsia="zh-CN"/>
        </w:rPr>
        <w:t>100份</w:t>
      </w:r>
      <w:r>
        <w:rPr>
          <w:rFonts w:hint="eastAsia" w:ascii="仿宋" w:hAnsi="仿宋" w:eastAsia="仿宋" w:cs="仿宋"/>
          <w:sz w:val="32"/>
          <w:szCs w:val="32"/>
          <w:lang w:eastAsia="zh-CN"/>
        </w:rPr>
        <w:t>，</w:t>
      </w:r>
      <w:r>
        <w:rPr>
          <w:rFonts w:hint="eastAsia" w:ascii="仿宋" w:hAnsi="仿宋" w:eastAsia="仿宋" w:cs="仿宋"/>
          <w:sz w:val="32"/>
          <w:szCs w:val="32"/>
          <w:highlight w:val="none"/>
          <w:lang w:eastAsia="zh-CN"/>
        </w:rPr>
        <w:t>设计低碳科普</w:t>
      </w:r>
      <w:r>
        <w:rPr>
          <w:rFonts w:hint="eastAsia" w:ascii="仿宋" w:hAnsi="仿宋" w:eastAsia="仿宋" w:cs="仿宋"/>
          <w:sz w:val="32"/>
          <w:szCs w:val="32"/>
          <w:highlight w:val="none"/>
          <w:lang w:val="en-US" w:eastAsia="zh-CN"/>
        </w:rPr>
        <w:t>宣传物料一套。</w:t>
      </w:r>
    </w:p>
    <w:p>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（二）开展“琴碳星人”助力十五运系列活动</w:t>
      </w:r>
    </w:p>
    <w:p>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助力“十五运”绿色办赛，开展重大宣传活动，发挥平台示范引领作用，营造人人参与、助力绿色十五运的良好氛围。结合“十五运”开展线下主题活动</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场、线上主题活动不少于</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场，梳理总结“十五运”碳中和相关工作经验和成效。</w:t>
      </w:r>
    </w:p>
    <w:p>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（三）打造线上线下宣传网络</w:t>
      </w:r>
    </w:p>
    <w:p>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定期开展线下地推及线上主题宣传活动，提升公众对琴碳星人碳普惠平台的认知度和参与度。</w:t>
      </w:r>
      <w:r>
        <w:rPr>
          <w:rFonts w:hint="eastAsia" w:ascii="仿宋" w:hAnsi="仿宋" w:eastAsia="仿宋" w:cs="仿宋"/>
          <w:sz w:val="32"/>
          <w:szCs w:val="32"/>
        </w:rPr>
        <w:t>在热门商圈、景点，学校、社区等地开展线下互动推广活动，扩大小程序用户覆盖范围</w:t>
      </w:r>
      <w:r>
        <w:rPr>
          <w:rFonts w:hint="eastAsia" w:ascii="仿宋" w:hAnsi="仿宋" w:eastAsia="仿宋" w:cs="仿宋"/>
          <w:sz w:val="32"/>
          <w:szCs w:val="32"/>
          <w:lang w:eastAsia="zh-CN"/>
        </w:rPr>
        <w:t>，线下地推活动不少于</w:t>
      </w:r>
      <w:r>
        <w:rPr>
          <w:rFonts w:hint="eastAsia" w:ascii="仿宋" w:hAnsi="仿宋" w:eastAsia="仿宋" w:cs="仿宋"/>
          <w:sz w:val="32"/>
          <w:szCs w:val="32"/>
          <w:lang w:val="en-US" w:eastAsia="zh-CN"/>
        </w:rPr>
        <w:t>5场</w:t>
      </w:r>
      <w:r>
        <w:rPr>
          <w:rFonts w:hint="eastAsia" w:ascii="仿宋" w:hAnsi="仿宋" w:eastAsia="仿宋" w:cs="仿宋"/>
          <w:sz w:val="32"/>
          <w:szCs w:val="32"/>
          <w:lang w:eastAsia="zh-CN"/>
        </w:rPr>
        <w:t>；周期性开展线上活动，吸引公众持续关注，线上主题活动不少于</w:t>
      </w:r>
      <w:r>
        <w:rPr>
          <w:rFonts w:hint="eastAsia" w:ascii="仿宋" w:hAnsi="仿宋" w:eastAsia="仿宋" w:cs="仿宋"/>
          <w:sz w:val="32"/>
          <w:szCs w:val="32"/>
          <w:lang w:val="en-US" w:eastAsia="zh-CN"/>
        </w:rPr>
        <w:t>10场（不含“十五运”主题线上活动）</w:t>
      </w:r>
      <w:r>
        <w:rPr>
          <w:rFonts w:hint="eastAsia" w:ascii="仿宋" w:hAnsi="仿宋" w:eastAsia="仿宋" w:cs="仿宋"/>
          <w:sz w:val="32"/>
          <w:szCs w:val="32"/>
          <w:lang w:eastAsia="zh-CN"/>
        </w:rPr>
        <w:t>；针对澳门市民开展宣传，设计宣传海报</w:t>
      </w:r>
      <w:r>
        <w:rPr>
          <w:rFonts w:hint="eastAsia" w:ascii="仿宋" w:hAnsi="仿宋" w:eastAsia="仿宋" w:cs="仿宋"/>
          <w:sz w:val="32"/>
          <w:szCs w:val="32"/>
          <w:lang w:val="en-US" w:eastAsia="zh-CN"/>
        </w:rPr>
        <w:t>，投放至学校、社区等场景，在澳门媒体刊登相关宣传资讯不少于2次。</w:t>
      </w:r>
    </w:p>
    <w:p>
      <w:pPr>
        <w:pStyle w:val="24"/>
        <w:spacing w:line="579" w:lineRule="exact"/>
        <w:ind w:firstLine="640"/>
        <w:outlineLvl w:val="0"/>
        <w:rPr>
          <w:rFonts w:hint="eastAsia" w:ascii="仿宋" w:hAnsi="仿宋" w:eastAsia="仿宋" w:cs="仿宋"/>
          <w:sz w:val="32"/>
          <w:szCs w:val="32"/>
        </w:rPr>
      </w:pPr>
      <w:r>
        <w:rPr>
          <w:rFonts w:hint="eastAsia" w:ascii="仿宋" w:hAnsi="仿宋" w:eastAsia="仿宋" w:cs="仿宋"/>
          <w:sz w:val="32"/>
          <w:szCs w:val="32"/>
          <w:lang w:val="en-US" w:eastAsia="zh-CN"/>
        </w:rPr>
        <w:t>（四）开展平台日常运营工作</w:t>
      </w:r>
    </w:p>
    <w:p>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相关工作</w:t>
      </w:r>
      <w:r>
        <w:rPr>
          <w:rFonts w:hint="eastAsia" w:ascii="仿宋" w:hAnsi="仿宋" w:eastAsia="仿宋" w:cs="仿宋"/>
          <w:sz w:val="32"/>
          <w:szCs w:val="32"/>
          <w:lang w:eastAsia="zh-CN"/>
        </w:rPr>
        <w:t>包括但不限于：</w:t>
      </w:r>
      <w:r>
        <w:rPr>
          <w:rFonts w:hint="eastAsia" w:ascii="仿宋" w:hAnsi="仿宋" w:eastAsia="仿宋" w:cs="仿宋"/>
          <w:sz w:val="32"/>
          <w:szCs w:val="32"/>
          <w:lang w:val="en-US" w:eastAsia="zh-CN"/>
        </w:rPr>
        <w:t>1.</w:t>
      </w:r>
      <w:r>
        <w:rPr>
          <w:rFonts w:hint="eastAsia" w:ascii="仿宋" w:hAnsi="仿宋" w:eastAsia="仿宋" w:cs="仿宋"/>
          <w:sz w:val="32"/>
          <w:szCs w:val="32"/>
        </w:rPr>
        <w:t>负责</w:t>
      </w:r>
      <w:r>
        <w:rPr>
          <w:rFonts w:hint="eastAsia" w:ascii="仿宋" w:hAnsi="仿宋" w:eastAsia="仿宋" w:cs="仿宋"/>
          <w:sz w:val="32"/>
          <w:szCs w:val="32"/>
          <w:lang w:eastAsia="zh-CN"/>
        </w:rPr>
        <w:t>兑换商城管理以及场景上线、活动上线等后台设置；</w:t>
      </w:r>
      <w:r>
        <w:rPr>
          <w:rFonts w:hint="eastAsia" w:ascii="仿宋" w:hAnsi="仿宋" w:eastAsia="仿宋" w:cs="仿宋"/>
          <w:sz w:val="32"/>
          <w:szCs w:val="32"/>
          <w:lang w:val="en-US" w:eastAsia="zh-CN"/>
        </w:rPr>
        <w:t>2.</w:t>
      </w:r>
      <w:r>
        <w:rPr>
          <w:rFonts w:hint="eastAsia" w:ascii="仿宋" w:hAnsi="仿宋" w:eastAsia="仿宋" w:cs="仿宋"/>
          <w:sz w:val="32"/>
          <w:szCs w:val="32"/>
        </w:rPr>
        <w:t>在小程序“低碳学习”和“资讯中心”等模块</w:t>
      </w:r>
      <w:r>
        <w:rPr>
          <w:rFonts w:hint="eastAsia" w:ascii="仿宋" w:hAnsi="仿宋" w:eastAsia="仿宋" w:cs="仿宋"/>
          <w:sz w:val="32"/>
          <w:szCs w:val="32"/>
          <w:lang w:eastAsia="zh-CN"/>
        </w:rPr>
        <w:t>定期</w:t>
      </w:r>
      <w:r>
        <w:rPr>
          <w:rFonts w:hint="eastAsia" w:ascii="仿宋" w:hAnsi="仿宋" w:eastAsia="仿宋" w:cs="仿宋"/>
          <w:sz w:val="32"/>
          <w:szCs w:val="32"/>
        </w:rPr>
        <w:t>更新优质学习资源和双碳领域前沿动态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rPr>
        <w:t>定期升级</w:t>
      </w:r>
      <w:r>
        <w:rPr>
          <w:rFonts w:hint="eastAsia" w:ascii="仿宋" w:hAnsi="仿宋" w:eastAsia="仿宋" w:cs="仿宋"/>
          <w:sz w:val="32"/>
          <w:szCs w:val="32"/>
          <w:lang w:eastAsia="zh-CN"/>
        </w:rPr>
        <w:t>平台</w:t>
      </w:r>
      <w:r>
        <w:rPr>
          <w:rFonts w:hint="eastAsia" w:ascii="仿宋" w:hAnsi="仿宋" w:eastAsia="仿宋" w:cs="仿宋"/>
          <w:sz w:val="32"/>
          <w:szCs w:val="32"/>
        </w:rPr>
        <w:t>题库</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撰写</w:t>
      </w:r>
      <w:r>
        <w:rPr>
          <w:rFonts w:hint="eastAsia" w:ascii="仿宋" w:hAnsi="仿宋" w:eastAsia="仿宋" w:cs="仿宋"/>
          <w:sz w:val="32"/>
          <w:szCs w:val="32"/>
          <w:lang w:val="en-US" w:eastAsia="zh-CN"/>
        </w:rPr>
        <w:t>24篇</w:t>
      </w:r>
      <w:r>
        <w:rPr>
          <w:rFonts w:hint="eastAsia" w:ascii="仿宋" w:hAnsi="仿宋" w:eastAsia="仿宋" w:cs="仿宋"/>
          <w:sz w:val="32"/>
          <w:szCs w:val="32"/>
          <w:lang w:eastAsia="zh-CN"/>
        </w:rPr>
        <w:t>宣传推文；</w:t>
      </w:r>
      <w:r>
        <w:rPr>
          <w:rFonts w:hint="eastAsia" w:ascii="仿宋" w:hAnsi="仿宋" w:eastAsia="仿宋" w:cs="仿宋"/>
          <w:sz w:val="32"/>
          <w:szCs w:val="32"/>
          <w:lang w:val="en-US" w:eastAsia="zh-CN"/>
        </w:rPr>
        <w:t>5.根据公众与商家反馈，对平台界面及功能进行优化；6.配合开展其他相关活动宣传。</w:t>
      </w:r>
    </w:p>
    <w:p>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五、考核标准</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按照国家、广东省、横琴粤澳深度合作区及采购需求文件执行。</w:t>
      </w:r>
    </w:p>
    <w:bookmarkEnd w:id="0"/>
    <w:bookmarkEnd w:id="1"/>
    <w:bookmarkEnd w:id="2"/>
    <w:p>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六、采购预算及响应报价要求</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本项目为项目总价包干，响应人的报价应包括（但不限于）：人工费、设备费、运输费、保险费、技术服务费（含联络费、调试费、保修费）、税费、不可预见费等完成本采购内容所需的一切费用，以及采购需求文件及合同约定应当由成交供应商承担的风险因素等费用。响应人应当根据采购需求文件等材料自行考虑风险因素进行响应报价。否则，一旦成交，采购人将不予支付除了采购需求文件及合同约定的由采购人承担的风险因素之外的任何补偿。响应人漏报或不报，采购人将视为该漏报或不报部分的费用已包括在响应报价中，合同金额不予调整。</w:t>
      </w:r>
    </w:p>
    <w:p>
      <w:pPr>
        <w:spacing w:line="579" w:lineRule="exact"/>
        <w:ind w:firstLine="640" w:firstLineChars="200"/>
        <w:rPr>
          <w:rFonts w:ascii="黑体" w:hAnsi="黑体" w:eastAsia="黑体" w:cs="黑体"/>
          <w:bCs/>
          <w:sz w:val="32"/>
          <w:szCs w:val="32"/>
        </w:rPr>
      </w:pPr>
      <w:r>
        <w:rPr>
          <w:rFonts w:hint="eastAsia" w:ascii="黑体" w:hAnsi="黑体" w:eastAsia="黑体" w:cs="黑体"/>
          <w:bCs/>
          <w:sz w:val="32"/>
          <w:szCs w:val="32"/>
        </w:rPr>
        <w:t>七、付款方式</w:t>
      </w:r>
    </w:p>
    <w:p>
      <w:pPr>
        <w:snapToGrid w:val="0"/>
        <w:spacing w:line="579" w:lineRule="exact"/>
        <w:ind w:firstLine="624" w:firstLineChars="200"/>
        <w:rPr>
          <w:sz w:val="32"/>
          <w:szCs w:val="32"/>
        </w:rPr>
      </w:pPr>
      <w:r>
        <w:rPr>
          <w:rFonts w:hint="eastAsia" w:ascii="仿宋" w:hAnsi="仿宋" w:eastAsia="仿宋" w:cs="仿宋"/>
          <w:spacing w:val="-4"/>
          <w:sz w:val="32"/>
          <w:szCs w:val="32"/>
        </w:rPr>
        <w:t>1期：成交供应商与采购人签订合同</w:t>
      </w:r>
      <w:r>
        <w:rPr>
          <w:rFonts w:hint="eastAsia" w:ascii="仿宋" w:hAnsi="仿宋" w:eastAsia="仿宋" w:cs="仿宋"/>
          <w:spacing w:val="-4"/>
          <w:sz w:val="32"/>
          <w:szCs w:val="32"/>
          <w:lang w:val="en-US" w:eastAsia="zh-CN"/>
        </w:rPr>
        <w:t>30</w:t>
      </w:r>
      <w:r>
        <w:rPr>
          <w:rFonts w:hint="eastAsia" w:ascii="仿宋" w:hAnsi="仿宋" w:eastAsia="仿宋" w:cs="仿宋"/>
          <w:spacing w:val="-4"/>
          <w:sz w:val="32"/>
          <w:szCs w:val="32"/>
        </w:rPr>
        <w:t>个工作日内，采购人向成交供应商支付合同总价款的</w:t>
      </w:r>
      <w:r>
        <w:rPr>
          <w:rFonts w:hint="eastAsia" w:ascii="仿宋" w:hAnsi="仿宋" w:cs="仿宋" w:eastAsiaTheme="minorEastAsia"/>
          <w:spacing w:val="-4"/>
          <w:sz w:val="32"/>
          <w:szCs w:val="32"/>
          <w:lang w:val="en-US" w:eastAsia="zh-CN"/>
        </w:rPr>
        <w:t>3</w:t>
      </w:r>
      <w:r>
        <w:rPr>
          <w:rFonts w:hint="eastAsia" w:ascii="仿宋" w:hAnsi="仿宋" w:eastAsia="PMingLiU" w:cs="仿宋"/>
          <w:spacing w:val="-4"/>
          <w:sz w:val="32"/>
          <w:szCs w:val="32"/>
        </w:rPr>
        <w:t>0</w:t>
      </w:r>
      <w:r>
        <w:rPr>
          <w:rFonts w:hint="eastAsia" w:ascii="仿宋" w:hAnsi="仿宋" w:eastAsia="仿宋" w:cs="仿宋"/>
          <w:spacing w:val="-4"/>
          <w:sz w:val="32"/>
          <w:szCs w:val="32"/>
        </w:rPr>
        <w:t>%。</w:t>
      </w:r>
    </w:p>
    <w:p>
      <w:pPr>
        <w:snapToGrid w:val="0"/>
        <w:spacing w:line="579" w:lineRule="exact"/>
        <w:ind w:firstLine="624" w:firstLineChars="200"/>
        <w:rPr>
          <w:rFonts w:hint="eastAsia" w:ascii="仿宋" w:hAnsi="仿宋" w:eastAsia="仿宋" w:cs="仿宋"/>
          <w:spacing w:val="-4"/>
          <w:sz w:val="32"/>
          <w:szCs w:val="32"/>
          <w:highlight w:val="none"/>
        </w:rPr>
      </w:pPr>
      <w:r>
        <w:rPr>
          <w:rFonts w:hint="eastAsia" w:ascii="仿宋" w:hAnsi="仿宋" w:eastAsia="仿宋" w:cs="仿宋"/>
          <w:spacing w:val="-4"/>
          <w:sz w:val="32"/>
          <w:szCs w:val="32"/>
          <w:highlight w:val="none"/>
          <w:lang w:val="en-US" w:eastAsia="zh-CN"/>
        </w:rPr>
        <w:t>2</w:t>
      </w:r>
      <w:r>
        <w:rPr>
          <w:rFonts w:hint="eastAsia" w:ascii="仿宋" w:hAnsi="仿宋" w:eastAsia="仿宋" w:cs="仿宋"/>
          <w:spacing w:val="-4"/>
          <w:sz w:val="32"/>
          <w:szCs w:val="32"/>
          <w:highlight w:val="none"/>
        </w:rPr>
        <w:t>期：成交供应商</w:t>
      </w:r>
      <w:r>
        <w:rPr>
          <w:rFonts w:hint="eastAsia" w:ascii="仿宋" w:hAnsi="仿宋" w:eastAsia="仿宋" w:cs="仿宋"/>
          <w:spacing w:val="-4"/>
          <w:sz w:val="32"/>
          <w:szCs w:val="32"/>
          <w:highlight w:val="none"/>
          <w:lang w:eastAsia="zh-CN"/>
        </w:rPr>
        <w:t>向</w:t>
      </w:r>
      <w:r>
        <w:rPr>
          <w:rFonts w:hint="eastAsia" w:ascii="仿宋" w:hAnsi="仿宋" w:eastAsia="仿宋" w:cs="仿宋"/>
          <w:spacing w:val="-4"/>
          <w:sz w:val="32"/>
          <w:szCs w:val="32"/>
          <w:highlight w:val="none"/>
        </w:rPr>
        <w:t>采购人</w:t>
      </w:r>
      <w:r>
        <w:rPr>
          <w:rFonts w:hint="eastAsia" w:ascii="仿宋" w:hAnsi="仿宋" w:eastAsia="仿宋" w:cs="仿宋"/>
          <w:spacing w:val="-4"/>
          <w:sz w:val="32"/>
          <w:szCs w:val="32"/>
          <w:highlight w:val="none"/>
          <w:lang w:eastAsia="zh-CN"/>
        </w:rPr>
        <w:t>提供中期报告后的</w:t>
      </w:r>
      <w:r>
        <w:rPr>
          <w:rFonts w:hint="eastAsia" w:ascii="仿宋" w:hAnsi="仿宋" w:eastAsia="仿宋" w:cs="仿宋"/>
          <w:spacing w:val="-4"/>
          <w:sz w:val="32"/>
          <w:szCs w:val="32"/>
          <w:highlight w:val="none"/>
          <w:lang w:val="en-US" w:eastAsia="zh-CN"/>
        </w:rPr>
        <w:t>30</w:t>
      </w:r>
      <w:r>
        <w:rPr>
          <w:rFonts w:hint="eastAsia" w:ascii="仿宋" w:hAnsi="仿宋" w:eastAsia="仿宋" w:cs="仿宋"/>
          <w:spacing w:val="-4"/>
          <w:sz w:val="32"/>
          <w:szCs w:val="32"/>
          <w:highlight w:val="none"/>
        </w:rPr>
        <w:t>个工作日内，采购人向成交供应商支付合同总价款的</w:t>
      </w:r>
      <w:r>
        <w:rPr>
          <w:rFonts w:hint="eastAsia" w:ascii="仿宋" w:hAnsi="仿宋" w:cs="仿宋" w:eastAsiaTheme="minorEastAsia"/>
          <w:spacing w:val="-4"/>
          <w:sz w:val="32"/>
          <w:szCs w:val="32"/>
          <w:highlight w:val="none"/>
          <w:lang w:val="en-US" w:eastAsia="zh-CN"/>
        </w:rPr>
        <w:t>3</w:t>
      </w:r>
      <w:r>
        <w:rPr>
          <w:rFonts w:hint="eastAsia" w:ascii="仿宋" w:hAnsi="仿宋" w:eastAsia="PMingLiU" w:cs="仿宋"/>
          <w:spacing w:val="-4"/>
          <w:sz w:val="32"/>
          <w:szCs w:val="32"/>
          <w:highlight w:val="none"/>
        </w:rPr>
        <w:t>0</w:t>
      </w:r>
      <w:r>
        <w:rPr>
          <w:rFonts w:hint="eastAsia" w:ascii="仿宋" w:hAnsi="仿宋" w:eastAsia="仿宋" w:cs="仿宋"/>
          <w:spacing w:val="-4"/>
          <w:sz w:val="32"/>
          <w:szCs w:val="32"/>
          <w:highlight w:val="none"/>
        </w:rPr>
        <w:t>%。</w:t>
      </w:r>
    </w:p>
    <w:p>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lang w:val="en-US" w:eastAsia="zh-CN"/>
        </w:rPr>
        <w:t>3</w:t>
      </w:r>
      <w:r>
        <w:rPr>
          <w:rFonts w:hint="eastAsia" w:ascii="仿宋" w:hAnsi="仿宋" w:eastAsia="仿宋" w:cs="仿宋"/>
          <w:spacing w:val="-4"/>
          <w:sz w:val="32"/>
          <w:szCs w:val="32"/>
        </w:rPr>
        <w:t>期：</w:t>
      </w:r>
      <w:r>
        <w:rPr>
          <w:rFonts w:hint="eastAsia" w:ascii="仿宋" w:hAnsi="仿宋" w:eastAsia="仿宋" w:cs="仿宋"/>
          <w:spacing w:val="-4"/>
          <w:sz w:val="32"/>
          <w:szCs w:val="32"/>
          <w:lang w:eastAsia="zh-CN"/>
        </w:rPr>
        <w:t>完成项目服务内容并通过验收</w:t>
      </w:r>
      <w:r>
        <w:rPr>
          <w:rFonts w:hint="eastAsia" w:ascii="仿宋" w:hAnsi="仿宋" w:eastAsia="仿宋" w:cs="仿宋"/>
          <w:spacing w:val="-4"/>
          <w:sz w:val="32"/>
          <w:szCs w:val="32"/>
        </w:rPr>
        <w:t>后，采购人向成交供应商支付合同总价款的剩余款项，即合同总价款的</w:t>
      </w:r>
      <w:r>
        <w:rPr>
          <w:rFonts w:hint="eastAsia" w:ascii="仿宋" w:hAnsi="仿宋" w:eastAsia="仿宋" w:cs="仿宋"/>
          <w:spacing w:val="-4"/>
          <w:sz w:val="32"/>
          <w:szCs w:val="32"/>
          <w:lang w:val="en-US" w:eastAsia="zh-CN"/>
        </w:rPr>
        <w:t>4</w:t>
      </w:r>
      <w:r>
        <w:rPr>
          <w:rFonts w:hint="eastAsia" w:ascii="仿宋" w:hAnsi="仿宋" w:eastAsia="仿宋" w:cs="仿宋"/>
          <w:spacing w:val="-4"/>
          <w:sz w:val="32"/>
          <w:szCs w:val="32"/>
        </w:rPr>
        <w:t>0%。</w:t>
      </w:r>
    </w:p>
    <w:p>
      <w:pPr>
        <w:snapToGrid w:val="0"/>
        <w:spacing w:line="579" w:lineRule="exact"/>
        <w:ind w:firstLine="624" w:firstLineChars="200"/>
        <w:rPr>
          <w:b/>
          <w:bCs/>
          <w:sz w:val="32"/>
          <w:szCs w:val="32"/>
        </w:rPr>
      </w:pPr>
      <w:r>
        <w:rPr>
          <w:rFonts w:hint="eastAsia" w:ascii="仿宋" w:hAnsi="仿宋" w:eastAsia="仿宋" w:cs="仿宋"/>
          <w:spacing w:val="-4"/>
          <w:sz w:val="32"/>
          <w:szCs w:val="32"/>
        </w:rPr>
        <w:t>注: 每次支付款时，成交供应商向采购人提供相应金额的正式发票。</w:t>
      </w:r>
    </w:p>
    <w:p>
      <w:pPr>
        <w:spacing w:line="560" w:lineRule="exact"/>
        <w:jc w:val="left"/>
        <w:rPr>
          <w:rFonts w:ascii="仿宋_GB2312" w:hAnsi="仿宋_GB2312" w:eastAsia="仿宋_GB2312" w:cs="仿宋_GB2312"/>
          <w:sz w:val="32"/>
          <w:szCs w:val="32"/>
        </w:rPr>
      </w:pPr>
    </w:p>
    <w:p>
      <w:pPr>
        <w:keepLines w:val="0"/>
        <w:widowControl/>
        <w:adjustRightInd/>
        <w:snapToGrid/>
        <w:spacing w:line="560" w:lineRule="exact"/>
        <w:ind w:left="6072" w:leftChars="1520" w:hanging="2880" w:hangingChars="900"/>
        <w:jc w:val="left"/>
        <w:rPr>
          <w:rFonts w:ascii="仿宋" w:hAnsi="仿宋" w:eastAsia="仿宋"/>
          <w:color w:val="FF0000"/>
          <w:sz w:val="24"/>
          <w:u w:val="single"/>
        </w:rPr>
      </w:pPr>
      <w:r>
        <w:rPr>
          <w:rFonts w:hint="eastAsia" w:ascii="仿宋_GB2312" w:hAnsi="仿宋_GB2312" w:eastAsia="仿宋_GB2312" w:cs="仿宋_GB2312"/>
          <w:sz w:val="32"/>
          <w:szCs w:val="32"/>
        </w:rPr>
        <w:t>横琴粤澳深度合作区城市规划和建设局</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日</w:t>
      </w:r>
      <w:bookmarkStart w:id="3" w:name="_GoBack"/>
      <w:bookmarkEnd w:id="3"/>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00000003" w:usb1="10000000" w:usb2="00000016" w:usb3="00000000" w:csb0="001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- 5 -</w:t>
    </w:r>
    <w:r>
      <w:rPr>
        <w:rFonts w:ascii="宋体" w:hAnsi="宋体"/>
        <w:sz w:val="24"/>
        <w:szCs w:val="24"/>
      </w:rPr>
      <w:fldChar w:fldCharType="end"/>
    </w:r>
  </w:p>
  <w:p>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- 2 -</w:t>
    </w:r>
    <w:r>
      <w:rPr>
        <w:rFonts w:ascii="宋体" w:hAnsi="宋体"/>
        <w:sz w:val="24"/>
        <w:szCs w:val="24"/>
      </w:rPr>
      <w:fldChar w:fldCharType="end"/>
    </w:r>
  </w:p>
  <w:p>
    <w:pPr>
      <w:pStyle w:val="1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OGVlZWQyMjNmOGJjMjc4ZDFhOGM3NDg5Mjc0YjAifQ=="/>
  </w:docVars>
  <w:rsids>
    <w:rsidRoot w:val="00172A27"/>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159DD"/>
    <w:rsid w:val="00020B80"/>
    <w:rsid w:val="00020EBD"/>
    <w:rsid w:val="00022282"/>
    <w:rsid w:val="00023909"/>
    <w:rsid w:val="00023BF5"/>
    <w:rsid w:val="00023EF7"/>
    <w:rsid w:val="00024F9F"/>
    <w:rsid w:val="0002539B"/>
    <w:rsid w:val="00025B4B"/>
    <w:rsid w:val="0002612E"/>
    <w:rsid w:val="00030101"/>
    <w:rsid w:val="000322DD"/>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1BB7"/>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2A27"/>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298"/>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ADA"/>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4DA3"/>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97FEC"/>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10F0"/>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16838"/>
    <w:rsid w:val="0052081F"/>
    <w:rsid w:val="00525DEC"/>
    <w:rsid w:val="00526B57"/>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0CE1"/>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3B18"/>
    <w:rsid w:val="00624C4F"/>
    <w:rsid w:val="006279A4"/>
    <w:rsid w:val="00627B4C"/>
    <w:rsid w:val="00630901"/>
    <w:rsid w:val="006319F9"/>
    <w:rsid w:val="00632570"/>
    <w:rsid w:val="00632A92"/>
    <w:rsid w:val="006341B6"/>
    <w:rsid w:val="00634263"/>
    <w:rsid w:val="00634DEE"/>
    <w:rsid w:val="00636585"/>
    <w:rsid w:val="0063797E"/>
    <w:rsid w:val="00637F6C"/>
    <w:rsid w:val="00640972"/>
    <w:rsid w:val="00640C43"/>
    <w:rsid w:val="006420D1"/>
    <w:rsid w:val="00642282"/>
    <w:rsid w:val="006427EC"/>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0F3F"/>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87D"/>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35C"/>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5CF4"/>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67F6D"/>
    <w:rsid w:val="00870AC5"/>
    <w:rsid w:val="00871121"/>
    <w:rsid w:val="00871865"/>
    <w:rsid w:val="008723F2"/>
    <w:rsid w:val="00876FCE"/>
    <w:rsid w:val="008773EF"/>
    <w:rsid w:val="008776EA"/>
    <w:rsid w:val="00877D12"/>
    <w:rsid w:val="008809BB"/>
    <w:rsid w:val="00882D3F"/>
    <w:rsid w:val="00883858"/>
    <w:rsid w:val="00884DE5"/>
    <w:rsid w:val="008877D5"/>
    <w:rsid w:val="00887A18"/>
    <w:rsid w:val="00890643"/>
    <w:rsid w:val="00891C54"/>
    <w:rsid w:val="008921A9"/>
    <w:rsid w:val="00894EDC"/>
    <w:rsid w:val="00895134"/>
    <w:rsid w:val="00895258"/>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4727"/>
    <w:rsid w:val="00AC4CD9"/>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513"/>
    <w:rsid w:val="00B2077B"/>
    <w:rsid w:val="00B225BD"/>
    <w:rsid w:val="00B24300"/>
    <w:rsid w:val="00B24C8F"/>
    <w:rsid w:val="00B25C8A"/>
    <w:rsid w:val="00B25D04"/>
    <w:rsid w:val="00B2671B"/>
    <w:rsid w:val="00B3028B"/>
    <w:rsid w:val="00B32870"/>
    <w:rsid w:val="00B330C9"/>
    <w:rsid w:val="00B33A62"/>
    <w:rsid w:val="00B34C55"/>
    <w:rsid w:val="00B35D40"/>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6BE"/>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5A4"/>
    <w:rsid w:val="00BB2B3E"/>
    <w:rsid w:val="00BB328E"/>
    <w:rsid w:val="00BB40AD"/>
    <w:rsid w:val="00BB4155"/>
    <w:rsid w:val="00BB4B43"/>
    <w:rsid w:val="00BB586C"/>
    <w:rsid w:val="00BB5AD1"/>
    <w:rsid w:val="00BB5DED"/>
    <w:rsid w:val="00BB6A03"/>
    <w:rsid w:val="00BB6CEE"/>
    <w:rsid w:val="00BB7F7B"/>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705"/>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1FFB"/>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4F3F"/>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6DC"/>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45CA"/>
    <w:rsid w:val="00F2583D"/>
    <w:rsid w:val="00F25950"/>
    <w:rsid w:val="00F25C63"/>
    <w:rsid w:val="00F2634A"/>
    <w:rsid w:val="00F26414"/>
    <w:rsid w:val="00F26B18"/>
    <w:rsid w:val="00F26DF5"/>
    <w:rsid w:val="00F303D0"/>
    <w:rsid w:val="00F30A37"/>
    <w:rsid w:val="00F313B1"/>
    <w:rsid w:val="00F33B19"/>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04C0"/>
    <w:rsid w:val="00F52FF2"/>
    <w:rsid w:val="00F533A6"/>
    <w:rsid w:val="00F54567"/>
    <w:rsid w:val="00F54939"/>
    <w:rsid w:val="00F5553D"/>
    <w:rsid w:val="00F575E1"/>
    <w:rsid w:val="00F57A0D"/>
    <w:rsid w:val="00F61087"/>
    <w:rsid w:val="00F61DB2"/>
    <w:rsid w:val="00F622B5"/>
    <w:rsid w:val="00F62408"/>
    <w:rsid w:val="00F624CF"/>
    <w:rsid w:val="00F62E32"/>
    <w:rsid w:val="00F634DC"/>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7E59D0"/>
    <w:rsid w:val="028C043F"/>
    <w:rsid w:val="029A63E3"/>
    <w:rsid w:val="029F1423"/>
    <w:rsid w:val="02A66735"/>
    <w:rsid w:val="02AE7397"/>
    <w:rsid w:val="02C218B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674CB4"/>
    <w:rsid w:val="037C6E00"/>
    <w:rsid w:val="03876570"/>
    <w:rsid w:val="039D4E8B"/>
    <w:rsid w:val="03B254D0"/>
    <w:rsid w:val="03BC1144"/>
    <w:rsid w:val="03D14032"/>
    <w:rsid w:val="03E273EA"/>
    <w:rsid w:val="04196FF2"/>
    <w:rsid w:val="04221634"/>
    <w:rsid w:val="04294972"/>
    <w:rsid w:val="04647706"/>
    <w:rsid w:val="046E3E7C"/>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04EFD"/>
    <w:rsid w:val="07A3170A"/>
    <w:rsid w:val="07B02829"/>
    <w:rsid w:val="07D3677A"/>
    <w:rsid w:val="07E85014"/>
    <w:rsid w:val="07F03282"/>
    <w:rsid w:val="07FD3D8E"/>
    <w:rsid w:val="08003E79"/>
    <w:rsid w:val="08096E47"/>
    <w:rsid w:val="081C00FC"/>
    <w:rsid w:val="0825634E"/>
    <w:rsid w:val="08461C19"/>
    <w:rsid w:val="084F3510"/>
    <w:rsid w:val="0859605C"/>
    <w:rsid w:val="085977FC"/>
    <w:rsid w:val="086A47EF"/>
    <w:rsid w:val="08707BF8"/>
    <w:rsid w:val="08A62ED0"/>
    <w:rsid w:val="08D76A3D"/>
    <w:rsid w:val="08FF5461"/>
    <w:rsid w:val="09006B90"/>
    <w:rsid w:val="09101CB2"/>
    <w:rsid w:val="09186EF9"/>
    <w:rsid w:val="092A5E00"/>
    <w:rsid w:val="09330668"/>
    <w:rsid w:val="09363AA0"/>
    <w:rsid w:val="09634FDB"/>
    <w:rsid w:val="09687CFF"/>
    <w:rsid w:val="09720180"/>
    <w:rsid w:val="0979690C"/>
    <w:rsid w:val="0986438F"/>
    <w:rsid w:val="09882CD0"/>
    <w:rsid w:val="098F2F22"/>
    <w:rsid w:val="0998469F"/>
    <w:rsid w:val="099F5830"/>
    <w:rsid w:val="09B639D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B3CDD"/>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7220A2"/>
    <w:rsid w:val="0E8C4E39"/>
    <w:rsid w:val="0E9C4D04"/>
    <w:rsid w:val="0EA604D8"/>
    <w:rsid w:val="0EBE383C"/>
    <w:rsid w:val="0EC324F5"/>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DA7CF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9A5B1E"/>
    <w:rsid w:val="11AA73EC"/>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13513"/>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5B64026"/>
    <w:rsid w:val="16207D64"/>
    <w:rsid w:val="163D4645"/>
    <w:rsid w:val="164A2089"/>
    <w:rsid w:val="16523B60"/>
    <w:rsid w:val="16634435"/>
    <w:rsid w:val="16677BD1"/>
    <w:rsid w:val="16901305"/>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874DB"/>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A4A81"/>
    <w:rsid w:val="1D6D1198"/>
    <w:rsid w:val="1DB44E3A"/>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A1E89"/>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9145B"/>
    <w:rsid w:val="203B07A2"/>
    <w:rsid w:val="204D1019"/>
    <w:rsid w:val="206C2CF7"/>
    <w:rsid w:val="20912875"/>
    <w:rsid w:val="20A93AD3"/>
    <w:rsid w:val="20AC326D"/>
    <w:rsid w:val="20B56939"/>
    <w:rsid w:val="20BF6D21"/>
    <w:rsid w:val="20C03FB7"/>
    <w:rsid w:val="20C6178E"/>
    <w:rsid w:val="20F14F11"/>
    <w:rsid w:val="2101466E"/>
    <w:rsid w:val="21046A5A"/>
    <w:rsid w:val="210C2137"/>
    <w:rsid w:val="211C60E8"/>
    <w:rsid w:val="21224FD1"/>
    <w:rsid w:val="21502BF8"/>
    <w:rsid w:val="217F706F"/>
    <w:rsid w:val="218D1E77"/>
    <w:rsid w:val="21980AD9"/>
    <w:rsid w:val="21CA535E"/>
    <w:rsid w:val="21D41167"/>
    <w:rsid w:val="21F84A06"/>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AB54A5"/>
    <w:rsid w:val="24C3243E"/>
    <w:rsid w:val="24C90335"/>
    <w:rsid w:val="24CB274C"/>
    <w:rsid w:val="24E1363C"/>
    <w:rsid w:val="25015340"/>
    <w:rsid w:val="251003A2"/>
    <w:rsid w:val="25157526"/>
    <w:rsid w:val="2538541D"/>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62ABE"/>
    <w:rsid w:val="275B358E"/>
    <w:rsid w:val="278E3170"/>
    <w:rsid w:val="27A3244D"/>
    <w:rsid w:val="27B74D57"/>
    <w:rsid w:val="27BD3A55"/>
    <w:rsid w:val="27CE690C"/>
    <w:rsid w:val="27E13B4E"/>
    <w:rsid w:val="27FA4FB6"/>
    <w:rsid w:val="27FA69D7"/>
    <w:rsid w:val="27FE0E52"/>
    <w:rsid w:val="282D319A"/>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B040C"/>
    <w:rsid w:val="294C37C4"/>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210393"/>
    <w:rsid w:val="2C347E3C"/>
    <w:rsid w:val="2C3F0980"/>
    <w:rsid w:val="2C403748"/>
    <w:rsid w:val="2C5D2C9F"/>
    <w:rsid w:val="2C5E628D"/>
    <w:rsid w:val="2C7456B0"/>
    <w:rsid w:val="2C811018"/>
    <w:rsid w:val="2C86087D"/>
    <w:rsid w:val="2CA57952"/>
    <w:rsid w:val="2CB0419D"/>
    <w:rsid w:val="2CBA313F"/>
    <w:rsid w:val="2CD21959"/>
    <w:rsid w:val="2CE829E3"/>
    <w:rsid w:val="2D031EC8"/>
    <w:rsid w:val="2D155611"/>
    <w:rsid w:val="2D207D11"/>
    <w:rsid w:val="2D28576B"/>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C75E7D"/>
    <w:rsid w:val="2ED10D52"/>
    <w:rsid w:val="2EDA5712"/>
    <w:rsid w:val="2EDD2BBF"/>
    <w:rsid w:val="2EE978FE"/>
    <w:rsid w:val="2F47653E"/>
    <w:rsid w:val="2F6A0A56"/>
    <w:rsid w:val="2FB7605F"/>
    <w:rsid w:val="2FDB7EFB"/>
    <w:rsid w:val="301A06FB"/>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575FE"/>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66E86"/>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154BC4"/>
    <w:rsid w:val="3722327C"/>
    <w:rsid w:val="37316697"/>
    <w:rsid w:val="37477458"/>
    <w:rsid w:val="375018EC"/>
    <w:rsid w:val="377027B5"/>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3DDB"/>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B0120"/>
    <w:rsid w:val="39E14E7B"/>
    <w:rsid w:val="39E14F33"/>
    <w:rsid w:val="39E50CC2"/>
    <w:rsid w:val="39FE6556"/>
    <w:rsid w:val="3A040064"/>
    <w:rsid w:val="3A07478D"/>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6A47D0"/>
    <w:rsid w:val="3B7D6189"/>
    <w:rsid w:val="3B8113F4"/>
    <w:rsid w:val="3B8A2744"/>
    <w:rsid w:val="3BAC2C51"/>
    <w:rsid w:val="3BAC3DFF"/>
    <w:rsid w:val="3BB67C4D"/>
    <w:rsid w:val="3BE31C31"/>
    <w:rsid w:val="3BE96425"/>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E4AB4"/>
    <w:rsid w:val="3E240BBD"/>
    <w:rsid w:val="3E280328"/>
    <w:rsid w:val="3E2D4E04"/>
    <w:rsid w:val="3E365FB2"/>
    <w:rsid w:val="3E4F427B"/>
    <w:rsid w:val="3E5A30A0"/>
    <w:rsid w:val="3E5F1F21"/>
    <w:rsid w:val="3E8074D5"/>
    <w:rsid w:val="3E9212C9"/>
    <w:rsid w:val="3EA472ED"/>
    <w:rsid w:val="3EAF032B"/>
    <w:rsid w:val="3EC80A90"/>
    <w:rsid w:val="3ED01838"/>
    <w:rsid w:val="3ED862C8"/>
    <w:rsid w:val="3EDE5327"/>
    <w:rsid w:val="3EFA7719"/>
    <w:rsid w:val="3EFB6DF6"/>
    <w:rsid w:val="3EFF322F"/>
    <w:rsid w:val="3F107510"/>
    <w:rsid w:val="3F117FFE"/>
    <w:rsid w:val="3F244F34"/>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920E61"/>
    <w:rsid w:val="409916FB"/>
    <w:rsid w:val="409C1455"/>
    <w:rsid w:val="40AB78AB"/>
    <w:rsid w:val="40BA0F68"/>
    <w:rsid w:val="40BA4DF3"/>
    <w:rsid w:val="40DF651B"/>
    <w:rsid w:val="411709F9"/>
    <w:rsid w:val="411F5D98"/>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00126F"/>
    <w:rsid w:val="42185B1F"/>
    <w:rsid w:val="4247230D"/>
    <w:rsid w:val="4250573E"/>
    <w:rsid w:val="425C1507"/>
    <w:rsid w:val="4267082D"/>
    <w:rsid w:val="4282729C"/>
    <w:rsid w:val="42937793"/>
    <w:rsid w:val="429A4785"/>
    <w:rsid w:val="429C40FF"/>
    <w:rsid w:val="42C13EED"/>
    <w:rsid w:val="42DB0345"/>
    <w:rsid w:val="42FA3582"/>
    <w:rsid w:val="43096F7E"/>
    <w:rsid w:val="430F194C"/>
    <w:rsid w:val="4313719D"/>
    <w:rsid w:val="43155AC5"/>
    <w:rsid w:val="43214FAC"/>
    <w:rsid w:val="432D3D16"/>
    <w:rsid w:val="43443F38"/>
    <w:rsid w:val="434765F2"/>
    <w:rsid w:val="43794915"/>
    <w:rsid w:val="43B80513"/>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96062C"/>
    <w:rsid w:val="45B47606"/>
    <w:rsid w:val="45C94C93"/>
    <w:rsid w:val="4600274D"/>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5046F"/>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D06049"/>
    <w:rsid w:val="49D560CF"/>
    <w:rsid w:val="49E8623D"/>
    <w:rsid w:val="49F51E1F"/>
    <w:rsid w:val="49F9077B"/>
    <w:rsid w:val="4A3923BC"/>
    <w:rsid w:val="4A4175FF"/>
    <w:rsid w:val="4A4D5474"/>
    <w:rsid w:val="4AB24CED"/>
    <w:rsid w:val="4AB700E6"/>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A66C9"/>
    <w:rsid w:val="4DEB45C9"/>
    <w:rsid w:val="4E03482E"/>
    <w:rsid w:val="4E3801EE"/>
    <w:rsid w:val="4E454382"/>
    <w:rsid w:val="4E546148"/>
    <w:rsid w:val="4E82001E"/>
    <w:rsid w:val="4E897590"/>
    <w:rsid w:val="4E8C7566"/>
    <w:rsid w:val="4E8D1ABD"/>
    <w:rsid w:val="4EA51842"/>
    <w:rsid w:val="4EA9701C"/>
    <w:rsid w:val="4EAA43EA"/>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C74449"/>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AE20EA"/>
    <w:rsid w:val="52F12681"/>
    <w:rsid w:val="530E2425"/>
    <w:rsid w:val="53162448"/>
    <w:rsid w:val="531A3DB6"/>
    <w:rsid w:val="531F0A38"/>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65F23"/>
    <w:rsid w:val="55C0287A"/>
    <w:rsid w:val="55C52467"/>
    <w:rsid w:val="55D07F5D"/>
    <w:rsid w:val="55D24900"/>
    <w:rsid w:val="55F31C2E"/>
    <w:rsid w:val="560B674A"/>
    <w:rsid w:val="561044A5"/>
    <w:rsid w:val="561706D4"/>
    <w:rsid w:val="561766F0"/>
    <w:rsid w:val="56225DAA"/>
    <w:rsid w:val="5625777F"/>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A505DE"/>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9CC1155"/>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D15694"/>
    <w:rsid w:val="5C0047B0"/>
    <w:rsid w:val="5C0441D5"/>
    <w:rsid w:val="5C056D4D"/>
    <w:rsid w:val="5C305077"/>
    <w:rsid w:val="5C390BF5"/>
    <w:rsid w:val="5C3E0067"/>
    <w:rsid w:val="5C4A76D2"/>
    <w:rsid w:val="5C536D2D"/>
    <w:rsid w:val="5C5F76F1"/>
    <w:rsid w:val="5C9963D9"/>
    <w:rsid w:val="5C9B73AA"/>
    <w:rsid w:val="5CB9705F"/>
    <w:rsid w:val="5CE12DF3"/>
    <w:rsid w:val="5CED04CD"/>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D7DFB"/>
    <w:rsid w:val="5EBE69F2"/>
    <w:rsid w:val="5EC21376"/>
    <w:rsid w:val="5EDE67DE"/>
    <w:rsid w:val="5EFC14B2"/>
    <w:rsid w:val="5F300FD3"/>
    <w:rsid w:val="5F420B33"/>
    <w:rsid w:val="5F4D01E4"/>
    <w:rsid w:val="5F503E6B"/>
    <w:rsid w:val="5F627302"/>
    <w:rsid w:val="5F6842AF"/>
    <w:rsid w:val="5F6A5B27"/>
    <w:rsid w:val="5F937004"/>
    <w:rsid w:val="5F9D2FD8"/>
    <w:rsid w:val="5FBB029F"/>
    <w:rsid w:val="5FDA64F2"/>
    <w:rsid w:val="5FE12551"/>
    <w:rsid w:val="5FE65514"/>
    <w:rsid w:val="5FF639FA"/>
    <w:rsid w:val="604A7355"/>
    <w:rsid w:val="60621D11"/>
    <w:rsid w:val="60687CFB"/>
    <w:rsid w:val="608A2628"/>
    <w:rsid w:val="608F7035"/>
    <w:rsid w:val="60A2068E"/>
    <w:rsid w:val="60B86DCB"/>
    <w:rsid w:val="60C855F4"/>
    <w:rsid w:val="60D1639F"/>
    <w:rsid w:val="60E831BE"/>
    <w:rsid w:val="6128209B"/>
    <w:rsid w:val="61297115"/>
    <w:rsid w:val="613B73E9"/>
    <w:rsid w:val="613F7750"/>
    <w:rsid w:val="614F1E30"/>
    <w:rsid w:val="617A4E08"/>
    <w:rsid w:val="61894BF8"/>
    <w:rsid w:val="619628CD"/>
    <w:rsid w:val="61A26925"/>
    <w:rsid w:val="61BC4EAF"/>
    <w:rsid w:val="61C84428"/>
    <w:rsid w:val="61CA3FBD"/>
    <w:rsid w:val="62011B82"/>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EF600D"/>
    <w:rsid w:val="6AFB0949"/>
    <w:rsid w:val="6AFF0939"/>
    <w:rsid w:val="6B0C4215"/>
    <w:rsid w:val="6B15362D"/>
    <w:rsid w:val="6B1B18B4"/>
    <w:rsid w:val="6B2111BF"/>
    <w:rsid w:val="6B316C06"/>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BF72AED"/>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153546"/>
    <w:rsid w:val="6D5535CD"/>
    <w:rsid w:val="6D6068B5"/>
    <w:rsid w:val="6D623CE1"/>
    <w:rsid w:val="6D6C67BC"/>
    <w:rsid w:val="6D6C759B"/>
    <w:rsid w:val="6D8F33D2"/>
    <w:rsid w:val="6DA46816"/>
    <w:rsid w:val="6DA70ACF"/>
    <w:rsid w:val="6DBB1F79"/>
    <w:rsid w:val="6DDB461A"/>
    <w:rsid w:val="6DDD1E81"/>
    <w:rsid w:val="6DF525CF"/>
    <w:rsid w:val="6DF66533"/>
    <w:rsid w:val="6DFA4DAD"/>
    <w:rsid w:val="6E090092"/>
    <w:rsid w:val="6E0F06CC"/>
    <w:rsid w:val="6E166050"/>
    <w:rsid w:val="6E280CCA"/>
    <w:rsid w:val="6E597A20"/>
    <w:rsid w:val="6E5F2FE2"/>
    <w:rsid w:val="6E930403"/>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8419DB"/>
    <w:rsid w:val="708741CD"/>
    <w:rsid w:val="708C338A"/>
    <w:rsid w:val="70A64866"/>
    <w:rsid w:val="70C31531"/>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EF6DD6"/>
    <w:rsid w:val="72F7172C"/>
    <w:rsid w:val="730C432D"/>
    <w:rsid w:val="733549B0"/>
    <w:rsid w:val="73395FB2"/>
    <w:rsid w:val="73591A22"/>
    <w:rsid w:val="73623EA1"/>
    <w:rsid w:val="736367F3"/>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D14CF7"/>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FE50F1"/>
    <w:rsid w:val="7B000FDF"/>
    <w:rsid w:val="7B1D0117"/>
    <w:rsid w:val="7B285218"/>
    <w:rsid w:val="7B2A471E"/>
    <w:rsid w:val="7B333116"/>
    <w:rsid w:val="7B3D3E06"/>
    <w:rsid w:val="7B490020"/>
    <w:rsid w:val="7B51766B"/>
    <w:rsid w:val="7B560122"/>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6130E"/>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3E13E1"/>
    <w:rsid w:val="7F55274F"/>
    <w:rsid w:val="7F5877DF"/>
    <w:rsid w:val="7F675882"/>
    <w:rsid w:val="7F6E0A32"/>
    <w:rsid w:val="7F926436"/>
    <w:rsid w:val="7FBC153D"/>
    <w:rsid w:val="7FCF28BD"/>
    <w:rsid w:val="7FD971C9"/>
    <w:rsid w:val="7FE55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2"/>
    <w:qFormat/>
    <w:uiPriority w:val="0"/>
    <w:pPr>
      <w:ind w:firstLine="596" w:firstLineChars="200"/>
      <w:outlineLvl w:val="0"/>
    </w:pPr>
    <w:rPr>
      <w:rFonts w:ascii="黑体" w:eastAsia="黑体"/>
      <w:b/>
      <w:sz w:val="32"/>
      <w:szCs w:val="22"/>
    </w:rPr>
  </w:style>
  <w:style w:type="paragraph" w:styleId="5">
    <w:name w:val="heading 2"/>
    <w:basedOn w:val="1"/>
    <w:next w:val="1"/>
    <w:link w:val="38"/>
    <w:unhideWhenUsed/>
    <w:qFormat/>
    <w:uiPriority w:val="0"/>
    <w:pPr>
      <w:ind w:firstLine="596" w:firstLineChars="200"/>
      <w:outlineLvl w:val="1"/>
    </w:pPr>
    <w:rPr>
      <w:rFonts w:ascii="楷体_GB2312" w:eastAsia="楷体_GB2312"/>
      <w:b/>
      <w:sz w:val="32"/>
      <w:szCs w:val="22"/>
    </w:rPr>
  </w:style>
  <w:style w:type="paragraph" w:styleId="6">
    <w:name w:val="heading 3"/>
    <w:basedOn w:val="1"/>
    <w:next w:val="1"/>
    <w:unhideWhenUsed/>
    <w:qFormat/>
    <w:uiPriority w:val="9"/>
    <w:pPr>
      <w:keepNext/>
      <w:keepLines/>
      <w:spacing w:before="260" w:after="260" w:line="416" w:lineRule="auto"/>
      <w:outlineLvl w:val="2"/>
    </w:pPr>
    <w:rPr>
      <w:b/>
      <w:bCs/>
      <w:sz w:val="32"/>
      <w:szCs w:val="32"/>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宋体"/>
      <w:color w:val="000000"/>
      <w:szCs w:val="20"/>
    </w:rPr>
  </w:style>
  <w:style w:type="paragraph" w:styleId="3">
    <w:name w:val="Body Text"/>
    <w:basedOn w:val="1"/>
    <w:next w:val="1"/>
    <w:qFormat/>
    <w:uiPriority w:val="0"/>
    <w:pPr>
      <w:spacing w:after="120"/>
    </w:pPr>
  </w:style>
  <w:style w:type="paragraph" w:styleId="8">
    <w:name w:val="annotation text"/>
    <w:basedOn w:val="1"/>
    <w:semiHidden/>
    <w:qFormat/>
    <w:uiPriority w:val="0"/>
    <w:pPr>
      <w:jc w:val="left"/>
    </w:pPr>
    <w:rPr>
      <w:szCs w:val="20"/>
    </w:r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13">
    <w:name w:val="Balloon Text"/>
    <w:basedOn w:val="1"/>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link w:val="41"/>
    <w:unhideWhenUsed/>
    <w:qFormat/>
    <w:uiPriority w:val="0"/>
    <w:pPr>
      <w:snapToGrid w:val="0"/>
      <w:jc w:val="left"/>
    </w:pPr>
    <w:rPr>
      <w:rFonts w:eastAsia="仿宋_GB2312"/>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qFormat/>
    <w:uiPriority w:val="0"/>
    <w:rPr>
      <w:sz w:val="21"/>
      <w:szCs w:val="21"/>
    </w:rPr>
  </w:style>
  <w:style w:type="character" w:styleId="23">
    <w:name w:val="footnote reference"/>
    <w:unhideWhenUsed/>
    <w:qFormat/>
    <w:uiPriority w:val="0"/>
    <w:rPr>
      <w:vertAlign w:val="superscript"/>
    </w:rPr>
  </w:style>
  <w:style w:type="paragraph" w:styleId="24">
    <w:name w:val="List Paragraph"/>
    <w:basedOn w:val="1"/>
    <w:unhideWhenUsed/>
    <w:qFormat/>
    <w:uiPriority w:val="99"/>
    <w:pPr>
      <w:ind w:firstLine="420" w:firstLineChars="200"/>
    </w:pPr>
  </w:style>
  <w:style w:type="paragraph" w:customStyle="1" w:styleId="25">
    <w:name w:val="_Style 3"/>
    <w:basedOn w:val="1"/>
    <w:qFormat/>
    <w:uiPriority w:val="34"/>
    <w:pPr>
      <w:ind w:firstLine="420" w:firstLineChars="200"/>
    </w:pPr>
  </w:style>
  <w:style w:type="paragraph" w:customStyle="1" w:styleId="26">
    <w:name w:val="p0"/>
    <w:basedOn w:val="1"/>
    <w:qFormat/>
    <w:uiPriority w:val="0"/>
    <w:pPr>
      <w:widowControl/>
      <w:jc w:val="left"/>
    </w:pPr>
    <w:rPr>
      <w:kern w:val="0"/>
      <w:sz w:val="20"/>
      <w:szCs w:val="20"/>
    </w:rPr>
  </w:style>
  <w:style w:type="paragraph" w:customStyle="1" w:styleId="27">
    <w:name w:val="列出段落1"/>
    <w:basedOn w:val="1"/>
    <w:qFormat/>
    <w:uiPriority w:val="0"/>
    <w:pPr>
      <w:ind w:firstLine="420" w:firstLineChars="200"/>
    </w:pPr>
    <w:rPr>
      <w:rFonts w:ascii="Calibri" w:hAnsi="Calibri"/>
      <w:szCs w:val="22"/>
    </w:rPr>
  </w:style>
  <w:style w:type="paragraph" w:customStyle="1" w:styleId="28">
    <w:name w:val="默认段落字体 Para Char Char Char Char"/>
    <w:basedOn w:val="1"/>
    <w:qFormat/>
    <w:uiPriority w:val="0"/>
    <w:pPr>
      <w:adjustRightInd w:val="0"/>
      <w:spacing w:line="360" w:lineRule="auto"/>
    </w:pPr>
    <w:rPr>
      <w:szCs w:val="20"/>
    </w:rPr>
  </w:style>
  <w:style w:type="paragraph" w:customStyle="1" w:styleId="29">
    <w:name w:val="Char"/>
    <w:basedOn w:val="1"/>
    <w:qFormat/>
    <w:uiPriority w:val="0"/>
    <w:rPr>
      <w:szCs w:val="20"/>
    </w:rPr>
  </w:style>
  <w:style w:type="paragraph" w:customStyle="1" w:styleId="30">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1">
    <w:name w:val="Char1"/>
    <w:basedOn w:val="1"/>
    <w:qFormat/>
    <w:uiPriority w:val="0"/>
    <w:rPr>
      <w:rFonts w:ascii="Tahoma" w:hAnsi="Tahoma"/>
      <w:sz w:val="24"/>
      <w:szCs w:val="20"/>
    </w:rPr>
  </w:style>
  <w:style w:type="paragraph" w:customStyle="1" w:styleId="32">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3">
    <w:name w:val="Char Char Char1 Char1 Char Char Char"/>
    <w:basedOn w:val="1"/>
    <w:semiHidden/>
    <w:qFormat/>
    <w:uiPriority w:val="0"/>
  </w:style>
  <w:style w:type="paragraph" w:customStyle="1" w:styleId="34">
    <w:name w:val="样式2"/>
    <w:basedOn w:val="1"/>
    <w:qFormat/>
    <w:uiPriority w:val="0"/>
    <w:pPr>
      <w:jc w:val="center"/>
    </w:pPr>
    <w:rPr>
      <w:rFonts w:eastAsia="仿宋_GB2312"/>
      <w:b/>
      <w:bCs/>
      <w:sz w:val="44"/>
    </w:rPr>
  </w:style>
  <w:style w:type="paragraph" w:customStyle="1" w:styleId="35">
    <w:name w:val="1 Char Char Char Char Char Char Char"/>
    <w:basedOn w:val="1"/>
    <w:qFormat/>
    <w:uiPriority w:val="0"/>
  </w:style>
  <w:style w:type="paragraph" w:customStyle="1" w:styleId="36">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7">
    <w:name w:val="font01"/>
    <w:basedOn w:val="20"/>
    <w:qFormat/>
    <w:uiPriority w:val="0"/>
    <w:rPr>
      <w:rFonts w:hint="eastAsia" w:ascii="宋体" w:hAnsi="宋体" w:eastAsia="宋体" w:cs="宋体"/>
      <w:color w:val="333399"/>
      <w:sz w:val="24"/>
      <w:szCs w:val="24"/>
      <w:u w:val="none"/>
    </w:rPr>
  </w:style>
  <w:style w:type="character" w:customStyle="1" w:styleId="38">
    <w:name w:val="标题 2 Char"/>
    <w:link w:val="5"/>
    <w:qFormat/>
    <w:uiPriority w:val="0"/>
    <w:rPr>
      <w:rFonts w:ascii="楷体_GB2312" w:eastAsia="楷体_GB2312"/>
      <w:b/>
      <w:kern w:val="2"/>
      <w:sz w:val="32"/>
      <w:szCs w:val="22"/>
      <w:lang w:val="en-US" w:eastAsia="zh-CN" w:bidi="ar-SA"/>
    </w:rPr>
  </w:style>
  <w:style w:type="character" w:customStyle="1" w:styleId="39">
    <w:name w:val="font41"/>
    <w:basedOn w:val="20"/>
    <w:qFormat/>
    <w:uiPriority w:val="0"/>
    <w:rPr>
      <w:rFonts w:hint="eastAsia" w:ascii="宋体" w:hAnsi="宋体" w:eastAsia="宋体" w:cs="宋体"/>
      <w:color w:val="FF0000"/>
      <w:sz w:val="24"/>
      <w:szCs w:val="24"/>
      <w:u w:val="none"/>
    </w:rPr>
  </w:style>
  <w:style w:type="character" w:customStyle="1" w:styleId="40">
    <w:name w:val="article_f141"/>
    <w:basedOn w:val="20"/>
    <w:qFormat/>
    <w:uiPriority w:val="0"/>
    <w:rPr>
      <w:color w:val="000000"/>
      <w:sz w:val="21"/>
    </w:rPr>
  </w:style>
  <w:style w:type="character" w:customStyle="1" w:styleId="41">
    <w:name w:val="脚注文本 Char"/>
    <w:link w:val="16"/>
    <w:semiHidden/>
    <w:qFormat/>
    <w:uiPriority w:val="0"/>
    <w:rPr>
      <w:rFonts w:eastAsia="仿宋_GB2312"/>
      <w:kern w:val="2"/>
      <w:sz w:val="18"/>
      <w:szCs w:val="18"/>
      <w:lang w:val="en-US" w:eastAsia="zh-CN" w:bidi="ar-SA"/>
    </w:rPr>
  </w:style>
  <w:style w:type="character" w:customStyle="1" w:styleId="42">
    <w:name w:val="标题 1 Char"/>
    <w:link w:val="4"/>
    <w:qFormat/>
    <w:uiPriority w:val="0"/>
    <w:rPr>
      <w:rFonts w:ascii="黑体" w:eastAsia="黑体"/>
      <w:b/>
      <w:kern w:val="2"/>
      <w:sz w:val="32"/>
      <w:szCs w:val="22"/>
      <w:lang w:val="en-US" w:eastAsia="zh-CN" w:bidi="ar-SA"/>
    </w:rPr>
  </w:style>
  <w:style w:type="paragraph" w:customStyle="1" w:styleId="43">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4">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5</Pages>
  <Words>1503</Words>
  <Characters>1545</Characters>
  <Lines>12</Lines>
  <Paragraphs>3</Paragraphs>
  <TotalTime>1</TotalTime>
  <ScaleCrop>false</ScaleCrop>
  <LinksUpToDate>false</LinksUpToDate>
  <CharactersWithSpaces>1563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2023-11-22T08:42:00Z</dcterms:created>
  <dc:creator>陈微:</dc:creator>
  <cp:lastModifiedBy>覃梦怡</cp:lastModifiedBy>
  <cp:lastPrinted>2023-12-28T01:02:00Z</cp:lastPrinted>
  <dcterms:modified xsi:type="dcterms:W3CDTF">2025-07-03T01:25:05Z</dcterms:modified>
  <dc:title>珠横新规国字〔2010〕20号                 签发人：王瑞森 </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64C0ECD2719B40BD84AD68582284B87A</vt:lpwstr>
  </property>
  <property fmtid="{D5CDD505-2E9C-101B-9397-08002B2CF9AE}" pid="4" name="KSOTemplateDocerSaveRecord">
    <vt:lpwstr>eyJoZGlkIjoiZDk1NjBiNjlkZjhkOTZmMDNjYzNhOWFiOTRiODkxYjUiLCJ1c2VySWQiOiIyNjk5Mjg0OTEifQ==</vt:lpwstr>
  </property>
</Properties>
</file>