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F4FFA1">
      <w:pPr>
        <w:widowControl/>
        <w:jc w:val="center"/>
        <w:rPr>
          <w:b/>
          <w:bCs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52"/>
          <w:szCs w:val="52"/>
          <w:lang w:eastAsia="zh-TW"/>
        </w:rPr>
        <w:t>项目需求</w:t>
      </w:r>
    </w:p>
    <w:p w14:paraId="06A7C2FD">
      <w:pPr>
        <w:widowControl/>
        <w:jc w:val="left"/>
        <w:rPr>
          <w:b/>
          <w:bCs/>
          <w:sz w:val="44"/>
          <w:szCs w:val="44"/>
        </w:rPr>
      </w:pPr>
    </w:p>
    <w:p w14:paraId="3B6DFADA">
      <w:pPr>
        <w:widowControl/>
        <w:spacing w:line="579" w:lineRule="exact"/>
        <w:ind w:firstLine="640" w:firstLineChars="200"/>
        <w:jc w:val="left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一、项目名称</w:t>
      </w:r>
    </w:p>
    <w:p w14:paraId="63D0AEA4">
      <w:pPr>
        <w:pStyle w:val="10"/>
        <w:spacing w:line="579" w:lineRule="exact"/>
        <w:ind w:firstLine="640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横琴国家湿地公园科研监测服务项目</w:t>
      </w:r>
    </w:p>
    <w:p w14:paraId="3C952309">
      <w:pPr>
        <w:pStyle w:val="10"/>
        <w:spacing w:line="579" w:lineRule="exact"/>
        <w:rPr>
          <w:rFonts w:hint="eastAsia" w:ascii="黑体" w:hAnsi="黑体" w:eastAsia="黑体" w:cs="黑体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Cs/>
          <w:kern w:val="2"/>
          <w:sz w:val="32"/>
          <w:szCs w:val="32"/>
          <w:lang w:val="en-US" w:eastAsia="zh-CN" w:bidi="ar-SA"/>
        </w:rPr>
        <w:t>二、项目概况</w:t>
      </w:r>
    </w:p>
    <w:p w14:paraId="522F7F31">
      <w:pPr>
        <w:spacing w:line="579" w:lineRule="exact"/>
        <w:ind w:firstLine="640" w:firstLineChars="200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为满足国家湿地公园验收标准，计划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在</w:t>
      </w:r>
      <w:r>
        <w:rPr>
          <w:rFonts w:hint="eastAsia" w:ascii="仿宋" w:hAnsi="仿宋" w:eastAsia="仿宋" w:cs="仿宋"/>
          <w:bCs/>
          <w:sz w:val="32"/>
          <w:szCs w:val="32"/>
        </w:rPr>
        <w:t>湿地公园</w:t>
      </w:r>
      <w:r>
        <w:rPr>
          <w:rFonts w:hint="eastAsia" w:ascii="仿宋" w:hAnsi="仿宋" w:eastAsia="仿宋" w:cs="仿宋"/>
          <w:bCs/>
          <w:sz w:val="32"/>
          <w:szCs w:val="32"/>
          <w:lang w:eastAsia="zh-TW"/>
        </w:rPr>
        <w:t>对</w:t>
      </w:r>
      <w:r>
        <w:rPr>
          <w:rFonts w:hint="eastAsia" w:ascii="仿宋" w:hAnsi="仿宋" w:eastAsia="仿宋" w:cs="仿宋"/>
          <w:bCs/>
          <w:sz w:val="32"/>
          <w:szCs w:val="32"/>
        </w:rPr>
        <w:t>维管植物、浮游</w:t>
      </w:r>
      <w:r>
        <w:rPr>
          <w:rFonts w:hint="eastAsia" w:ascii="仿宋" w:hAnsi="仿宋" w:eastAsia="仿宋" w:cs="仿宋"/>
          <w:bCs/>
          <w:sz w:val="32"/>
          <w:szCs w:val="32"/>
          <w:lang w:eastAsia="zh-TW"/>
        </w:rPr>
        <w:t>生</w:t>
      </w:r>
      <w:r>
        <w:rPr>
          <w:rFonts w:hint="eastAsia" w:ascii="仿宋" w:hAnsi="仿宋" w:eastAsia="仿宋" w:cs="仿宋"/>
          <w:bCs/>
          <w:sz w:val="32"/>
          <w:szCs w:val="32"/>
        </w:rPr>
        <w:t>物、底栖动物、游泳动物、昆虫、两栖爬行类、</w:t>
      </w:r>
      <w:r>
        <w:rPr>
          <w:rFonts w:hint="eastAsia" w:ascii="仿宋" w:hAnsi="仿宋" w:eastAsia="仿宋" w:cs="仿宋"/>
          <w:bCs/>
          <w:sz w:val="32"/>
          <w:szCs w:val="32"/>
          <w:lang w:eastAsia="zh-TW"/>
        </w:rPr>
        <w:t>鸟类等生物</w:t>
      </w:r>
      <w:r>
        <w:rPr>
          <w:rFonts w:hint="eastAsia" w:ascii="仿宋" w:hAnsi="仿宋" w:eastAsia="仿宋" w:cs="仿宋"/>
          <w:bCs/>
          <w:sz w:val="32"/>
          <w:szCs w:val="32"/>
        </w:rPr>
        <w:t>开展科研监测工作，全面掌握湿地本底情况，以科研监测结果支撑湿地保护管理工作。</w:t>
      </w:r>
    </w:p>
    <w:p w14:paraId="3465AC30">
      <w:pPr>
        <w:spacing w:line="579" w:lineRule="exact"/>
        <w:ind w:firstLine="640" w:firstLineChars="200"/>
        <w:rPr>
          <w:lang w:eastAsia="zh-TW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为做好大横琴山郊野公园规划建设，落实合作区生物多样性保护相关工作。我局拟在进行湿地常态化科研监测的基础上，开展大横琴山科研监测调查，对目标物种及相关指标进行生态调查和监测工作，为后续建设及保育提供科学支撑。</w:t>
      </w:r>
    </w:p>
    <w:p w14:paraId="643FEF7F">
      <w:pPr>
        <w:pStyle w:val="10"/>
        <w:spacing w:line="579" w:lineRule="exact"/>
        <w:ind w:firstLine="640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三、服务范围</w:t>
      </w:r>
    </w:p>
    <w:p w14:paraId="31CC7885">
      <w:pPr>
        <w:pStyle w:val="10"/>
        <w:spacing w:line="579" w:lineRule="exact"/>
        <w:ind w:firstLine="640"/>
        <w:rPr>
          <w:rFonts w:hint="eastAsia" w:ascii="仿宋" w:hAnsi="仿宋" w:eastAsia="仿宋" w:cs="仿宋"/>
          <w:color w:val="000000"/>
          <w:sz w:val="32"/>
          <w:szCs w:val="32"/>
          <w:lang w:eastAsia="zh-TW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eastAsia="zh-TW"/>
        </w:rPr>
        <w:t>横琴粤澳深度合作区</w:t>
      </w:r>
    </w:p>
    <w:p w14:paraId="21DD78B6">
      <w:pPr>
        <w:pStyle w:val="10"/>
        <w:spacing w:line="579" w:lineRule="exact"/>
        <w:ind w:firstLine="640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四、服务期限</w:t>
      </w:r>
    </w:p>
    <w:p w14:paraId="6DEE4D29">
      <w:pPr>
        <w:pStyle w:val="10"/>
        <w:spacing w:line="579" w:lineRule="exact"/>
        <w:ind w:firstLine="64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自合同签订之日起至202</w:t>
      </w:r>
      <w:r>
        <w:rPr>
          <w:rFonts w:hint="eastAsia" w:ascii="仿宋" w:hAnsi="仿宋" w:eastAsia="PMingLiU" w:cs="仿宋"/>
          <w:sz w:val="32"/>
          <w:szCs w:val="32"/>
          <w:lang w:eastAsia="zh-TW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年8月15日</w:t>
      </w:r>
    </w:p>
    <w:p w14:paraId="13BC30E6">
      <w:pPr>
        <w:pStyle w:val="10"/>
        <w:numPr>
          <w:ilvl w:val="0"/>
          <w:numId w:val="1"/>
        </w:numPr>
        <w:spacing w:line="579" w:lineRule="exact"/>
        <w:ind w:firstLine="640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服务内容及服务要求</w:t>
      </w:r>
    </w:p>
    <w:p w14:paraId="4CA57AE0">
      <w:pPr>
        <w:pStyle w:val="10"/>
        <w:spacing w:line="579" w:lineRule="exact"/>
        <w:ind w:firstLine="0" w:firstLineChars="0"/>
        <w:rPr>
          <w:rFonts w:hint="eastAsia" w:ascii="仿宋" w:hAnsi="仿宋" w:eastAsia="仿宋" w:cs="仿宋"/>
          <w:b/>
          <w:bCs/>
          <w:color w:val="000000"/>
          <w:spacing w:val="-4"/>
          <w:sz w:val="32"/>
          <w:szCs w:val="32"/>
          <w:lang w:eastAsia="zh-TW"/>
        </w:rPr>
      </w:pPr>
      <w:r>
        <w:rPr>
          <w:rFonts w:hint="eastAsia" w:ascii="仿宋" w:hAnsi="仿宋" w:eastAsia="仿宋" w:cs="仿宋"/>
          <w:b/>
          <w:bCs/>
          <w:color w:val="000000"/>
          <w:spacing w:val="-4"/>
          <w:sz w:val="32"/>
          <w:szCs w:val="32"/>
          <w:lang w:eastAsia="zh-TW"/>
        </w:rPr>
        <w:t>（一）服务内容</w:t>
      </w:r>
    </w:p>
    <w:tbl>
      <w:tblPr>
        <w:tblStyle w:val="7"/>
        <w:tblW w:w="93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1587"/>
        <w:gridCol w:w="4746"/>
        <w:gridCol w:w="2144"/>
      </w:tblGrid>
      <w:tr w14:paraId="54A09D95">
        <w:tc>
          <w:tcPr>
            <w:tcW w:w="871" w:type="dxa"/>
            <w:vAlign w:val="center"/>
          </w:tcPr>
          <w:p w14:paraId="3BDAE4F7">
            <w:pPr>
              <w:pStyle w:val="10"/>
              <w:spacing w:line="579" w:lineRule="exac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pacing w:val="-4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-4"/>
                <w:sz w:val="32"/>
                <w:szCs w:val="32"/>
              </w:rPr>
              <w:t>序号</w:t>
            </w:r>
          </w:p>
        </w:tc>
        <w:tc>
          <w:tcPr>
            <w:tcW w:w="1587" w:type="dxa"/>
            <w:vAlign w:val="center"/>
          </w:tcPr>
          <w:p w14:paraId="3267A37A">
            <w:pPr>
              <w:pStyle w:val="10"/>
              <w:spacing w:line="579" w:lineRule="exac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pacing w:val="-4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-4"/>
                <w:sz w:val="32"/>
                <w:szCs w:val="32"/>
              </w:rPr>
              <w:t>服务条目</w:t>
            </w:r>
          </w:p>
        </w:tc>
        <w:tc>
          <w:tcPr>
            <w:tcW w:w="4746" w:type="dxa"/>
            <w:vAlign w:val="center"/>
          </w:tcPr>
          <w:p w14:paraId="5F4EE500">
            <w:pPr>
              <w:pStyle w:val="10"/>
              <w:spacing w:line="579" w:lineRule="exac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pacing w:val="-4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-4"/>
                <w:sz w:val="32"/>
                <w:szCs w:val="32"/>
              </w:rPr>
              <w:t>服务内容</w:t>
            </w:r>
          </w:p>
        </w:tc>
        <w:tc>
          <w:tcPr>
            <w:tcW w:w="2144" w:type="dxa"/>
            <w:vAlign w:val="center"/>
          </w:tcPr>
          <w:p w14:paraId="396DDE1A">
            <w:pPr>
              <w:pStyle w:val="10"/>
              <w:spacing w:line="579" w:lineRule="exac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pacing w:val="-4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-4"/>
                <w:sz w:val="32"/>
                <w:szCs w:val="32"/>
              </w:rPr>
              <w:t>数量</w:t>
            </w:r>
          </w:p>
        </w:tc>
      </w:tr>
      <w:tr w14:paraId="6E2B5696">
        <w:tc>
          <w:tcPr>
            <w:tcW w:w="871" w:type="dxa"/>
            <w:vMerge w:val="restart"/>
            <w:vAlign w:val="center"/>
          </w:tcPr>
          <w:p w14:paraId="4E75356E">
            <w:pPr>
              <w:pStyle w:val="10"/>
              <w:spacing w:line="579" w:lineRule="exact"/>
              <w:ind w:firstLine="312" w:firstLineChars="100"/>
              <w:jc w:val="center"/>
              <w:rPr>
                <w:rFonts w:hint="eastAsia" w:ascii="仿宋" w:hAnsi="仿宋" w:eastAsia="PMingLiU" w:cs="仿宋"/>
                <w:color w:val="000000"/>
                <w:spacing w:val="-4"/>
                <w:sz w:val="32"/>
                <w:szCs w:val="32"/>
                <w:lang w:eastAsia="zh-TW"/>
              </w:rPr>
            </w:pPr>
            <w:r>
              <w:rPr>
                <w:rFonts w:hint="eastAsia" w:ascii="仿宋" w:hAnsi="仿宋" w:eastAsia="PMingLiU" w:cs="仿宋"/>
                <w:color w:val="000000"/>
                <w:spacing w:val="-4"/>
                <w:sz w:val="32"/>
                <w:szCs w:val="32"/>
                <w:lang w:eastAsia="zh-TW"/>
              </w:rPr>
              <w:t>1</w:t>
            </w:r>
          </w:p>
        </w:tc>
        <w:tc>
          <w:tcPr>
            <w:tcW w:w="1587" w:type="dxa"/>
            <w:vMerge w:val="restart"/>
            <w:vAlign w:val="center"/>
          </w:tcPr>
          <w:p w14:paraId="054D2C8B">
            <w:pPr>
              <w:pStyle w:val="10"/>
              <w:spacing w:line="579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pacing w:val="-4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湿地公园科研监测</w:t>
            </w:r>
          </w:p>
        </w:tc>
        <w:tc>
          <w:tcPr>
            <w:tcW w:w="4746" w:type="dxa"/>
            <w:vAlign w:val="center"/>
          </w:tcPr>
          <w:p w14:paraId="5137296D">
            <w:pPr>
              <w:pStyle w:val="10"/>
              <w:spacing w:line="579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pacing w:val="-4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pacing w:val="-4"/>
                <w:sz w:val="32"/>
                <w:szCs w:val="32"/>
              </w:rPr>
              <w:t>水体监测</w:t>
            </w:r>
            <w:r>
              <w:rPr>
                <w:rFonts w:hint="eastAsia" w:ascii="仿宋" w:hAnsi="仿宋" w:eastAsia="仿宋" w:cs="仿宋"/>
                <w:color w:val="000000"/>
                <w:spacing w:val="-4"/>
                <w:sz w:val="32"/>
                <w:szCs w:val="32"/>
                <w:lang w:eastAsia="zh-TW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spacing w:val="-4"/>
                <w:sz w:val="32"/>
                <w:szCs w:val="32"/>
              </w:rPr>
              <w:t>含水质、浮游植物、浮游动物、底栖动物和游泳动物）</w:t>
            </w:r>
          </w:p>
        </w:tc>
        <w:tc>
          <w:tcPr>
            <w:tcW w:w="2144" w:type="dxa"/>
            <w:vAlign w:val="center"/>
          </w:tcPr>
          <w:p w14:paraId="03C6C3CA">
            <w:pPr>
              <w:pStyle w:val="10"/>
              <w:spacing w:line="579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pacing w:val="-4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pacing w:val="-4"/>
                <w:sz w:val="32"/>
                <w:szCs w:val="32"/>
                <w:lang w:eastAsia="zh-TW"/>
              </w:rPr>
              <w:t>完成</w:t>
            </w:r>
            <w:r>
              <w:rPr>
                <w:rFonts w:hint="eastAsia" w:ascii="仿宋" w:hAnsi="仿宋" w:eastAsia="仿宋" w:cs="仿宋"/>
                <w:color w:val="000000"/>
                <w:spacing w:val="-4"/>
                <w:sz w:val="32"/>
                <w:szCs w:val="32"/>
              </w:rPr>
              <w:t>丰水期和枯水期两个季度的监测。</w:t>
            </w:r>
          </w:p>
        </w:tc>
      </w:tr>
      <w:tr w14:paraId="5DA265FE">
        <w:tc>
          <w:tcPr>
            <w:tcW w:w="871" w:type="dxa"/>
            <w:vMerge w:val="continue"/>
            <w:vAlign w:val="center"/>
          </w:tcPr>
          <w:p w14:paraId="52CD3414">
            <w:pPr>
              <w:pStyle w:val="10"/>
              <w:spacing w:line="579" w:lineRule="exact"/>
              <w:ind w:firstLine="312" w:firstLineChars="100"/>
              <w:jc w:val="center"/>
              <w:rPr>
                <w:rFonts w:hint="eastAsia" w:ascii="仿宋" w:hAnsi="仿宋" w:eastAsia="PMingLiU" w:cs="仿宋"/>
                <w:color w:val="000000"/>
                <w:spacing w:val="-4"/>
                <w:sz w:val="32"/>
                <w:szCs w:val="32"/>
                <w:lang w:eastAsia="zh-TW"/>
              </w:rPr>
            </w:pPr>
          </w:p>
        </w:tc>
        <w:tc>
          <w:tcPr>
            <w:tcW w:w="1587" w:type="dxa"/>
            <w:vMerge w:val="continue"/>
            <w:vAlign w:val="center"/>
          </w:tcPr>
          <w:p w14:paraId="4DD18936">
            <w:pPr>
              <w:pStyle w:val="10"/>
              <w:spacing w:line="579" w:lineRule="exact"/>
              <w:ind w:firstLine="0" w:firstLineChars="0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</w:p>
        </w:tc>
        <w:tc>
          <w:tcPr>
            <w:tcW w:w="4746" w:type="dxa"/>
            <w:vAlign w:val="center"/>
          </w:tcPr>
          <w:p w14:paraId="0DF8E450">
            <w:pPr>
              <w:pStyle w:val="10"/>
              <w:spacing w:line="579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pacing w:val="-4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pacing w:val="-4"/>
                <w:sz w:val="32"/>
                <w:szCs w:val="32"/>
              </w:rPr>
              <w:t>维管植物监测</w:t>
            </w:r>
          </w:p>
        </w:tc>
        <w:tc>
          <w:tcPr>
            <w:tcW w:w="2144" w:type="dxa"/>
            <w:vAlign w:val="center"/>
          </w:tcPr>
          <w:p w14:paraId="7AB23389">
            <w:pPr>
              <w:pStyle w:val="10"/>
              <w:spacing w:line="579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pacing w:val="-4"/>
                <w:sz w:val="32"/>
                <w:szCs w:val="32"/>
                <w:lang w:eastAsia="zh-TW"/>
              </w:rPr>
            </w:pPr>
            <w:r>
              <w:rPr>
                <w:rFonts w:hint="eastAsia" w:ascii="仿宋" w:hAnsi="仿宋" w:eastAsia="仿宋" w:cs="仿宋"/>
                <w:color w:val="000000"/>
                <w:spacing w:val="-4"/>
                <w:sz w:val="32"/>
                <w:szCs w:val="32"/>
                <w:lang w:eastAsia="zh-TW"/>
              </w:rPr>
              <w:t>至少</w:t>
            </w:r>
            <w:r>
              <w:rPr>
                <w:rFonts w:ascii="仿宋" w:hAnsi="仿宋" w:eastAsia="仿宋" w:cs="仿宋"/>
                <w:color w:val="000000"/>
                <w:spacing w:val="-4"/>
                <w:sz w:val="32"/>
                <w:szCs w:val="32"/>
                <w:lang w:eastAsia="zh-TW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spacing w:val="-4"/>
                <w:sz w:val="32"/>
                <w:szCs w:val="32"/>
              </w:rPr>
              <w:t>次</w:t>
            </w:r>
          </w:p>
        </w:tc>
      </w:tr>
      <w:tr w14:paraId="4D7B29B3">
        <w:tc>
          <w:tcPr>
            <w:tcW w:w="871" w:type="dxa"/>
            <w:vMerge w:val="continue"/>
            <w:vAlign w:val="center"/>
          </w:tcPr>
          <w:p w14:paraId="2044DD78">
            <w:pPr>
              <w:pStyle w:val="10"/>
              <w:spacing w:line="579" w:lineRule="exact"/>
              <w:ind w:firstLine="312" w:firstLineChars="100"/>
              <w:jc w:val="center"/>
              <w:rPr>
                <w:rFonts w:hint="eastAsia" w:ascii="仿宋" w:hAnsi="仿宋" w:eastAsia="PMingLiU" w:cs="仿宋"/>
                <w:color w:val="000000"/>
                <w:spacing w:val="-4"/>
                <w:sz w:val="32"/>
                <w:szCs w:val="32"/>
                <w:lang w:eastAsia="zh-TW"/>
              </w:rPr>
            </w:pPr>
          </w:p>
        </w:tc>
        <w:tc>
          <w:tcPr>
            <w:tcW w:w="1587" w:type="dxa"/>
            <w:vMerge w:val="continue"/>
            <w:vAlign w:val="center"/>
          </w:tcPr>
          <w:p w14:paraId="1F034B46">
            <w:pPr>
              <w:pStyle w:val="10"/>
              <w:spacing w:line="579" w:lineRule="exact"/>
              <w:ind w:firstLine="0" w:firstLineChars="0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</w:p>
        </w:tc>
        <w:tc>
          <w:tcPr>
            <w:tcW w:w="4746" w:type="dxa"/>
            <w:vAlign w:val="center"/>
          </w:tcPr>
          <w:p w14:paraId="19536CB8">
            <w:pPr>
              <w:pStyle w:val="10"/>
              <w:spacing w:line="579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pacing w:val="-4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pacing w:val="-4"/>
                <w:sz w:val="32"/>
                <w:szCs w:val="32"/>
              </w:rPr>
              <w:t>昆虫</w:t>
            </w:r>
            <w:r>
              <w:rPr>
                <w:rFonts w:ascii="仿宋" w:hAnsi="仿宋" w:eastAsia="仿宋" w:cs="仿宋"/>
                <w:color w:val="000000"/>
                <w:spacing w:val="-4"/>
                <w:sz w:val="32"/>
                <w:szCs w:val="32"/>
              </w:rPr>
              <w:t>监测</w:t>
            </w:r>
          </w:p>
        </w:tc>
        <w:tc>
          <w:tcPr>
            <w:tcW w:w="2144" w:type="dxa"/>
            <w:vAlign w:val="center"/>
          </w:tcPr>
          <w:p w14:paraId="19448FDB">
            <w:pPr>
              <w:pStyle w:val="10"/>
              <w:spacing w:line="579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pacing w:val="-4"/>
                <w:sz w:val="32"/>
                <w:szCs w:val="32"/>
                <w:lang w:eastAsia="zh-TW"/>
              </w:rPr>
            </w:pPr>
            <w:r>
              <w:rPr>
                <w:rFonts w:hint="eastAsia" w:ascii="仿宋" w:hAnsi="仿宋" w:eastAsia="仿宋" w:cs="仿宋"/>
                <w:color w:val="000000"/>
                <w:spacing w:val="-4"/>
                <w:sz w:val="32"/>
                <w:szCs w:val="32"/>
                <w:lang w:eastAsia="zh-TW"/>
              </w:rPr>
              <w:t>至少1</w:t>
            </w:r>
            <w:r>
              <w:rPr>
                <w:rFonts w:hint="eastAsia" w:ascii="仿宋" w:hAnsi="仿宋" w:eastAsia="仿宋" w:cs="仿宋"/>
                <w:color w:val="000000"/>
                <w:spacing w:val="-4"/>
                <w:sz w:val="32"/>
                <w:szCs w:val="32"/>
              </w:rPr>
              <w:t>次</w:t>
            </w:r>
          </w:p>
        </w:tc>
      </w:tr>
      <w:tr w14:paraId="4656C2FC">
        <w:tc>
          <w:tcPr>
            <w:tcW w:w="871" w:type="dxa"/>
            <w:vMerge w:val="continue"/>
            <w:vAlign w:val="center"/>
          </w:tcPr>
          <w:p w14:paraId="79B2E32A">
            <w:pPr>
              <w:pStyle w:val="10"/>
              <w:spacing w:line="579" w:lineRule="exact"/>
              <w:ind w:firstLine="312" w:firstLineChars="100"/>
              <w:jc w:val="center"/>
              <w:rPr>
                <w:rFonts w:hint="eastAsia" w:ascii="仿宋" w:hAnsi="仿宋" w:eastAsia="PMingLiU" w:cs="仿宋"/>
                <w:color w:val="000000"/>
                <w:spacing w:val="-4"/>
                <w:sz w:val="32"/>
                <w:szCs w:val="32"/>
                <w:lang w:eastAsia="zh-TW"/>
              </w:rPr>
            </w:pPr>
          </w:p>
        </w:tc>
        <w:tc>
          <w:tcPr>
            <w:tcW w:w="1587" w:type="dxa"/>
            <w:vMerge w:val="continue"/>
            <w:vAlign w:val="center"/>
          </w:tcPr>
          <w:p w14:paraId="395D7E12">
            <w:pPr>
              <w:pStyle w:val="10"/>
              <w:spacing w:line="579" w:lineRule="exact"/>
              <w:ind w:firstLine="0" w:firstLineChars="0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</w:p>
        </w:tc>
        <w:tc>
          <w:tcPr>
            <w:tcW w:w="4746" w:type="dxa"/>
            <w:vAlign w:val="center"/>
          </w:tcPr>
          <w:p w14:paraId="33D9DB5C">
            <w:pPr>
              <w:pStyle w:val="10"/>
              <w:spacing w:line="579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pacing w:val="-4"/>
                <w:sz w:val="32"/>
                <w:szCs w:val="32"/>
              </w:rPr>
            </w:pPr>
            <w:r>
              <w:rPr>
                <w:rFonts w:ascii="仿宋" w:hAnsi="仿宋" w:eastAsia="仿宋" w:cs="仿宋"/>
                <w:color w:val="000000"/>
                <w:spacing w:val="-4"/>
                <w:sz w:val="32"/>
                <w:szCs w:val="32"/>
              </w:rPr>
              <w:t>两栖爬行类监测</w:t>
            </w:r>
          </w:p>
        </w:tc>
        <w:tc>
          <w:tcPr>
            <w:tcW w:w="2144" w:type="dxa"/>
            <w:vAlign w:val="center"/>
          </w:tcPr>
          <w:p w14:paraId="6025B40F">
            <w:pPr>
              <w:pStyle w:val="10"/>
              <w:spacing w:line="579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pacing w:val="-4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pacing w:val="-4"/>
                <w:sz w:val="32"/>
                <w:szCs w:val="32"/>
                <w:lang w:eastAsia="zh-TW"/>
              </w:rPr>
              <w:t>至少1</w:t>
            </w:r>
            <w:r>
              <w:rPr>
                <w:rFonts w:hint="eastAsia" w:ascii="仿宋" w:hAnsi="仿宋" w:eastAsia="仿宋" w:cs="仿宋"/>
                <w:color w:val="000000"/>
                <w:spacing w:val="-4"/>
                <w:sz w:val="32"/>
                <w:szCs w:val="32"/>
              </w:rPr>
              <w:t>次</w:t>
            </w:r>
          </w:p>
        </w:tc>
      </w:tr>
      <w:tr w14:paraId="032ED906">
        <w:tc>
          <w:tcPr>
            <w:tcW w:w="871" w:type="dxa"/>
            <w:vMerge w:val="continue"/>
            <w:vAlign w:val="center"/>
          </w:tcPr>
          <w:p w14:paraId="19127073">
            <w:pPr>
              <w:pStyle w:val="10"/>
              <w:spacing w:line="579" w:lineRule="exact"/>
              <w:ind w:firstLine="312" w:firstLineChars="100"/>
              <w:jc w:val="center"/>
              <w:rPr>
                <w:rFonts w:hint="eastAsia" w:ascii="仿宋" w:hAnsi="仿宋" w:eastAsia="PMingLiU" w:cs="仿宋"/>
                <w:color w:val="000000"/>
                <w:spacing w:val="-4"/>
                <w:sz w:val="32"/>
                <w:szCs w:val="32"/>
                <w:lang w:eastAsia="zh-TW"/>
              </w:rPr>
            </w:pPr>
          </w:p>
        </w:tc>
        <w:tc>
          <w:tcPr>
            <w:tcW w:w="1587" w:type="dxa"/>
            <w:vMerge w:val="continue"/>
            <w:vAlign w:val="center"/>
          </w:tcPr>
          <w:p w14:paraId="11770E73">
            <w:pPr>
              <w:pStyle w:val="10"/>
              <w:spacing w:line="579" w:lineRule="exact"/>
              <w:ind w:firstLine="0" w:firstLineChars="0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</w:p>
        </w:tc>
        <w:tc>
          <w:tcPr>
            <w:tcW w:w="4746" w:type="dxa"/>
            <w:vAlign w:val="center"/>
          </w:tcPr>
          <w:p w14:paraId="5A8E9A17">
            <w:pPr>
              <w:pStyle w:val="10"/>
              <w:spacing w:line="579" w:lineRule="exact"/>
              <w:ind w:firstLine="0" w:firstLineChars="0"/>
              <w:jc w:val="center"/>
              <w:rPr>
                <w:rFonts w:hint="eastAsia" w:ascii="仿宋" w:hAnsi="仿宋" w:eastAsia="PMingLiU" w:cs="仿宋"/>
                <w:color w:val="000000"/>
                <w:spacing w:val="-4"/>
                <w:sz w:val="32"/>
                <w:szCs w:val="32"/>
                <w:lang w:eastAsia="zh-TW"/>
              </w:rPr>
            </w:pPr>
            <w:r>
              <w:rPr>
                <w:rFonts w:hint="eastAsia" w:ascii="仿宋" w:hAnsi="仿宋" w:eastAsia="仿宋" w:cs="仿宋"/>
                <w:color w:val="000000"/>
                <w:spacing w:val="-4"/>
                <w:sz w:val="32"/>
                <w:szCs w:val="32"/>
              </w:rPr>
              <w:t>鸟类</w:t>
            </w:r>
            <w:r>
              <w:rPr>
                <w:rFonts w:hint="eastAsia" w:ascii="仿宋" w:hAnsi="仿宋" w:eastAsia="仿宋" w:cs="仿宋"/>
                <w:color w:val="000000"/>
                <w:spacing w:val="-4"/>
                <w:sz w:val="32"/>
                <w:szCs w:val="32"/>
                <w:lang w:val="en-US" w:eastAsia="zh-CN"/>
              </w:rPr>
              <w:t>兽类</w:t>
            </w:r>
            <w:r>
              <w:rPr>
                <w:rFonts w:hint="eastAsia" w:ascii="仿宋" w:hAnsi="仿宋" w:eastAsia="仿宋" w:cs="仿宋"/>
                <w:color w:val="000000"/>
                <w:spacing w:val="-4"/>
                <w:sz w:val="32"/>
                <w:szCs w:val="32"/>
              </w:rPr>
              <w:t>监测</w:t>
            </w:r>
          </w:p>
        </w:tc>
        <w:tc>
          <w:tcPr>
            <w:tcW w:w="2144" w:type="dxa"/>
            <w:vAlign w:val="center"/>
          </w:tcPr>
          <w:p w14:paraId="531929C1">
            <w:pPr>
              <w:pStyle w:val="10"/>
              <w:spacing w:line="579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pacing w:val="-4"/>
                <w:sz w:val="32"/>
                <w:szCs w:val="32"/>
                <w:lang w:eastAsia="zh-TW"/>
              </w:rPr>
            </w:pPr>
            <w:r>
              <w:rPr>
                <w:rFonts w:hint="eastAsia" w:ascii="仿宋" w:hAnsi="仿宋" w:eastAsia="仿宋" w:cs="仿宋"/>
                <w:color w:val="000000"/>
                <w:spacing w:val="-4"/>
                <w:sz w:val="32"/>
                <w:szCs w:val="32"/>
                <w:lang w:eastAsia="zh-TW"/>
              </w:rPr>
              <w:t>夏季1次，春季、秋季、冬季各2次</w:t>
            </w:r>
          </w:p>
        </w:tc>
      </w:tr>
      <w:tr w14:paraId="228A7A86">
        <w:trPr>
          <w:trHeight w:val="1369" w:hRule="atLeast"/>
        </w:trPr>
        <w:tc>
          <w:tcPr>
            <w:tcW w:w="871" w:type="dxa"/>
            <w:vMerge w:val="restart"/>
            <w:vAlign w:val="center"/>
          </w:tcPr>
          <w:p w14:paraId="104D10A1">
            <w:pPr>
              <w:pStyle w:val="10"/>
              <w:spacing w:line="579" w:lineRule="exact"/>
              <w:ind w:firstLine="0" w:firstLineChars="0"/>
              <w:jc w:val="center"/>
              <w:rPr>
                <w:rFonts w:hint="eastAsia" w:ascii="仿宋" w:hAnsi="仿宋" w:eastAsia="PMingLiU" w:cs="仿宋"/>
                <w:color w:val="000000"/>
                <w:spacing w:val="-4"/>
                <w:sz w:val="32"/>
                <w:szCs w:val="32"/>
                <w:lang w:eastAsia="zh-TW"/>
              </w:rPr>
            </w:pPr>
            <w:r>
              <w:rPr>
                <w:rFonts w:hint="eastAsia" w:ascii="仿宋" w:hAnsi="仿宋" w:eastAsia="PMingLiU" w:cs="仿宋"/>
                <w:color w:val="000000"/>
                <w:spacing w:val="-4"/>
                <w:sz w:val="32"/>
                <w:szCs w:val="32"/>
                <w:lang w:eastAsia="zh-TW"/>
              </w:rPr>
              <w:t>2</w:t>
            </w:r>
          </w:p>
        </w:tc>
        <w:tc>
          <w:tcPr>
            <w:tcW w:w="1587" w:type="dxa"/>
            <w:vMerge w:val="restart"/>
            <w:vAlign w:val="center"/>
          </w:tcPr>
          <w:p w14:paraId="68293DC0">
            <w:pPr>
              <w:pStyle w:val="10"/>
              <w:spacing w:line="579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pacing w:val="-4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大横琴山科研监测</w:t>
            </w:r>
          </w:p>
        </w:tc>
        <w:tc>
          <w:tcPr>
            <w:tcW w:w="4746" w:type="dxa"/>
            <w:vAlign w:val="center"/>
          </w:tcPr>
          <w:p w14:paraId="6BC806D9">
            <w:pPr>
              <w:spacing w:line="360" w:lineRule="auto"/>
              <w:jc w:val="center"/>
              <w:outlineLvl w:val="2"/>
              <w:rPr>
                <w:rFonts w:hint="eastAsia" w:ascii="仿宋" w:hAnsi="仿宋" w:eastAsia="仿宋" w:cs="仿宋"/>
                <w:color w:val="000000"/>
                <w:spacing w:val="-4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pacing w:val="-4"/>
                <w:sz w:val="32"/>
                <w:szCs w:val="32"/>
              </w:rPr>
              <w:t>水体监测</w:t>
            </w:r>
            <w:r>
              <w:rPr>
                <w:rFonts w:hint="eastAsia" w:ascii="仿宋" w:hAnsi="仿宋" w:eastAsia="仿宋" w:cs="仿宋"/>
                <w:color w:val="000000"/>
                <w:spacing w:val="-4"/>
                <w:sz w:val="32"/>
                <w:szCs w:val="32"/>
                <w:lang w:eastAsia="zh-TW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spacing w:val="-4"/>
                <w:sz w:val="32"/>
                <w:szCs w:val="32"/>
              </w:rPr>
              <w:t>含水质、浮游植物、浮游动物、底栖动物和游泳动物）</w:t>
            </w:r>
          </w:p>
        </w:tc>
        <w:tc>
          <w:tcPr>
            <w:tcW w:w="2144" w:type="dxa"/>
            <w:vAlign w:val="center"/>
          </w:tcPr>
          <w:p w14:paraId="0F167C74">
            <w:pPr>
              <w:pStyle w:val="10"/>
              <w:spacing w:line="579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pacing w:val="-4"/>
                <w:sz w:val="32"/>
                <w:szCs w:val="32"/>
                <w:lang w:eastAsia="zh-TW"/>
              </w:rPr>
            </w:pPr>
            <w:r>
              <w:rPr>
                <w:rFonts w:hint="eastAsia" w:ascii="仿宋" w:hAnsi="仿宋" w:eastAsia="仿宋" w:cs="仿宋"/>
                <w:color w:val="000000"/>
                <w:spacing w:val="-4"/>
                <w:sz w:val="32"/>
                <w:szCs w:val="32"/>
                <w:lang w:eastAsia="zh-TW"/>
              </w:rPr>
              <w:t>至少4次</w:t>
            </w:r>
          </w:p>
        </w:tc>
      </w:tr>
      <w:tr w14:paraId="337377E1">
        <w:tc>
          <w:tcPr>
            <w:tcW w:w="871" w:type="dxa"/>
            <w:vMerge w:val="continue"/>
            <w:vAlign w:val="center"/>
          </w:tcPr>
          <w:p w14:paraId="2F08A07D">
            <w:pPr>
              <w:pStyle w:val="10"/>
              <w:spacing w:line="579" w:lineRule="exact"/>
              <w:ind w:firstLine="312" w:firstLineChars="100"/>
              <w:jc w:val="center"/>
              <w:rPr>
                <w:rFonts w:hint="eastAsia" w:ascii="仿宋" w:hAnsi="仿宋" w:eastAsia="PMingLiU" w:cs="仿宋"/>
                <w:color w:val="000000"/>
                <w:spacing w:val="-4"/>
                <w:sz w:val="32"/>
                <w:szCs w:val="32"/>
                <w:lang w:eastAsia="zh-TW"/>
              </w:rPr>
            </w:pPr>
          </w:p>
        </w:tc>
        <w:tc>
          <w:tcPr>
            <w:tcW w:w="1587" w:type="dxa"/>
            <w:vMerge w:val="continue"/>
            <w:vAlign w:val="center"/>
          </w:tcPr>
          <w:p w14:paraId="78F259D7">
            <w:pPr>
              <w:pStyle w:val="10"/>
              <w:spacing w:line="579" w:lineRule="exact"/>
              <w:ind w:firstLine="0" w:firstLineChars="0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</w:p>
        </w:tc>
        <w:tc>
          <w:tcPr>
            <w:tcW w:w="4746" w:type="dxa"/>
            <w:vAlign w:val="center"/>
          </w:tcPr>
          <w:p w14:paraId="0B733F41">
            <w:pPr>
              <w:pStyle w:val="2"/>
              <w:spacing w:line="579" w:lineRule="exact"/>
              <w:jc w:val="center"/>
              <w:rPr>
                <w:rFonts w:hint="eastAsia" w:ascii="仿宋" w:hAnsi="仿宋" w:eastAsia="仿宋" w:cs="仿宋"/>
                <w:color w:val="000000"/>
                <w:spacing w:val="-4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pacing w:val="-4"/>
                <w:sz w:val="32"/>
                <w:szCs w:val="32"/>
              </w:rPr>
              <w:t>苔藓植物监测</w:t>
            </w:r>
          </w:p>
        </w:tc>
        <w:tc>
          <w:tcPr>
            <w:tcW w:w="2144" w:type="dxa"/>
            <w:vAlign w:val="center"/>
          </w:tcPr>
          <w:p w14:paraId="72E35652">
            <w:pPr>
              <w:pStyle w:val="10"/>
              <w:spacing w:line="579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pacing w:val="-4"/>
                <w:sz w:val="32"/>
                <w:szCs w:val="32"/>
                <w:lang w:eastAsia="zh-TW"/>
              </w:rPr>
            </w:pPr>
            <w:r>
              <w:rPr>
                <w:rFonts w:hint="eastAsia" w:ascii="仿宋" w:hAnsi="仿宋" w:eastAsia="仿宋" w:cs="仿宋"/>
                <w:color w:val="000000"/>
                <w:spacing w:val="-4"/>
                <w:sz w:val="32"/>
                <w:szCs w:val="32"/>
                <w:lang w:eastAsia="zh-TW"/>
              </w:rPr>
              <w:t>至少4次</w:t>
            </w:r>
          </w:p>
        </w:tc>
      </w:tr>
      <w:tr w14:paraId="450C3695">
        <w:tc>
          <w:tcPr>
            <w:tcW w:w="871" w:type="dxa"/>
            <w:vMerge w:val="continue"/>
            <w:vAlign w:val="center"/>
          </w:tcPr>
          <w:p w14:paraId="0DFFD9A7">
            <w:pPr>
              <w:pStyle w:val="10"/>
              <w:spacing w:line="579" w:lineRule="exact"/>
              <w:ind w:firstLine="312" w:firstLineChars="100"/>
              <w:jc w:val="center"/>
              <w:rPr>
                <w:rFonts w:hint="eastAsia" w:ascii="仿宋" w:hAnsi="仿宋" w:eastAsia="PMingLiU" w:cs="仿宋"/>
                <w:color w:val="000000"/>
                <w:spacing w:val="-4"/>
                <w:sz w:val="32"/>
                <w:szCs w:val="32"/>
                <w:lang w:eastAsia="zh-TW"/>
              </w:rPr>
            </w:pPr>
          </w:p>
        </w:tc>
        <w:tc>
          <w:tcPr>
            <w:tcW w:w="1587" w:type="dxa"/>
            <w:vMerge w:val="continue"/>
            <w:vAlign w:val="center"/>
          </w:tcPr>
          <w:p w14:paraId="3A499D1B">
            <w:pPr>
              <w:pStyle w:val="10"/>
              <w:spacing w:line="579" w:lineRule="exact"/>
              <w:ind w:firstLine="0" w:firstLineChars="0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</w:p>
        </w:tc>
        <w:tc>
          <w:tcPr>
            <w:tcW w:w="4746" w:type="dxa"/>
            <w:vAlign w:val="center"/>
          </w:tcPr>
          <w:p w14:paraId="3D7657F8">
            <w:pPr>
              <w:pStyle w:val="2"/>
              <w:spacing w:line="579" w:lineRule="exact"/>
              <w:jc w:val="center"/>
              <w:rPr>
                <w:rFonts w:hint="eastAsia" w:ascii="仿宋" w:hAnsi="仿宋" w:eastAsia="仿宋" w:cs="仿宋"/>
                <w:color w:val="000000"/>
                <w:spacing w:val="-4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pacing w:val="-4"/>
                <w:sz w:val="32"/>
                <w:szCs w:val="32"/>
              </w:rPr>
              <w:t>昆虫监测</w:t>
            </w:r>
          </w:p>
        </w:tc>
        <w:tc>
          <w:tcPr>
            <w:tcW w:w="2144" w:type="dxa"/>
            <w:vAlign w:val="center"/>
          </w:tcPr>
          <w:p w14:paraId="6B67BFB7">
            <w:pPr>
              <w:pStyle w:val="10"/>
              <w:spacing w:line="579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pacing w:val="-4"/>
                <w:sz w:val="32"/>
                <w:szCs w:val="32"/>
                <w:lang w:eastAsia="zh-TW"/>
              </w:rPr>
            </w:pPr>
            <w:r>
              <w:rPr>
                <w:rFonts w:hint="eastAsia" w:ascii="仿宋" w:hAnsi="仿宋" w:eastAsia="仿宋" w:cs="仿宋"/>
                <w:color w:val="000000"/>
                <w:spacing w:val="-4"/>
                <w:sz w:val="32"/>
                <w:szCs w:val="32"/>
                <w:lang w:eastAsia="zh-TW"/>
              </w:rPr>
              <w:t>至少4次</w:t>
            </w:r>
          </w:p>
        </w:tc>
      </w:tr>
      <w:tr w14:paraId="36E3D082">
        <w:tc>
          <w:tcPr>
            <w:tcW w:w="871" w:type="dxa"/>
            <w:vMerge w:val="continue"/>
            <w:vAlign w:val="center"/>
          </w:tcPr>
          <w:p w14:paraId="775DA18E">
            <w:pPr>
              <w:pStyle w:val="10"/>
              <w:spacing w:line="579" w:lineRule="exact"/>
              <w:ind w:firstLine="312" w:firstLineChars="100"/>
              <w:jc w:val="center"/>
              <w:rPr>
                <w:rFonts w:hint="eastAsia" w:ascii="仿宋" w:hAnsi="仿宋" w:eastAsia="PMingLiU" w:cs="仿宋"/>
                <w:color w:val="000000"/>
                <w:spacing w:val="-4"/>
                <w:sz w:val="32"/>
                <w:szCs w:val="32"/>
                <w:lang w:eastAsia="zh-TW"/>
              </w:rPr>
            </w:pPr>
          </w:p>
        </w:tc>
        <w:tc>
          <w:tcPr>
            <w:tcW w:w="1587" w:type="dxa"/>
            <w:vMerge w:val="continue"/>
            <w:vAlign w:val="center"/>
          </w:tcPr>
          <w:p w14:paraId="48243503">
            <w:pPr>
              <w:pStyle w:val="10"/>
              <w:spacing w:line="579" w:lineRule="exact"/>
              <w:ind w:firstLine="0" w:firstLineChars="0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</w:p>
        </w:tc>
        <w:tc>
          <w:tcPr>
            <w:tcW w:w="4746" w:type="dxa"/>
            <w:vAlign w:val="center"/>
          </w:tcPr>
          <w:p w14:paraId="03893122">
            <w:pPr>
              <w:pStyle w:val="2"/>
              <w:jc w:val="center"/>
              <w:rPr>
                <w:rFonts w:hint="eastAsia" w:ascii="仿宋" w:hAnsi="仿宋" w:eastAsia="仿宋" w:cs="仿宋"/>
                <w:color w:val="000000"/>
                <w:spacing w:val="-4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pacing w:val="-4"/>
                <w:sz w:val="32"/>
                <w:szCs w:val="32"/>
              </w:rPr>
              <w:t>两栖爬行类监测</w:t>
            </w:r>
          </w:p>
        </w:tc>
        <w:tc>
          <w:tcPr>
            <w:tcW w:w="2144" w:type="dxa"/>
            <w:vAlign w:val="center"/>
          </w:tcPr>
          <w:p w14:paraId="17FCBDAA">
            <w:pPr>
              <w:pStyle w:val="10"/>
              <w:spacing w:line="579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pacing w:val="-4"/>
                <w:sz w:val="32"/>
                <w:szCs w:val="32"/>
                <w:lang w:eastAsia="zh-TW"/>
              </w:rPr>
            </w:pPr>
            <w:r>
              <w:rPr>
                <w:rFonts w:hint="eastAsia" w:ascii="仿宋" w:hAnsi="仿宋" w:eastAsia="仿宋" w:cs="仿宋"/>
                <w:color w:val="000000"/>
                <w:spacing w:val="-4"/>
                <w:sz w:val="32"/>
                <w:szCs w:val="32"/>
                <w:lang w:eastAsia="zh-TW"/>
              </w:rPr>
              <w:t>至少4次</w:t>
            </w:r>
          </w:p>
        </w:tc>
      </w:tr>
      <w:tr w14:paraId="27EC036C">
        <w:tc>
          <w:tcPr>
            <w:tcW w:w="871" w:type="dxa"/>
            <w:vAlign w:val="center"/>
          </w:tcPr>
          <w:p w14:paraId="566BD9DB">
            <w:pPr>
              <w:ind w:firstLine="312" w:firstLineChars="100"/>
              <w:rPr>
                <w:rFonts w:hint="eastAsia" w:ascii="仿宋" w:hAnsi="仿宋" w:eastAsia="PMingLiU" w:cs="仿宋"/>
                <w:color w:val="000000"/>
                <w:spacing w:val="-4"/>
                <w:sz w:val="32"/>
                <w:szCs w:val="32"/>
                <w:lang w:eastAsia="zh-TW"/>
              </w:rPr>
            </w:pPr>
          </w:p>
          <w:p w14:paraId="3AB84520">
            <w:pPr>
              <w:ind w:firstLine="312" w:firstLineChars="100"/>
            </w:pPr>
            <w:r>
              <w:rPr>
                <w:rFonts w:hint="eastAsia" w:ascii="仿宋" w:hAnsi="仿宋" w:eastAsia="PMingLiU" w:cs="仿宋"/>
                <w:color w:val="000000"/>
                <w:spacing w:val="-4"/>
                <w:sz w:val="32"/>
                <w:szCs w:val="32"/>
                <w:lang w:eastAsia="zh-TW"/>
              </w:rPr>
              <w:t>3</w:t>
            </w:r>
          </w:p>
          <w:p w14:paraId="0ED1FF2C">
            <w:pPr>
              <w:pStyle w:val="10"/>
              <w:spacing w:line="579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1587" w:type="dxa"/>
            <w:vAlign w:val="center"/>
          </w:tcPr>
          <w:p w14:paraId="31DEA78F">
            <w:pPr>
              <w:pStyle w:val="10"/>
              <w:spacing w:line="579" w:lineRule="exact"/>
              <w:ind w:firstLine="0" w:firstLineChars="0"/>
              <w:jc w:val="both"/>
              <w:rPr>
                <w:rFonts w:hint="eastAsia" w:ascii="仿宋" w:hAnsi="仿宋" w:eastAsia="仿宋" w:cs="仿宋"/>
                <w:color w:val="000000"/>
                <w:spacing w:val="-4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pacing w:val="-4"/>
                <w:sz w:val="32"/>
                <w:szCs w:val="32"/>
              </w:rPr>
              <w:t>编制服务</w:t>
            </w:r>
          </w:p>
        </w:tc>
        <w:tc>
          <w:tcPr>
            <w:tcW w:w="4746" w:type="dxa"/>
            <w:vAlign w:val="center"/>
          </w:tcPr>
          <w:p w14:paraId="080DA8C4">
            <w:pPr>
              <w:pStyle w:val="10"/>
              <w:spacing w:line="579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pacing w:val="-4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pacing w:val="-4"/>
                <w:sz w:val="32"/>
                <w:szCs w:val="32"/>
              </w:rPr>
              <w:t>包括对监测数据进行归类整理分析，撰写季度报告、中期及总结验收报告，对调查结果进行总结分析，并提出建设性建议</w:t>
            </w:r>
          </w:p>
        </w:tc>
        <w:tc>
          <w:tcPr>
            <w:tcW w:w="2144" w:type="dxa"/>
            <w:vAlign w:val="center"/>
          </w:tcPr>
          <w:p w14:paraId="4FC94F33">
            <w:pPr>
              <w:pStyle w:val="10"/>
              <w:spacing w:line="579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pacing w:val="-4"/>
                <w:sz w:val="32"/>
                <w:szCs w:val="32"/>
              </w:rPr>
            </w:pPr>
          </w:p>
          <w:p w14:paraId="6253A48E">
            <w:pPr>
              <w:pStyle w:val="10"/>
              <w:spacing w:line="579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pacing w:val="-4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pacing w:val="-4"/>
                <w:sz w:val="32"/>
                <w:szCs w:val="32"/>
              </w:rPr>
              <w:t>一年</w:t>
            </w:r>
          </w:p>
        </w:tc>
      </w:tr>
    </w:tbl>
    <w:p w14:paraId="580D7441">
      <w:pPr>
        <w:numPr>
          <w:ilvl w:val="0"/>
          <w:numId w:val="2"/>
        </w:numPr>
        <w:snapToGrid w:val="0"/>
        <w:spacing w:line="579" w:lineRule="exact"/>
        <w:rPr>
          <w:rFonts w:hint="eastAsia" w:ascii="仿宋" w:hAnsi="仿宋" w:eastAsia="仿宋" w:cs="仿宋"/>
          <w:b/>
          <w:bCs/>
          <w:color w:val="000000"/>
          <w:spacing w:val="-4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pacing w:val="-4"/>
          <w:sz w:val="32"/>
          <w:szCs w:val="32"/>
          <w:lang w:eastAsia="zh-TW"/>
        </w:rPr>
        <w:t>服务</w:t>
      </w:r>
      <w:r>
        <w:rPr>
          <w:rFonts w:hint="eastAsia" w:ascii="仿宋" w:hAnsi="仿宋" w:eastAsia="仿宋" w:cs="仿宋"/>
          <w:b/>
          <w:bCs/>
          <w:color w:val="000000"/>
          <w:spacing w:val="-4"/>
          <w:sz w:val="32"/>
          <w:szCs w:val="32"/>
        </w:rPr>
        <w:t>要求</w:t>
      </w:r>
    </w:p>
    <w:p w14:paraId="613FD947">
      <w:pPr>
        <w:spacing w:line="579" w:lineRule="exact"/>
        <w:ind w:firstLine="640" w:firstLineChars="200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1.技术要求</w:t>
      </w:r>
    </w:p>
    <w:p w14:paraId="1B6690B1">
      <w:pPr>
        <w:spacing w:line="579" w:lineRule="exact"/>
        <w:ind w:firstLine="640" w:firstLineChars="200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（1）参照国家、广东省相关技术标准要求，结合横琴国家湿地公园动植物资源实际情况，按照调查内容、生物类群、生境条件，设置相应的调查方法和线路。</w:t>
      </w:r>
    </w:p>
    <w:p w14:paraId="0053F1AE">
      <w:pPr>
        <w:spacing w:line="579" w:lineRule="exact"/>
        <w:ind w:firstLine="640" w:firstLineChars="200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（2）乙方需具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备</w:t>
      </w:r>
      <w:r>
        <w:rPr>
          <w:rFonts w:hint="eastAsia" w:ascii="仿宋" w:hAnsi="仿宋" w:eastAsia="仿宋" w:cs="仿宋"/>
          <w:bCs/>
          <w:sz w:val="32"/>
          <w:szCs w:val="32"/>
        </w:rPr>
        <w:t>专业监测设备，并进行野外实地调查，调查的各类报告、图表、照片必须使用仪器监测及野外调查的真实数据。</w:t>
      </w:r>
    </w:p>
    <w:p w14:paraId="64693881">
      <w:pPr>
        <w:spacing w:line="579" w:lineRule="exact"/>
        <w:ind w:firstLine="640" w:firstLineChars="200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2.人员要求</w:t>
      </w:r>
    </w:p>
    <w:p w14:paraId="5F35730A">
      <w:pPr>
        <w:spacing w:line="579" w:lineRule="exact"/>
        <w:ind w:firstLine="640" w:firstLineChars="200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（1）乙方应保证 1 名项目负责人、至少 6名生态、环境等相关专业人员负责各项监测。</w:t>
      </w:r>
    </w:p>
    <w:p w14:paraId="5F9E49E9">
      <w:pPr>
        <w:spacing w:line="579" w:lineRule="exact"/>
        <w:ind w:firstLine="640" w:firstLineChars="200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（2）乙方的工作人员应具有开展生态监测的经验。</w:t>
      </w:r>
    </w:p>
    <w:p w14:paraId="1FF92954">
      <w:pPr>
        <w:spacing w:line="579" w:lineRule="exact"/>
        <w:ind w:firstLine="640" w:firstLineChars="200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（3）乙方的工作人员应具备及时到工作现场处理科研监测和问题的能力。</w:t>
      </w:r>
    </w:p>
    <w:p w14:paraId="076A409F">
      <w:pPr>
        <w:spacing w:line="579" w:lineRule="exact"/>
        <w:ind w:firstLine="640" w:firstLineChars="200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3.成果要求</w:t>
      </w:r>
    </w:p>
    <w:p w14:paraId="1B5FF173">
      <w:pPr>
        <w:spacing w:line="579" w:lineRule="exact"/>
        <w:ind w:firstLine="640" w:firstLineChars="200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ascii="仿宋" w:hAnsi="仿宋" w:eastAsia="仿宋" w:cs="仿宋"/>
          <w:bCs/>
          <w:sz w:val="32"/>
          <w:szCs w:val="32"/>
        </w:rPr>
        <w:t>调查报告能客观反映横琴</w:t>
      </w:r>
      <w:r>
        <w:rPr>
          <w:rFonts w:hint="eastAsia" w:ascii="仿宋" w:hAnsi="仿宋" w:eastAsia="仿宋" w:cs="仿宋"/>
          <w:bCs/>
          <w:sz w:val="32"/>
          <w:szCs w:val="32"/>
        </w:rPr>
        <w:t>湿地公园</w:t>
      </w:r>
      <w:r>
        <w:rPr>
          <w:rFonts w:hint="eastAsia" w:ascii="仿宋" w:hAnsi="仿宋" w:eastAsia="仿宋" w:cs="仿宋"/>
          <w:bCs/>
          <w:sz w:val="32"/>
          <w:szCs w:val="32"/>
          <w:lang w:eastAsia="zh-TW"/>
        </w:rPr>
        <w:t>及</w:t>
      </w:r>
      <w:r>
        <w:rPr>
          <w:rFonts w:hint="eastAsia" w:ascii="仿宋" w:hAnsi="仿宋" w:eastAsia="仿宋" w:cs="仿宋"/>
          <w:bCs/>
          <w:sz w:val="32"/>
          <w:szCs w:val="32"/>
        </w:rPr>
        <w:t>大横琴山</w:t>
      </w:r>
      <w:r>
        <w:rPr>
          <w:rFonts w:ascii="仿宋" w:hAnsi="仿宋" w:eastAsia="仿宋" w:cs="仿宋"/>
          <w:bCs/>
          <w:sz w:val="32"/>
          <w:szCs w:val="32"/>
        </w:rPr>
        <w:t>的</w:t>
      </w:r>
      <w:r>
        <w:rPr>
          <w:rFonts w:hint="eastAsia" w:ascii="仿宋" w:hAnsi="仿宋" w:eastAsia="仿宋" w:cs="仿宋"/>
          <w:bCs/>
          <w:sz w:val="32"/>
          <w:szCs w:val="32"/>
        </w:rPr>
        <w:t>物种群落和生态环境</w:t>
      </w:r>
      <w:r>
        <w:rPr>
          <w:rFonts w:ascii="仿宋" w:hAnsi="仿宋" w:eastAsia="仿宋" w:cs="仿宋"/>
          <w:bCs/>
          <w:sz w:val="32"/>
          <w:szCs w:val="32"/>
        </w:rPr>
        <w:t>现状，相关调查成果符合验收标准。</w:t>
      </w:r>
    </w:p>
    <w:p w14:paraId="7C40DCBB">
      <w:pPr>
        <w:pStyle w:val="11"/>
        <w:numPr>
          <w:ilvl w:val="0"/>
          <w:numId w:val="1"/>
        </w:numPr>
        <w:spacing w:line="579" w:lineRule="exact"/>
        <w:ind w:firstLine="640"/>
        <w:outlineLvl w:val="0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完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成时间节点</w:t>
      </w:r>
      <w:r>
        <w:rPr>
          <w:rFonts w:hint="eastAsia" w:ascii="黑体" w:hAnsi="黑体" w:eastAsia="黑体" w:cs="黑体"/>
          <w:bCs/>
          <w:sz w:val="32"/>
          <w:szCs w:val="32"/>
        </w:rPr>
        <w:t>要求</w:t>
      </w:r>
    </w:p>
    <w:p w14:paraId="6B796C9C">
      <w:pPr>
        <w:spacing w:line="579" w:lineRule="exact"/>
        <w:ind w:firstLine="640" w:firstLineChars="200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ascii="仿宋" w:hAnsi="仿宋" w:eastAsia="仿宋" w:cs="仿宋"/>
          <w:bCs/>
          <w:sz w:val="32"/>
          <w:szCs w:val="32"/>
        </w:rPr>
        <w:t>1、202</w:t>
      </w:r>
      <w:r>
        <w:rPr>
          <w:rFonts w:hint="eastAsia" w:ascii="仿宋" w:hAnsi="仿宋" w:eastAsia="PMingLiU" w:cs="仿宋"/>
          <w:bCs/>
          <w:sz w:val="32"/>
          <w:szCs w:val="32"/>
          <w:lang w:eastAsia="zh-TW"/>
        </w:rPr>
        <w:t>5</w:t>
      </w:r>
      <w:r>
        <w:rPr>
          <w:rFonts w:ascii="仿宋" w:hAnsi="仿宋" w:eastAsia="仿宋" w:cs="仿宋"/>
          <w:bCs/>
          <w:sz w:val="32"/>
          <w:szCs w:val="32"/>
        </w:rPr>
        <w:t>年</w:t>
      </w:r>
      <w:r>
        <w:rPr>
          <w:rFonts w:hint="eastAsia" w:ascii="仿宋" w:hAnsi="仿宋" w:eastAsia="仿宋" w:cs="仿宋"/>
          <w:bCs/>
          <w:sz w:val="32"/>
          <w:szCs w:val="32"/>
        </w:rPr>
        <w:t>8</w:t>
      </w:r>
      <w:r>
        <w:rPr>
          <w:rFonts w:ascii="仿宋" w:hAnsi="仿宋" w:eastAsia="仿宋" w:cs="仿宋"/>
          <w:bCs/>
          <w:sz w:val="32"/>
          <w:szCs w:val="32"/>
        </w:rPr>
        <w:t>月31日之前</w:t>
      </w:r>
      <w:r>
        <w:rPr>
          <w:rFonts w:hint="eastAsia" w:ascii="仿宋" w:hAnsi="仿宋" w:eastAsia="仿宋" w:cs="仿宋"/>
          <w:bCs/>
          <w:sz w:val="32"/>
          <w:szCs w:val="32"/>
        </w:rPr>
        <w:t>完成监测布点</w:t>
      </w:r>
      <w:r>
        <w:rPr>
          <w:rFonts w:ascii="仿宋" w:hAnsi="仿宋" w:eastAsia="仿宋" w:cs="仿宋"/>
          <w:bCs/>
          <w:sz w:val="32"/>
          <w:szCs w:val="32"/>
        </w:rPr>
        <w:t>、人员分工</w:t>
      </w:r>
      <w:r>
        <w:rPr>
          <w:rFonts w:hint="eastAsia" w:ascii="仿宋" w:hAnsi="仿宋" w:eastAsia="仿宋" w:cs="仿宋"/>
          <w:bCs/>
          <w:sz w:val="32"/>
          <w:szCs w:val="32"/>
        </w:rPr>
        <w:t>及研究调查方案</w:t>
      </w:r>
      <w:r>
        <w:rPr>
          <w:rFonts w:ascii="仿宋" w:hAnsi="仿宋" w:eastAsia="仿宋" w:cs="仿宋"/>
          <w:bCs/>
          <w:sz w:val="32"/>
          <w:szCs w:val="32"/>
        </w:rPr>
        <w:t>。</w:t>
      </w:r>
    </w:p>
    <w:p w14:paraId="19618F61">
      <w:pPr>
        <w:spacing w:line="579" w:lineRule="exact"/>
        <w:ind w:firstLine="640" w:firstLineChars="200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ascii="仿宋" w:hAnsi="仿宋" w:eastAsia="仿宋" w:cs="仿宋"/>
          <w:bCs/>
          <w:sz w:val="32"/>
          <w:szCs w:val="32"/>
        </w:rPr>
        <w:t>2、202</w:t>
      </w:r>
      <w:r>
        <w:rPr>
          <w:rFonts w:hint="eastAsia" w:ascii="仿宋" w:hAnsi="仿宋" w:eastAsia="PMingLiU" w:cs="仿宋"/>
          <w:bCs/>
          <w:sz w:val="32"/>
          <w:szCs w:val="32"/>
          <w:lang w:eastAsia="zh-TW"/>
        </w:rPr>
        <w:t>6</w:t>
      </w:r>
      <w:r>
        <w:rPr>
          <w:rFonts w:ascii="仿宋" w:hAnsi="仿宋" w:eastAsia="仿宋" w:cs="仿宋"/>
          <w:bCs/>
          <w:sz w:val="32"/>
          <w:szCs w:val="32"/>
        </w:rPr>
        <w:t>年</w:t>
      </w:r>
      <w:r>
        <w:rPr>
          <w:rFonts w:hint="eastAsia" w:ascii="仿宋" w:hAnsi="仿宋" w:eastAsia="仿宋" w:cs="仿宋"/>
          <w:bCs/>
          <w:sz w:val="32"/>
          <w:szCs w:val="32"/>
        </w:rPr>
        <w:t>2</w:t>
      </w:r>
      <w:r>
        <w:rPr>
          <w:rFonts w:ascii="仿宋" w:hAnsi="仿宋" w:eastAsia="仿宋" w:cs="仿宋"/>
          <w:bCs/>
          <w:sz w:val="32"/>
          <w:szCs w:val="32"/>
        </w:rPr>
        <w:t>月15日之前提交中期验收服务成果。</w:t>
      </w:r>
    </w:p>
    <w:p w14:paraId="30A2A8E7">
      <w:pPr>
        <w:spacing w:line="579" w:lineRule="exact"/>
        <w:ind w:firstLine="640" w:firstLineChars="200"/>
      </w:pPr>
      <w:r>
        <w:rPr>
          <w:rFonts w:ascii="仿宋" w:hAnsi="仿宋" w:eastAsia="仿宋" w:cs="仿宋"/>
          <w:bCs/>
          <w:sz w:val="32"/>
          <w:szCs w:val="32"/>
        </w:rPr>
        <w:t>3、202</w:t>
      </w:r>
      <w:r>
        <w:rPr>
          <w:rFonts w:hint="eastAsia" w:ascii="仿宋" w:hAnsi="仿宋" w:eastAsia="PMingLiU" w:cs="仿宋"/>
          <w:bCs/>
          <w:sz w:val="32"/>
          <w:szCs w:val="32"/>
          <w:lang w:eastAsia="zh-TW"/>
        </w:rPr>
        <w:t>6</w:t>
      </w:r>
      <w:r>
        <w:rPr>
          <w:rFonts w:ascii="仿宋" w:hAnsi="仿宋" w:eastAsia="仿宋" w:cs="仿宋"/>
          <w:bCs/>
          <w:sz w:val="32"/>
          <w:szCs w:val="32"/>
        </w:rPr>
        <w:t>年</w:t>
      </w:r>
      <w:r>
        <w:rPr>
          <w:rFonts w:hint="eastAsia" w:ascii="仿宋" w:hAnsi="仿宋" w:eastAsia="仿宋" w:cs="仿宋"/>
          <w:bCs/>
          <w:sz w:val="32"/>
          <w:szCs w:val="32"/>
        </w:rPr>
        <w:t>8</w:t>
      </w:r>
      <w:r>
        <w:rPr>
          <w:rFonts w:ascii="仿宋" w:hAnsi="仿宋" w:eastAsia="仿宋" w:cs="仿宋"/>
          <w:bCs/>
          <w:sz w:val="32"/>
          <w:szCs w:val="32"/>
        </w:rPr>
        <w:t>月1</w:t>
      </w:r>
      <w:r>
        <w:rPr>
          <w:rFonts w:hint="eastAsia" w:ascii="仿宋" w:hAnsi="仿宋" w:eastAsia="仿宋" w:cs="仿宋"/>
          <w:bCs/>
          <w:sz w:val="32"/>
          <w:szCs w:val="32"/>
        </w:rPr>
        <w:t>5</w:t>
      </w:r>
      <w:r>
        <w:rPr>
          <w:rFonts w:ascii="仿宋" w:hAnsi="仿宋" w:eastAsia="仿宋" w:cs="仿宋"/>
          <w:bCs/>
          <w:sz w:val="32"/>
          <w:szCs w:val="32"/>
        </w:rPr>
        <w:t>日之前提交总结验收服务成果。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汉仪书宋二KW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PMingLiU">
    <w:altName w:val="宋体-繁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宋体-繁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D89CB9"/>
    <w:multiLevelType w:val="singleLevel"/>
    <w:tmpl w:val="8FD89CB9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A3C4532A"/>
    <w:multiLevelType w:val="singleLevel"/>
    <w:tmpl w:val="A3C4532A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doNotDisplayPageBoundaries w:val="1"/>
  <w:embedSystemFonts/>
  <w:bordersDoNotSurroundHeader w:val="0"/>
  <w:bordersDoNotSurroundFooter w:val="0"/>
  <w:attachedTemplate r:id="rId1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8052DD"/>
    <w:rsid w:val="001922EB"/>
    <w:rsid w:val="002777C9"/>
    <w:rsid w:val="006D249B"/>
    <w:rsid w:val="007113A6"/>
    <w:rsid w:val="007D3416"/>
    <w:rsid w:val="00BB27ED"/>
    <w:rsid w:val="00CA0BA9"/>
    <w:rsid w:val="00DC79FC"/>
    <w:rsid w:val="08292180"/>
    <w:rsid w:val="0B680DC4"/>
    <w:rsid w:val="0BC208C3"/>
    <w:rsid w:val="188429D5"/>
    <w:rsid w:val="1C830AAE"/>
    <w:rsid w:val="244A1346"/>
    <w:rsid w:val="267E4F53"/>
    <w:rsid w:val="27E57066"/>
    <w:rsid w:val="29453EF6"/>
    <w:rsid w:val="2E9E1A52"/>
    <w:rsid w:val="45B32B79"/>
    <w:rsid w:val="4E2B1573"/>
    <w:rsid w:val="67DF8654"/>
    <w:rsid w:val="6DEE1378"/>
    <w:rsid w:val="72C80FEF"/>
    <w:rsid w:val="78844350"/>
    <w:rsid w:val="7C805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annotation text"/>
    <w:basedOn w:val="1"/>
    <w:link w:val="12"/>
    <w:semiHidden/>
    <w:qFormat/>
    <w:uiPriority w:val="0"/>
    <w:pPr>
      <w:jc w:val="left"/>
    </w:pPr>
    <w:rPr>
      <w:szCs w:val="20"/>
    </w:rPr>
  </w:style>
  <w:style w:type="paragraph" w:styleId="4">
    <w:name w:val="Body Text Indent 2"/>
    <w:qFormat/>
    <w:uiPriority w:val="0"/>
    <w:pPr>
      <w:widowControl w:val="0"/>
      <w:spacing w:line="480" w:lineRule="exact"/>
      <w:ind w:left="810" w:firstLine="675"/>
      <w:jc w:val="both"/>
    </w:pPr>
    <w:rPr>
      <w:rFonts w:ascii="Calibri" w:hAnsi="Calibri" w:eastAsia="仿宋_GB2312" w:cs="Times New Roman"/>
      <w:kern w:val="2"/>
      <w:sz w:val="30"/>
      <w:lang w:val="en-US" w:eastAsia="zh-CN" w:bidi="ar-SA"/>
    </w:rPr>
  </w:style>
  <w:style w:type="paragraph" w:styleId="5">
    <w:name w:val="annotation subject"/>
    <w:basedOn w:val="3"/>
    <w:next w:val="3"/>
    <w:link w:val="13"/>
    <w:qFormat/>
    <w:uiPriority w:val="0"/>
    <w:rPr>
      <w:b/>
      <w:bCs/>
      <w:szCs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annotation reference"/>
    <w:basedOn w:val="8"/>
    <w:qFormat/>
    <w:uiPriority w:val="0"/>
    <w:rPr>
      <w:sz w:val="21"/>
      <w:szCs w:val="21"/>
    </w:rPr>
  </w:style>
  <w:style w:type="paragraph" w:customStyle="1" w:styleId="10">
    <w:name w:val="_Style 3"/>
    <w:basedOn w:val="1"/>
    <w:qFormat/>
    <w:uiPriority w:val="34"/>
    <w:pPr>
      <w:ind w:firstLine="420" w:firstLineChars="200"/>
    </w:p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2">
    <w:name w:val="批注文字 字符"/>
    <w:basedOn w:val="8"/>
    <w:link w:val="3"/>
    <w:semiHidden/>
    <w:qFormat/>
    <w:uiPriority w:val="0"/>
    <w:rPr>
      <w:rFonts w:ascii="Times New Roman" w:hAnsi="Times New Roman" w:eastAsia="宋体" w:cs="Times New Roman"/>
      <w:kern w:val="2"/>
      <w:sz w:val="21"/>
    </w:rPr>
  </w:style>
  <w:style w:type="character" w:customStyle="1" w:styleId="13">
    <w:name w:val="批注主题 字符"/>
    <w:basedOn w:val="12"/>
    <w:link w:val="5"/>
    <w:qFormat/>
    <w:uiPriority w:val="0"/>
    <w:rPr>
      <w:rFonts w:ascii="Times New Roman" w:hAnsi="Times New Roman" w:eastAsia="宋体" w:cs="Times New Roman"/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Users/xiaomuying/Library/Containers/com.kingsoft.wpsoffice.mac/Data/C:\dreamsoft\DSOA\wdzx97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wdzx97.dot</Template>
  <Company>横琴新区</Company>
  <Pages>3</Pages>
  <Words>901</Words>
  <Characters>924</Characters>
  <Lines>7</Lines>
  <Paragraphs>2</Paragraphs>
  <TotalTime>21</TotalTime>
  <ScaleCrop>false</ScaleCrop>
  <LinksUpToDate>false</LinksUpToDate>
  <CharactersWithSpaces>927</CharactersWithSpaces>
  <Application>WPS Office_7.2.2.8955_F1E327BC-269C-435d-A152-05C5408002CA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2025-07-16T14:57:00Z</dcterms:created>
  <dc:creator>郑文轩:公文起草</dc:creator>
  <cp:lastModifiedBy>RaphaelL</cp:lastModifiedBy>
  <cp:lastPrinted>2025-07-18T11:08:00Z</cp:lastPrinted>
  <dcterms:modified xsi:type="dcterms:W3CDTF">2025-07-28T16:26:12Z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9032E0A988F54FD4B035DC0BFE85083F</vt:lpwstr>
  </property>
  <property fmtid="{D5CDD505-2E9C-101B-9397-08002B2CF9AE}" pid="4" name="KSOTemplateDocerSaveRecord">
    <vt:lpwstr>eyJoZGlkIjoiZDk1NjBiNjlkZjhkOTZmMDNjYzNhOWFiOTRiODkxYjUiLCJ1c2VySWQiOiIyNjk5Mjg0OTEifQ==</vt:lpwstr>
  </property>
</Properties>
</file>