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Lines/>
        <w:adjustRightInd w:val="0"/>
        <w:snapToGrid w:val="0"/>
        <w:spacing w:line="360" w:lineRule="auto"/>
        <w:jc w:val="center"/>
        <w:rPr>
          <w:rFonts w:hint="eastAsia" w:ascii="仿宋_GB2312" w:hAnsi="仿宋_GB2312" w:eastAsia="仿宋_GB2312" w:cs="仿宋_GB2312"/>
          <w:sz w:val="72"/>
          <w:szCs w:val="24"/>
        </w:rPr>
      </w:pPr>
      <w:r>
        <w:rPr>
          <w:rFonts w:hint="eastAsia" w:ascii="仿宋_GB2312" w:hAnsi="仿宋_GB2312" w:eastAsia="仿宋_GB2312" w:cs="仿宋_GB2312"/>
          <w:sz w:val="72"/>
          <w:szCs w:val="24"/>
        </w:rPr>
        <w:t>横琴粤澳深度合作区</w:t>
      </w:r>
    </w:p>
    <w:p>
      <w:pPr>
        <w:keepLines/>
        <w:adjustRightInd w:val="0"/>
        <w:snapToGrid w:val="0"/>
        <w:spacing w:line="360" w:lineRule="auto"/>
        <w:jc w:val="center"/>
        <w:rPr>
          <w:rFonts w:hint="eastAsia" w:ascii="仿宋_GB2312" w:hAnsi="仿宋_GB2312" w:eastAsia="仿宋_GB2312" w:cs="仿宋_GB2312"/>
          <w:b/>
          <w:sz w:val="52"/>
          <w:szCs w:val="52"/>
        </w:rPr>
      </w:pPr>
      <w:r>
        <w:rPr>
          <w:rFonts w:hint="eastAsia" w:ascii="仿宋_GB2312" w:hAnsi="仿宋_GB2312" w:eastAsia="仿宋_GB2312" w:cs="仿宋_GB2312"/>
          <w:sz w:val="72"/>
          <w:szCs w:val="24"/>
        </w:rPr>
        <w:t>政府采购</w:t>
      </w:r>
    </w:p>
    <w:p>
      <w:pPr>
        <w:keepLines/>
        <w:adjustRightInd w:val="0"/>
        <w:snapToGrid w:val="0"/>
        <w:spacing w:line="360" w:lineRule="auto"/>
        <w:jc w:val="center"/>
        <w:rPr>
          <w:rFonts w:hint="eastAsia" w:ascii="仿宋_GB2312" w:hAnsi="仿宋_GB2312" w:eastAsia="仿宋_GB2312" w:cs="仿宋_GB2312"/>
          <w:sz w:val="48"/>
          <w:szCs w:val="48"/>
        </w:rPr>
      </w:pPr>
      <w:r>
        <w:rPr>
          <w:rFonts w:hint="eastAsia" w:ascii="仿宋_GB2312" w:hAnsi="仿宋_GB2312" w:eastAsia="仿宋_GB2312" w:cs="仿宋_GB2312"/>
          <w:sz w:val="48"/>
          <w:szCs w:val="48"/>
        </w:rPr>
        <w:t>竞争性磋商文件</w:t>
      </w:r>
    </w:p>
    <w:p>
      <w:pPr>
        <w:pStyle w:val="14"/>
      </w:pPr>
    </w:p>
    <w:p>
      <w:pPr>
        <w:keepLines/>
        <w:adjustRightInd w:val="0"/>
        <w:snapToGrid w:val="0"/>
        <w:spacing w:line="360" w:lineRule="auto"/>
        <w:jc w:val="center"/>
        <w:rPr>
          <w:rFonts w:hint="eastAsia" w:ascii="仿宋_GB2312" w:hAnsi="仿宋_GB2312" w:eastAsia="仿宋_GB2312" w:cs="仿宋_GB2312"/>
          <w:b/>
          <w:sz w:val="32"/>
        </w:rPr>
      </w:pPr>
      <w:r>
        <w:rPr>
          <w:rFonts w:hint="eastAsia" w:ascii="仿宋_GB2312" w:hAnsi="仿宋_GB2312" w:eastAsia="仿宋_GB2312" w:cs="仿宋_GB2312"/>
          <w:b/>
          <w:sz w:val="32"/>
        </w:rPr>
        <w:t xml:space="preserve"> </w:t>
      </w:r>
    </w:p>
    <w:p>
      <w:pPr>
        <w:keepLines/>
        <w:adjustRightInd w:val="0"/>
        <w:snapToGrid w:val="0"/>
        <w:spacing w:line="360" w:lineRule="auto"/>
        <w:rPr>
          <w:rFonts w:hint="eastAsia" w:ascii="仿宋_GB2312" w:hAnsi="仿宋_GB2312" w:eastAsia="仿宋_GB2312" w:cs="仿宋_GB2312"/>
          <w:b/>
        </w:rPr>
      </w:pPr>
    </w:p>
    <w:p>
      <w:pPr>
        <w:spacing w:line="360" w:lineRule="auto"/>
        <w:ind w:left="1378" w:hanging="1383" w:hangingChars="492"/>
        <w:rPr>
          <w:rFonts w:hint="eastAsia" w:ascii="仿宋_GB2312" w:hAnsi="仿宋_GB2312" w:eastAsia="仿宋_GB2312" w:cs="仿宋_GB2312"/>
          <w:b/>
          <w:sz w:val="28"/>
          <w:szCs w:val="28"/>
          <w:u w:val="single"/>
        </w:rPr>
      </w:pPr>
      <w:r>
        <w:rPr>
          <w:rFonts w:hint="eastAsia" w:ascii="仿宋_GB2312" w:hAnsi="仿宋_GB2312" w:eastAsia="仿宋_GB2312" w:cs="仿宋_GB2312"/>
          <w:b/>
          <w:sz w:val="28"/>
          <w:szCs w:val="28"/>
        </w:rPr>
        <w:t>项目名称：</w:t>
      </w:r>
      <w:r>
        <w:rPr>
          <w:rFonts w:hint="eastAsia" w:ascii="仿宋_GB2312" w:hAnsi="仿宋_GB2312" w:eastAsia="仿宋_GB2312" w:cs="仿宋_GB2312"/>
          <w:b/>
          <w:sz w:val="28"/>
          <w:szCs w:val="28"/>
          <w:u w:val="single"/>
        </w:rPr>
        <w:t>横琴粤澳深度合作区城市规划和建设局建设工程桩基施工过程质量数据采集分析第三方技术支撑服务项目</w:t>
      </w:r>
      <w:r>
        <w:rPr>
          <w:rFonts w:hint="eastAsia" w:ascii="仿宋_GB2312" w:hAnsi="仿宋_GB2312" w:eastAsia="仿宋_GB2312" w:cs="仿宋_GB2312"/>
          <w:b/>
          <w:i/>
          <w:iCs/>
          <w:sz w:val="28"/>
          <w:szCs w:val="28"/>
          <w:u w:val="single"/>
        </w:rPr>
        <w:t xml:space="preserve">  </w:t>
      </w:r>
      <w:r>
        <w:rPr>
          <w:rFonts w:hint="eastAsia" w:ascii="仿宋_GB2312" w:hAnsi="仿宋_GB2312" w:eastAsia="仿宋_GB2312" w:cs="仿宋_GB2312"/>
          <w:b/>
          <w:sz w:val="28"/>
          <w:szCs w:val="28"/>
          <w:u w:val="single"/>
        </w:rPr>
        <w:t xml:space="preserve">                                      </w:t>
      </w:r>
    </w:p>
    <w:p>
      <w:pPr>
        <w:spacing w:line="360" w:lineRule="auto"/>
        <w:ind w:left="1378" w:hanging="1383" w:hangingChars="492"/>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采购编号：</w:t>
      </w:r>
      <w:r>
        <w:rPr>
          <w:rFonts w:hint="eastAsia" w:ascii="仿宋_GB2312" w:hAnsi="仿宋_GB2312" w:eastAsia="仿宋_GB2312" w:cs="仿宋_GB2312"/>
          <w:b/>
          <w:sz w:val="28"/>
          <w:szCs w:val="28"/>
          <w:u w:val="single"/>
        </w:rPr>
        <w:t xml:space="preserve">HXD250307009                                                            </w:t>
      </w:r>
      <w:r>
        <w:rPr>
          <w:rFonts w:hint="eastAsia" w:ascii="仿宋_GB2312" w:hAnsi="仿宋_GB2312" w:eastAsia="仿宋_GB2312" w:cs="仿宋_GB2312"/>
          <w:b/>
          <w:sz w:val="28"/>
          <w:szCs w:val="28"/>
        </w:rPr>
        <w:t xml:space="preserve"> </w:t>
      </w:r>
    </w:p>
    <w:p>
      <w:pPr>
        <w:spacing w:line="360" w:lineRule="auto"/>
        <w:rPr>
          <w:rFonts w:hint="eastAsia" w:ascii="仿宋_GB2312" w:hAnsi="仿宋_GB2312" w:eastAsia="仿宋_GB2312" w:cs="仿宋_GB2312"/>
          <w:b/>
          <w:sz w:val="28"/>
          <w:szCs w:val="28"/>
          <w:u w:val="single"/>
        </w:rPr>
      </w:pPr>
      <w:r>
        <w:rPr>
          <w:rFonts w:hint="eastAsia" w:ascii="仿宋_GB2312" w:hAnsi="仿宋_GB2312" w:eastAsia="仿宋_GB2312" w:cs="仿宋_GB2312"/>
          <w:b/>
          <w:sz w:val="28"/>
          <w:szCs w:val="28"/>
        </w:rPr>
        <w:t>采 购 人：</w:t>
      </w:r>
      <w:r>
        <w:rPr>
          <w:rFonts w:hint="eastAsia" w:ascii="仿宋_GB2312" w:hAnsi="仿宋_GB2312" w:eastAsia="仿宋_GB2312" w:cs="仿宋_GB2312"/>
          <w:b/>
          <w:sz w:val="28"/>
          <w:szCs w:val="28"/>
          <w:u w:val="single"/>
        </w:rPr>
        <w:t>横琴粤澳深度合作区城市规划和建设局 </w:t>
      </w:r>
      <w:r>
        <w:rPr>
          <w:rFonts w:hint="eastAsia" w:ascii="仿宋_GB2312" w:hAnsi="仿宋_GB2312" w:eastAsia="仿宋_GB2312" w:cs="仿宋_GB2312"/>
          <w:bCs/>
          <w:sz w:val="28"/>
          <w:szCs w:val="28"/>
          <w:u w:val="single"/>
        </w:rPr>
        <w:t xml:space="preserve">                   </w:t>
      </w:r>
      <w:r>
        <w:rPr>
          <w:rFonts w:hint="eastAsia" w:ascii="仿宋_GB2312" w:hAnsi="仿宋_GB2312" w:eastAsia="仿宋_GB2312" w:cs="仿宋_GB2312"/>
          <w:b/>
          <w:sz w:val="28"/>
          <w:szCs w:val="28"/>
          <w:u w:val="single"/>
        </w:rPr>
        <w:t xml:space="preserve">                 </w:t>
      </w:r>
    </w:p>
    <w:p>
      <w:pPr>
        <w:spacing w:line="360" w:lineRule="auto"/>
        <w:rPr>
          <w:rFonts w:hint="eastAsia" w:ascii="仿宋_GB2312" w:hAnsi="仿宋_GB2312" w:eastAsia="仿宋_GB2312" w:cs="仿宋_GB2312"/>
          <w:b/>
          <w:sz w:val="28"/>
          <w:szCs w:val="28"/>
        </w:rPr>
      </w:pPr>
    </w:p>
    <w:p>
      <w:pPr>
        <w:pStyle w:val="24"/>
        <w:spacing w:line="360" w:lineRule="auto"/>
        <w:ind w:firstLine="400"/>
        <w:rPr>
          <w:rFonts w:hint="eastAsia" w:ascii="仿宋_GB2312" w:hAnsi="仿宋_GB2312" w:eastAsia="仿宋_GB2312" w:cs="仿宋_GB2312"/>
        </w:rPr>
      </w:pPr>
    </w:p>
    <w:p>
      <w:pPr>
        <w:spacing w:line="360" w:lineRule="auto"/>
        <w:rPr>
          <w:rFonts w:hint="eastAsia" w:ascii="仿宋_GB2312" w:hAnsi="仿宋_GB2312" w:eastAsia="仿宋_GB2312" w:cs="仿宋_GB2312"/>
          <w:b/>
          <w:sz w:val="28"/>
          <w:szCs w:val="28"/>
        </w:rPr>
      </w:pPr>
    </w:p>
    <w:p>
      <w:pPr>
        <w:spacing w:line="360" w:lineRule="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采购代理机构：</w:t>
      </w:r>
      <w:r>
        <w:rPr>
          <w:rFonts w:hint="eastAsia" w:ascii="仿宋_GB2312" w:hAnsi="仿宋_GB2312" w:eastAsia="仿宋_GB2312" w:cs="仿宋_GB2312"/>
          <w:b/>
          <w:sz w:val="28"/>
          <w:szCs w:val="28"/>
          <w:u w:val="single"/>
        </w:rPr>
        <w:t xml:space="preserve">珠海华信达工程顾问有限公司                                             </w:t>
      </w:r>
    </w:p>
    <w:p>
      <w:pPr>
        <w:keepLines/>
        <w:adjustRightInd w:val="0"/>
        <w:snapToGrid w:val="0"/>
        <w:spacing w:line="360" w:lineRule="auto"/>
        <w:jc w:val="both"/>
        <w:rPr>
          <w:rFonts w:hint="eastAsia" w:ascii="仿宋_GB2312" w:hAnsi="仿宋_GB2312" w:eastAsia="仿宋_GB2312" w:cs="仿宋_GB2312"/>
          <w:sz w:val="72"/>
        </w:rPr>
      </w:pPr>
      <w:r>
        <w:rPr>
          <w:rFonts w:hint="eastAsia" w:ascii="仿宋_GB2312" w:hAnsi="仿宋_GB2312" w:eastAsia="仿宋_GB2312" w:cs="仿宋_GB2312"/>
          <w:b/>
          <w:sz w:val="28"/>
          <w:szCs w:val="28"/>
        </w:rPr>
        <w:t>日    期：</w:t>
      </w:r>
      <w:r>
        <w:rPr>
          <w:rFonts w:hint="eastAsia" w:ascii="仿宋_GB2312" w:hAnsi="仿宋_GB2312" w:eastAsia="仿宋_GB2312" w:cs="仿宋_GB2312"/>
          <w:b/>
          <w:sz w:val="28"/>
          <w:szCs w:val="28"/>
          <w:u w:val="single"/>
        </w:rPr>
        <w:t xml:space="preserve">   </w:t>
      </w:r>
      <w:r>
        <w:rPr>
          <w:rFonts w:hint="eastAsia" w:ascii="仿宋_GB2312" w:hAnsi="仿宋_GB2312" w:eastAsia="仿宋_GB2312" w:cs="仿宋_GB2312"/>
          <w:b/>
          <w:sz w:val="28"/>
          <w:szCs w:val="28"/>
          <w:u w:val="single"/>
          <w:lang w:val="en-US" w:eastAsia="zh-CN"/>
        </w:rPr>
        <w:t>2025年8月</w:t>
      </w:r>
      <w:r>
        <w:rPr>
          <w:rFonts w:hint="eastAsia" w:ascii="仿宋_GB2312" w:hAnsi="仿宋_GB2312" w:eastAsia="仿宋_GB2312" w:cs="仿宋_GB2312"/>
          <w:b/>
          <w:sz w:val="28"/>
          <w:szCs w:val="28"/>
          <w:u w:val="single"/>
        </w:rPr>
        <w:t xml:space="preserve">                                       </w:t>
      </w:r>
    </w:p>
    <w:p>
      <w:pPr>
        <w:rPr>
          <w:rFonts w:hint="eastAsia" w:ascii="仿宋_GB2312" w:hAnsi="仿宋_GB2312" w:eastAsia="仿宋_GB2312" w:cs="仿宋_GB2312"/>
        </w:rPr>
      </w:pPr>
    </w:p>
    <w:p>
      <w:pPr>
        <w:pStyle w:val="11"/>
        <w:rPr>
          <w:rFonts w:hint="eastAsia" w:hAnsi="仿宋_GB2312" w:cs="仿宋_GB2312"/>
        </w:rPr>
      </w:pPr>
    </w:p>
    <w:p>
      <w:pPr>
        <w:pStyle w:val="12"/>
        <w:rPr>
          <w:rFonts w:hint="eastAsia" w:hAnsi="仿宋_GB2312" w:cs="仿宋_GB2312"/>
        </w:rPr>
      </w:pPr>
    </w:p>
    <w:p>
      <w:pPr>
        <w:rPr>
          <w:rFonts w:hint="eastAsia" w:hAnsi="仿宋_GB2312" w:cs="仿宋_GB2312"/>
        </w:rPr>
      </w:pPr>
    </w:p>
    <w:p>
      <w:pPr>
        <w:pStyle w:val="14"/>
        <w:rPr>
          <w:rFonts w:hint="eastAsia" w:hAnsi="仿宋_GB2312" w:cs="仿宋_GB2312"/>
        </w:rPr>
      </w:pPr>
    </w:p>
    <w:p>
      <w:pPr>
        <w:pStyle w:val="14"/>
        <w:rPr>
          <w:rFonts w:hint="eastAsia" w:hAnsi="仿宋_GB2312" w:cs="仿宋_GB2312"/>
        </w:rPr>
      </w:pPr>
    </w:p>
    <w:p>
      <w:pPr>
        <w:pStyle w:val="14"/>
        <w:rPr>
          <w:rFonts w:hint="eastAsia" w:hAnsi="仿宋_GB2312" w:cs="仿宋_GB2312"/>
        </w:rPr>
      </w:pPr>
    </w:p>
    <w:p>
      <w:pPr>
        <w:pStyle w:val="14"/>
        <w:rPr>
          <w:rFonts w:hint="eastAsia" w:hAnsi="仿宋_GB2312" w:cs="仿宋_GB2312"/>
        </w:rPr>
      </w:pPr>
    </w:p>
    <w:p>
      <w:pPr>
        <w:pStyle w:val="14"/>
        <w:rPr>
          <w:rFonts w:hint="eastAsia" w:hAnsi="仿宋_GB2312" w:cs="仿宋_GB2312"/>
        </w:rPr>
      </w:pPr>
    </w:p>
    <w:p>
      <w:pPr>
        <w:jc w:val="center"/>
        <w:rPr>
          <w:rFonts w:hint="eastAsia" w:ascii="仿宋_GB2312" w:hAnsi="仿宋_GB2312" w:eastAsia="仿宋_GB2312" w:cs="仿宋_GB2312"/>
          <w:b/>
          <w:sz w:val="44"/>
        </w:rPr>
      </w:pPr>
      <w:r>
        <w:rPr>
          <w:rFonts w:hint="eastAsia" w:ascii="仿宋_GB2312" w:hAnsi="仿宋_GB2312" w:eastAsia="仿宋_GB2312" w:cs="仿宋_GB2312"/>
          <w:b/>
          <w:sz w:val="44"/>
        </w:rPr>
        <w:t>目录</w:t>
      </w:r>
    </w:p>
    <w:p>
      <w:pPr>
        <w:spacing w:line="360" w:lineRule="auto"/>
        <w:rPr>
          <w:rFonts w:hint="eastAsia" w:ascii="仿宋_GB2312" w:hAnsi="仿宋_GB2312" w:eastAsia="仿宋_GB2312" w:cs="仿宋_GB2312"/>
          <w:b/>
          <w:sz w:val="44"/>
        </w:rPr>
      </w:pPr>
    </w:p>
    <w:p>
      <w:pPr>
        <w:spacing w:line="360" w:lineRule="auto"/>
        <w:rPr>
          <w:rFonts w:hint="eastAsia" w:ascii="仿宋_GB2312" w:hAnsi="仿宋_GB2312" w:eastAsia="仿宋_GB2312" w:cs="仿宋_GB2312"/>
          <w:b/>
          <w:sz w:val="44"/>
        </w:rPr>
      </w:pPr>
      <w:r>
        <w:rPr>
          <w:rFonts w:hint="eastAsia" w:ascii="仿宋_GB2312" w:hAnsi="仿宋_GB2312" w:eastAsia="仿宋_GB2312" w:cs="仿宋_GB2312"/>
          <w:b/>
          <w:sz w:val="44"/>
        </w:rPr>
        <w:t>第一章 磋商邀请</w:t>
      </w:r>
    </w:p>
    <w:p>
      <w:pPr>
        <w:spacing w:line="360" w:lineRule="auto"/>
        <w:jc w:val="center"/>
        <w:rPr>
          <w:rFonts w:hint="eastAsia" w:ascii="仿宋_GB2312" w:hAnsi="仿宋_GB2312" w:eastAsia="仿宋_GB2312" w:cs="仿宋_GB2312"/>
          <w:b/>
          <w:sz w:val="44"/>
        </w:rPr>
      </w:pPr>
    </w:p>
    <w:p>
      <w:pPr>
        <w:spacing w:line="360" w:lineRule="auto"/>
        <w:rPr>
          <w:rFonts w:hint="eastAsia" w:ascii="仿宋_GB2312" w:hAnsi="仿宋_GB2312" w:eastAsia="仿宋_GB2312" w:cs="仿宋_GB2312"/>
          <w:b/>
          <w:sz w:val="44"/>
        </w:rPr>
      </w:pPr>
      <w:r>
        <w:rPr>
          <w:rFonts w:hint="eastAsia" w:ascii="仿宋_GB2312" w:hAnsi="仿宋_GB2312" w:eastAsia="仿宋_GB2312" w:cs="仿宋_GB2312"/>
          <w:b/>
          <w:sz w:val="44"/>
        </w:rPr>
        <w:t>第二章 磋商资料表</w:t>
      </w:r>
    </w:p>
    <w:p>
      <w:pPr>
        <w:spacing w:line="360" w:lineRule="auto"/>
        <w:jc w:val="center"/>
        <w:rPr>
          <w:rFonts w:hint="eastAsia" w:ascii="仿宋_GB2312" w:hAnsi="仿宋_GB2312" w:eastAsia="仿宋_GB2312" w:cs="仿宋_GB2312"/>
          <w:b/>
          <w:sz w:val="44"/>
        </w:rPr>
      </w:pPr>
    </w:p>
    <w:p>
      <w:pPr>
        <w:spacing w:line="360" w:lineRule="auto"/>
        <w:rPr>
          <w:rFonts w:hint="eastAsia" w:ascii="仿宋_GB2312" w:hAnsi="仿宋_GB2312" w:eastAsia="仿宋_GB2312" w:cs="仿宋_GB2312"/>
          <w:b/>
          <w:sz w:val="44"/>
        </w:rPr>
      </w:pPr>
      <w:r>
        <w:rPr>
          <w:rFonts w:hint="eastAsia" w:ascii="仿宋_GB2312" w:hAnsi="仿宋_GB2312" w:eastAsia="仿宋_GB2312" w:cs="仿宋_GB2312"/>
          <w:b/>
          <w:sz w:val="44"/>
        </w:rPr>
        <w:t>第三章 响应人须知</w:t>
      </w:r>
    </w:p>
    <w:p>
      <w:pPr>
        <w:spacing w:line="360" w:lineRule="auto"/>
        <w:rPr>
          <w:rFonts w:hint="eastAsia" w:ascii="仿宋_GB2312" w:hAnsi="仿宋_GB2312" w:eastAsia="仿宋_GB2312" w:cs="仿宋_GB2312"/>
          <w:b/>
          <w:sz w:val="44"/>
        </w:rPr>
      </w:pPr>
    </w:p>
    <w:p>
      <w:pPr>
        <w:spacing w:line="360" w:lineRule="auto"/>
        <w:rPr>
          <w:rFonts w:hint="eastAsia" w:ascii="仿宋_GB2312" w:hAnsi="仿宋_GB2312" w:eastAsia="仿宋_GB2312" w:cs="仿宋_GB2312"/>
          <w:b/>
          <w:sz w:val="44"/>
        </w:rPr>
      </w:pPr>
      <w:r>
        <w:rPr>
          <w:rFonts w:hint="eastAsia" w:ascii="仿宋_GB2312" w:hAnsi="仿宋_GB2312" w:eastAsia="仿宋_GB2312" w:cs="仿宋_GB2312"/>
          <w:b/>
          <w:sz w:val="44"/>
        </w:rPr>
        <w:t>第四章 合同条款资料表</w:t>
      </w:r>
    </w:p>
    <w:p>
      <w:pPr>
        <w:spacing w:line="360" w:lineRule="auto"/>
        <w:rPr>
          <w:rFonts w:hint="eastAsia" w:ascii="仿宋_GB2312" w:hAnsi="仿宋_GB2312" w:eastAsia="仿宋_GB2312" w:cs="仿宋_GB2312"/>
          <w:b/>
          <w:sz w:val="44"/>
        </w:rPr>
      </w:pPr>
    </w:p>
    <w:p>
      <w:pPr>
        <w:spacing w:line="360" w:lineRule="auto"/>
        <w:rPr>
          <w:rFonts w:hint="eastAsia" w:ascii="仿宋_GB2312" w:hAnsi="仿宋_GB2312" w:eastAsia="仿宋_GB2312" w:cs="仿宋_GB2312"/>
          <w:b/>
          <w:sz w:val="44"/>
        </w:rPr>
      </w:pPr>
      <w:r>
        <w:rPr>
          <w:rFonts w:hint="eastAsia" w:ascii="仿宋_GB2312" w:hAnsi="仿宋_GB2312" w:eastAsia="仿宋_GB2312" w:cs="仿宋_GB2312"/>
          <w:b/>
          <w:sz w:val="44"/>
        </w:rPr>
        <w:t>第五章 用户需求书</w:t>
      </w:r>
    </w:p>
    <w:p>
      <w:pPr>
        <w:spacing w:line="360" w:lineRule="auto"/>
        <w:rPr>
          <w:rFonts w:hint="eastAsia" w:ascii="仿宋_GB2312" w:hAnsi="仿宋_GB2312" w:eastAsia="仿宋_GB2312" w:cs="仿宋_GB2312"/>
          <w:b/>
          <w:sz w:val="44"/>
        </w:rPr>
      </w:pPr>
    </w:p>
    <w:p>
      <w:pPr>
        <w:spacing w:line="360" w:lineRule="auto"/>
        <w:rPr>
          <w:rFonts w:hint="eastAsia" w:ascii="仿宋_GB2312" w:hAnsi="仿宋_GB2312" w:eastAsia="仿宋_GB2312" w:cs="仿宋_GB2312"/>
          <w:b/>
          <w:sz w:val="44"/>
        </w:rPr>
      </w:pPr>
      <w:r>
        <w:rPr>
          <w:rFonts w:hint="eastAsia" w:ascii="仿宋_GB2312" w:hAnsi="仿宋_GB2312" w:eastAsia="仿宋_GB2312" w:cs="仿宋_GB2312"/>
          <w:b/>
          <w:sz w:val="44"/>
        </w:rPr>
        <w:t>第六章 合同条款</w:t>
      </w:r>
    </w:p>
    <w:p>
      <w:pPr>
        <w:spacing w:line="360" w:lineRule="auto"/>
        <w:jc w:val="center"/>
        <w:rPr>
          <w:rFonts w:hint="eastAsia" w:ascii="仿宋_GB2312" w:hAnsi="仿宋_GB2312" w:eastAsia="仿宋_GB2312" w:cs="仿宋_GB2312"/>
          <w:b/>
          <w:sz w:val="44"/>
        </w:rPr>
      </w:pPr>
    </w:p>
    <w:p>
      <w:pPr>
        <w:spacing w:line="360" w:lineRule="auto"/>
        <w:rPr>
          <w:rFonts w:hint="eastAsia" w:ascii="仿宋_GB2312" w:hAnsi="仿宋_GB2312" w:eastAsia="仿宋_GB2312" w:cs="仿宋_GB2312"/>
          <w:b/>
          <w:sz w:val="44"/>
        </w:rPr>
      </w:pPr>
      <w:r>
        <w:rPr>
          <w:rFonts w:hint="eastAsia" w:ascii="仿宋_GB2312" w:hAnsi="仿宋_GB2312" w:eastAsia="仿宋_GB2312" w:cs="仿宋_GB2312"/>
          <w:b/>
          <w:sz w:val="44"/>
        </w:rPr>
        <w:t>第七章 响应文件格式</w:t>
      </w:r>
    </w:p>
    <w:p>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br w:type="page"/>
      </w:r>
    </w:p>
    <w:p>
      <w:pPr>
        <w:spacing w:line="360" w:lineRule="auto"/>
        <w:jc w:val="center"/>
        <w:rPr>
          <w:rFonts w:hint="eastAsia" w:ascii="仿宋_GB2312" w:hAnsi="仿宋_GB2312" w:eastAsia="仿宋_GB2312" w:cs="仿宋_GB2312"/>
          <w:b/>
          <w:sz w:val="44"/>
        </w:rPr>
      </w:pPr>
    </w:p>
    <w:p>
      <w:pPr>
        <w:spacing w:line="360" w:lineRule="auto"/>
        <w:jc w:val="center"/>
        <w:rPr>
          <w:rFonts w:hint="eastAsia" w:ascii="仿宋_GB2312" w:hAnsi="仿宋_GB2312" w:eastAsia="仿宋_GB2312" w:cs="仿宋_GB2312"/>
          <w:b/>
          <w:sz w:val="44"/>
        </w:rPr>
      </w:pPr>
    </w:p>
    <w:p>
      <w:pPr>
        <w:spacing w:line="360" w:lineRule="auto"/>
        <w:jc w:val="center"/>
        <w:rPr>
          <w:rFonts w:hint="eastAsia" w:ascii="仿宋_GB2312" w:hAnsi="仿宋_GB2312" w:eastAsia="仿宋_GB2312" w:cs="仿宋_GB2312"/>
          <w:b/>
          <w:sz w:val="44"/>
        </w:rPr>
      </w:pPr>
    </w:p>
    <w:p>
      <w:pPr>
        <w:spacing w:line="360" w:lineRule="auto"/>
        <w:jc w:val="center"/>
        <w:rPr>
          <w:rFonts w:hint="eastAsia" w:ascii="仿宋_GB2312" w:hAnsi="仿宋_GB2312" w:eastAsia="仿宋_GB2312" w:cs="仿宋_GB2312"/>
          <w:b/>
          <w:sz w:val="44"/>
        </w:rPr>
      </w:pPr>
    </w:p>
    <w:p>
      <w:pPr>
        <w:spacing w:line="360" w:lineRule="auto"/>
        <w:jc w:val="center"/>
        <w:rPr>
          <w:rFonts w:hint="eastAsia" w:ascii="仿宋_GB2312" w:hAnsi="仿宋_GB2312" w:eastAsia="仿宋_GB2312" w:cs="仿宋_GB2312"/>
          <w:b/>
          <w:sz w:val="44"/>
        </w:rPr>
      </w:pPr>
    </w:p>
    <w:p>
      <w:pPr>
        <w:spacing w:line="360" w:lineRule="auto"/>
        <w:jc w:val="center"/>
        <w:rPr>
          <w:rFonts w:hint="eastAsia" w:ascii="仿宋_GB2312" w:hAnsi="仿宋_GB2312" w:eastAsia="仿宋_GB2312" w:cs="仿宋_GB2312"/>
          <w:b/>
          <w:sz w:val="44"/>
        </w:rPr>
      </w:pPr>
    </w:p>
    <w:p>
      <w:pPr>
        <w:spacing w:line="360" w:lineRule="auto"/>
        <w:jc w:val="center"/>
        <w:rPr>
          <w:rFonts w:hint="eastAsia" w:ascii="仿宋_GB2312" w:hAnsi="仿宋_GB2312" w:eastAsia="仿宋_GB2312" w:cs="仿宋_GB2312"/>
          <w:b/>
          <w:sz w:val="44"/>
        </w:rPr>
      </w:pPr>
      <w:r>
        <w:rPr>
          <w:rFonts w:hint="eastAsia" w:ascii="仿宋_GB2312" w:hAnsi="仿宋_GB2312" w:eastAsia="仿宋_GB2312" w:cs="仿宋_GB2312"/>
          <w:b/>
          <w:sz w:val="44"/>
        </w:rPr>
        <w:t>第一章</w:t>
      </w:r>
    </w:p>
    <w:p>
      <w:pPr>
        <w:spacing w:line="360" w:lineRule="auto"/>
        <w:jc w:val="center"/>
        <w:rPr>
          <w:rFonts w:hint="eastAsia" w:ascii="仿宋_GB2312" w:hAnsi="仿宋_GB2312" w:eastAsia="仿宋_GB2312" w:cs="仿宋_GB2312"/>
          <w:b/>
          <w:sz w:val="44"/>
        </w:rPr>
      </w:pPr>
    </w:p>
    <w:p>
      <w:pPr>
        <w:spacing w:line="360" w:lineRule="auto"/>
        <w:jc w:val="center"/>
        <w:rPr>
          <w:rFonts w:hint="eastAsia" w:ascii="仿宋_GB2312" w:hAnsi="仿宋_GB2312" w:eastAsia="仿宋_GB2312" w:cs="仿宋_GB2312"/>
          <w:b/>
          <w:sz w:val="44"/>
        </w:rPr>
      </w:pPr>
      <w:r>
        <w:rPr>
          <w:rFonts w:hint="eastAsia" w:ascii="仿宋_GB2312" w:hAnsi="仿宋_GB2312" w:eastAsia="仿宋_GB2312" w:cs="仿宋_GB2312"/>
          <w:b/>
          <w:sz w:val="44"/>
        </w:rPr>
        <w:t>磋商邀请</w:t>
      </w:r>
    </w:p>
    <w:p>
      <w:pPr>
        <w:spacing w:after="624" w:afterLines="200" w:line="360" w:lineRule="auto"/>
        <w:jc w:val="center"/>
        <w:rPr>
          <w:rFonts w:hint="eastAsia" w:ascii="仿宋_GB2312" w:hAnsi="仿宋_GB2312" w:eastAsia="仿宋_GB2312" w:cs="仿宋_GB2312"/>
          <w:b/>
          <w:kern w:val="28"/>
          <w:sz w:val="36"/>
          <w:szCs w:val="36"/>
        </w:rPr>
      </w:pPr>
      <w:r>
        <w:rPr>
          <w:rFonts w:hint="eastAsia" w:ascii="仿宋_GB2312" w:hAnsi="仿宋_GB2312" w:eastAsia="仿宋_GB2312" w:cs="仿宋_GB2312"/>
        </w:rPr>
        <w:br w:type="page"/>
      </w:r>
      <w:r>
        <w:rPr>
          <w:rFonts w:hint="eastAsia" w:ascii="仿宋_GB2312" w:hAnsi="仿宋_GB2312" w:eastAsia="仿宋_GB2312" w:cs="仿宋_GB2312"/>
          <w:b/>
          <w:kern w:val="28"/>
          <w:sz w:val="36"/>
          <w:szCs w:val="36"/>
        </w:rPr>
        <w:t>磋商邀请</w:t>
      </w:r>
    </w:p>
    <w:p>
      <w:pPr>
        <w:pStyle w:val="2"/>
        <w:snapToGrid w:val="0"/>
        <w:spacing w:before="60" w:after="0" w:line="360" w:lineRule="auto"/>
        <w:ind w:left="0" w:leftChars="0" w:firstLine="470" w:firstLineChars="196"/>
        <w:rPr>
          <w:rFonts w:hint="eastAsia" w:ascii="仿宋_GB2312" w:hAnsi="仿宋_GB2312" w:eastAsia="仿宋_GB2312" w:cs="仿宋_GB2312"/>
          <w:iCs/>
          <w:sz w:val="24"/>
          <w:szCs w:val="24"/>
        </w:rPr>
      </w:pPr>
      <w:r>
        <w:rPr>
          <w:rFonts w:hint="eastAsia" w:ascii="仿宋_GB2312" w:hAnsi="仿宋_GB2312" w:eastAsia="仿宋_GB2312" w:cs="仿宋_GB2312"/>
          <w:iCs/>
          <w:sz w:val="24"/>
          <w:szCs w:val="24"/>
        </w:rPr>
        <w:t>珠海华信达工程顾问有限公司（以下简称“采购代理机构”）受横琴粤澳深度合作区城市规划和建设局（以下简称“采购人”）的委托，对</w:t>
      </w:r>
      <w:r>
        <w:rPr>
          <w:rFonts w:hint="eastAsia" w:ascii="仿宋_GB2312" w:hAnsi="仿宋_GB2312" w:eastAsia="仿宋_GB2312" w:cs="仿宋_GB2312"/>
          <w:iCs/>
          <w:sz w:val="24"/>
          <w:szCs w:val="24"/>
          <w:u w:val="single"/>
        </w:rPr>
        <w:t>横琴粤澳深度合作区城市规划和建设局建设工程桩基施工过程质量数据采集分析第三方技术支撑服务项目</w:t>
      </w:r>
      <w:r>
        <w:rPr>
          <w:rFonts w:hint="eastAsia" w:ascii="仿宋_GB2312" w:hAnsi="仿宋_GB2312" w:eastAsia="仿宋_GB2312" w:cs="仿宋_GB2312"/>
          <w:iCs/>
          <w:sz w:val="24"/>
          <w:szCs w:val="24"/>
        </w:rPr>
        <w:t>（项目编号：</w:t>
      </w:r>
      <w:r>
        <w:rPr>
          <w:rFonts w:hint="eastAsia" w:ascii="仿宋_GB2312" w:hAnsi="仿宋_GB2312" w:eastAsia="仿宋_GB2312" w:cs="仿宋_GB2312"/>
          <w:iCs/>
          <w:sz w:val="24"/>
          <w:szCs w:val="24"/>
          <w:u w:val="single"/>
        </w:rPr>
        <w:t>HXD250307009</w:t>
      </w:r>
      <w:r>
        <w:rPr>
          <w:rFonts w:hint="eastAsia" w:ascii="仿宋_GB2312" w:hAnsi="仿宋_GB2312" w:eastAsia="仿宋_GB2312" w:cs="仿宋_GB2312"/>
          <w:iCs/>
          <w:sz w:val="24"/>
          <w:szCs w:val="24"/>
        </w:rPr>
        <w:t>）进行竞争性磋商采购，欢迎符合资格条件的供应商参加。</w:t>
      </w:r>
    </w:p>
    <w:p>
      <w:pPr>
        <w:pStyle w:val="2"/>
        <w:snapToGrid w:val="0"/>
        <w:spacing w:before="60" w:after="0" w:line="360" w:lineRule="auto"/>
        <w:ind w:left="0" w:leftChars="0"/>
        <w:rPr>
          <w:rFonts w:hint="eastAsia" w:ascii="仿宋_GB2312" w:hAnsi="仿宋_GB2312" w:eastAsia="仿宋_GB2312" w:cs="仿宋_GB2312"/>
          <w:b/>
          <w:iCs/>
          <w:sz w:val="24"/>
          <w:szCs w:val="24"/>
        </w:rPr>
      </w:pPr>
      <w:r>
        <w:rPr>
          <w:rFonts w:hint="eastAsia" w:ascii="仿宋_GB2312" w:hAnsi="仿宋_GB2312" w:eastAsia="仿宋_GB2312" w:cs="仿宋_GB2312"/>
          <w:b/>
          <w:iCs/>
          <w:sz w:val="24"/>
          <w:szCs w:val="24"/>
        </w:rPr>
        <w:t>一、基本情况</w:t>
      </w:r>
    </w:p>
    <w:p>
      <w:pPr>
        <w:pStyle w:val="20"/>
        <w:spacing w:before="120" w:after="120" w:line="300" w:lineRule="auto"/>
        <w:ind w:firstLine="560"/>
        <w:rPr>
          <w:rFonts w:hint="eastAsia" w:ascii="仿宋_GB2312" w:hAnsi="仿宋_GB2312" w:eastAsia="仿宋_GB2312" w:cs="仿宋_GB2312"/>
          <w:iCs/>
        </w:rPr>
      </w:pPr>
      <w:r>
        <w:rPr>
          <w:rFonts w:hint="eastAsia" w:ascii="仿宋_GB2312" w:hAnsi="仿宋_GB2312" w:eastAsia="仿宋_GB2312" w:cs="仿宋_GB2312"/>
          <w:iCs/>
        </w:rPr>
        <w:t>项目编号：HXD250307009</w:t>
      </w:r>
    </w:p>
    <w:p>
      <w:pPr>
        <w:pStyle w:val="20"/>
        <w:spacing w:before="120" w:after="120" w:line="300" w:lineRule="auto"/>
        <w:ind w:firstLine="560"/>
        <w:rPr>
          <w:rFonts w:hint="eastAsia" w:ascii="仿宋_GB2312" w:hAnsi="仿宋_GB2312" w:eastAsia="仿宋_GB2312" w:cs="仿宋_GB2312"/>
          <w:iCs/>
        </w:rPr>
      </w:pPr>
      <w:r>
        <w:rPr>
          <w:rFonts w:hint="eastAsia" w:ascii="仿宋_GB2312" w:hAnsi="仿宋_GB2312" w:eastAsia="仿宋_GB2312" w:cs="仿宋_GB2312"/>
          <w:iCs/>
        </w:rPr>
        <w:t>项目名称：横琴粤澳深度合作区城市规划和建设局建设工程桩基施工过程质量数据采集分析第三方技术支撑服务项目</w:t>
      </w:r>
    </w:p>
    <w:p>
      <w:pPr>
        <w:pStyle w:val="20"/>
        <w:spacing w:before="120" w:after="120" w:line="300" w:lineRule="auto"/>
        <w:ind w:firstLine="560"/>
        <w:rPr>
          <w:rFonts w:hint="eastAsia" w:ascii="仿宋_GB2312" w:hAnsi="仿宋_GB2312" w:eastAsia="仿宋_GB2312" w:cs="仿宋_GB2312"/>
          <w:iCs/>
        </w:rPr>
      </w:pPr>
      <w:r>
        <w:rPr>
          <w:rFonts w:hint="eastAsia" w:ascii="仿宋_GB2312" w:hAnsi="仿宋_GB2312" w:eastAsia="仿宋_GB2312" w:cs="仿宋_GB2312"/>
          <w:iCs/>
        </w:rPr>
        <w:t xml:space="preserve">采购方式：竞争性磋商 </w:t>
      </w:r>
    </w:p>
    <w:p>
      <w:pPr>
        <w:spacing w:before="31" w:beforeLines="10" w:after="31" w:afterLines="10" w:line="360" w:lineRule="auto"/>
        <w:ind w:firstLine="480" w:firstLineChars="200"/>
        <w:rPr>
          <w:rFonts w:hint="eastAsia" w:ascii="仿宋_GB2312" w:hAnsi="仿宋_GB2312" w:eastAsia="仿宋_GB2312" w:cs="仿宋_GB2312"/>
          <w:iCs/>
          <w:sz w:val="24"/>
          <w:szCs w:val="24"/>
        </w:rPr>
      </w:pPr>
      <w:r>
        <w:rPr>
          <w:rFonts w:hint="eastAsia" w:ascii="仿宋_GB2312" w:hAnsi="仿宋_GB2312" w:eastAsia="仿宋_GB2312" w:cs="仿宋_GB2312"/>
          <w:iCs/>
          <w:sz w:val="24"/>
          <w:szCs w:val="24"/>
        </w:rPr>
        <w:t>预算金额：人民币伍拾万元整（¥500,000.00）。</w:t>
      </w:r>
    </w:p>
    <w:p>
      <w:pPr>
        <w:pStyle w:val="23"/>
        <w:spacing w:line="360" w:lineRule="auto"/>
        <w:ind w:firstLine="480" w:firstLineChars="200"/>
        <w:rPr>
          <w:rFonts w:hint="eastAsia" w:ascii="仿宋_GB2312" w:hAnsi="仿宋_GB2312" w:eastAsia="仿宋_GB2312" w:cs="仿宋_GB2312"/>
          <w:iCs/>
          <w:sz w:val="24"/>
          <w:szCs w:val="24"/>
        </w:rPr>
      </w:pPr>
      <w:r>
        <w:rPr>
          <w:rFonts w:hint="eastAsia" w:ascii="仿宋_GB2312" w:hAnsi="仿宋_GB2312" w:eastAsia="仿宋_GB2312" w:cs="仿宋_GB2312"/>
          <w:iCs/>
          <w:sz w:val="24"/>
          <w:szCs w:val="24"/>
        </w:rPr>
        <w:t>最高投标限价：人民币伍拾万元整（¥500,000.00），报价高于最高上限的，将作为无效响应文件处理。</w:t>
      </w:r>
    </w:p>
    <w:p>
      <w:pPr>
        <w:pStyle w:val="20"/>
        <w:spacing w:before="120" w:after="120" w:line="300" w:lineRule="auto"/>
        <w:ind w:firstLine="480" w:firstLineChars="200"/>
        <w:rPr>
          <w:rFonts w:hint="eastAsia" w:ascii="仿宋_GB2312" w:hAnsi="仿宋_GB2312" w:eastAsia="仿宋_GB2312" w:cs="仿宋_GB2312"/>
          <w:iCs/>
        </w:rPr>
      </w:pPr>
      <w:r>
        <w:rPr>
          <w:rFonts w:hint="eastAsia" w:ascii="仿宋_GB2312" w:hAnsi="仿宋_GB2312" w:eastAsia="仿宋_GB2312" w:cs="仿宋_GB2312"/>
          <w:iCs/>
        </w:rPr>
        <w:t>服务期限：自合同签订之日起1年内完成。</w:t>
      </w:r>
    </w:p>
    <w:p>
      <w:pPr>
        <w:pStyle w:val="20"/>
        <w:spacing w:before="120" w:after="120" w:line="300" w:lineRule="auto"/>
        <w:ind w:firstLine="480" w:firstLineChars="200"/>
        <w:rPr>
          <w:rFonts w:hint="eastAsia" w:ascii="仿宋_GB2312" w:hAnsi="仿宋_GB2312" w:eastAsia="仿宋_GB2312" w:cs="仿宋_GB2312"/>
          <w:iCs/>
        </w:rPr>
      </w:pPr>
      <w:r>
        <w:rPr>
          <w:rFonts w:hint="eastAsia" w:ascii="仿宋_GB2312" w:hAnsi="仿宋_GB2312" w:eastAsia="仿宋_GB2312" w:cs="仿宋_GB2312"/>
          <w:iCs/>
        </w:rPr>
        <w:t>采购需求：</w:t>
      </w:r>
    </w:p>
    <w:p>
      <w:pPr>
        <w:pStyle w:val="20"/>
        <w:spacing w:before="120" w:after="120" w:line="300" w:lineRule="auto"/>
        <w:ind w:firstLine="560"/>
        <w:rPr>
          <w:rFonts w:hint="eastAsia" w:ascii="仿宋_GB2312" w:hAnsi="仿宋_GB2312" w:eastAsia="仿宋_GB2312" w:cs="仿宋_GB2312"/>
          <w:iCs/>
        </w:rPr>
      </w:pPr>
      <w:r>
        <w:rPr>
          <w:rFonts w:hint="eastAsia" w:ascii="仿宋_GB2312" w:hAnsi="仿宋_GB2312" w:eastAsia="仿宋_GB2312" w:cs="仿宋_GB2312"/>
          <w:iCs/>
        </w:rPr>
        <w:t>1、标的名称：横琴粤澳深度合作区城市规划和建设局建设工程桩基施工过程质量数据采集分析第三方技术支撑服务项目</w:t>
      </w:r>
    </w:p>
    <w:p>
      <w:pPr>
        <w:pStyle w:val="20"/>
        <w:spacing w:before="120" w:after="120" w:line="300" w:lineRule="auto"/>
        <w:ind w:firstLine="480" w:firstLineChars="200"/>
        <w:rPr>
          <w:rFonts w:hint="eastAsia" w:ascii="仿宋_GB2312" w:hAnsi="仿宋_GB2312" w:eastAsia="仿宋_GB2312" w:cs="仿宋_GB2312"/>
          <w:iCs/>
        </w:rPr>
      </w:pPr>
      <w:r>
        <w:rPr>
          <w:rFonts w:hint="eastAsia" w:ascii="仿宋_GB2312" w:hAnsi="仿宋_GB2312" w:eastAsia="仿宋_GB2312" w:cs="仿宋_GB2312"/>
          <w:iCs/>
        </w:rPr>
        <w:t>2、标的数量：一项</w:t>
      </w:r>
    </w:p>
    <w:p>
      <w:pPr>
        <w:pStyle w:val="20"/>
        <w:spacing w:before="120" w:after="120" w:line="300" w:lineRule="auto"/>
        <w:ind w:firstLine="480" w:firstLineChars="200"/>
        <w:rPr>
          <w:rFonts w:hint="eastAsia" w:ascii="仿宋_GB2312" w:hAnsi="仿宋_GB2312" w:eastAsia="仿宋_GB2312" w:cs="仿宋_GB2312"/>
          <w:iCs/>
        </w:rPr>
      </w:pPr>
      <w:r>
        <w:rPr>
          <w:rFonts w:hint="eastAsia" w:ascii="仿宋_GB2312" w:hAnsi="仿宋_GB2312" w:eastAsia="仿宋_GB2312" w:cs="仿宋_GB2312"/>
          <w:iCs/>
        </w:rPr>
        <w:t xml:space="preserve">3、简要技术需求或服务要求：具体采购需求详见第五章用户需求书。 </w:t>
      </w:r>
    </w:p>
    <w:p>
      <w:pPr>
        <w:pStyle w:val="2"/>
        <w:snapToGrid w:val="0"/>
        <w:spacing w:before="60" w:after="0" w:line="360" w:lineRule="auto"/>
        <w:ind w:left="0" w:leftChars="0"/>
        <w:rPr>
          <w:rFonts w:hint="eastAsia" w:ascii="仿宋_GB2312" w:hAnsi="仿宋_GB2312" w:eastAsia="仿宋_GB2312" w:cs="仿宋_GB2312"/>
          <w:b/>
          <w:iCs/>
          <w:sz w:val="24"/>
          <w:szCs w:val="24"/>
        </w:rPr>
      </w:pPr>
      <w:r>
        <w:rPr>
          <w:rFonts w:hint="eastAsia" w:ascii="仿宋_GB2312" w:hAnsi="仿宋_GB2312" w:eastAsia="仿宋_GB2312" w:cs="仿宋_GB2312"/>
          <w:b/>
          <w:iCs/>
          <w:sz w:val="24"/>
          <w:szCs w:val="24"/>
        </w:rPr>
        <w:t>二、供应商资格要求</w:t>
      </w:r>
    </w:p>
    <w:p>
      <w:pPr>
        <w:spacing w:line="360" w:lineRule="auto"/>
        <w:ind w:firstLine="480" w:firstLineChars="200"/>
        <w:rPr>
          <w:rFonts w:hint="eastAsia" w:ascii="仿宋_GB2312" w:hAnsi="仿宋_GB2312" w:eastAsia="仿宋_GB2312" w:cs="仿宋_GB2312"/>
          <w:iCs/>
          <w:sz w:val="24"/>
          <w:szCs w:val="24"/>
        </w:rPr>
      </w:pPr>
      <w:r>
        <w:rPr>
          <w:rFonts w:hint="eastAsia" w:ascii="仿宋_GB2312" w:hAnsi="仿宋_GB2312" w:eastAsia="仿宋_GB2312" w:cs="仿宋_GB2312"/>
          <w:iCs/>
          <w:sz w:val="24"/>
          <w:szCs w:val="24"/>
        </w:rPr>
        <w:t>1、满足《中华人民共和国政府采购法》第二十二条规定。</w:t>
      </w:r>
    </w:p>
    <w:p>
      <w:pPr>
        <w:spacing w:line="360" w:lineRule="auto"/>
        <w:ind w:firstLine="480" w:firstLineChars="200"/>
        <w:rPr>
          <w:rFonts w:hint="eastAsia" w:ascii="仿宋_GB2312" w:hAnsi="仿宋_GB2312" w:eastAsia="仿宋_GB2312" w:cs="仿宋_GB2312"/>
          <w:iCs/>
          <w:sz w:val="24"/>
          <w:szCs w:val="24"/>
        </w:rPr>
      </w:pPr>
      <w:r>
        <w:rPr>
          <w:rFonts w:hint="eastAsia" w:ascii="仿宋_GB2312" w:hAnsi="仿宋_GB2312" w:eastAsia="仿宋_GB2312" w:cs="仿宋_GB2312"/>
          <w:iCs/>
          <w:sz w:val="24"/>
          <w:szCs w:val="24"/>
        </w:rPr>
        <w:t>2、落实政府采购政策需满足的资格要求：无。</w:t>
      </w:r>
    </w:p>
    <w:p>
      <w:pPr>
        <w:spacing w:line="360" w:lineRule="auto"/>
        <w:ind w:firstLine="480" w:firstLineChars="200"/>
        <w:rPr>
          <w:rFonts w:hint="eastAsia" w:ascii="仿宋_GB2312" w:hAnsi="仿宋_GB2312" w:eastAsia="仿宋_GB2312" w:cs="仿宋_GB2312"/>
          <w:iCs/>
          <w:sz w:val="24"/>
          <w:szCs w:val="24"/>
        </w:rPr>
      </w:pPr>
      <w:r>
        <w:rPr>
          <w:rFonts w:hint="eastAsia" w:ascii="仿宋_GB2312" w:hAnsi="仿宋_GB2312" w:eastAsia="仿宋_GB2312" w:cs="仿宋_GB2312"/>
          <w:iCs/>
          <w:sz w:val="24"/>
          <w:szCs w:val="24"/>
        </w:rPr>
        <w:t>3、本项目的特定资格要求：</w:t>
      </w:r>
    </w:p>
    <w:p>
      <w:pPr>
        <w:pStyle w:val="20"/>
        <w:spacing w:before="0" w:beforeAutospacing="0" w:after="0" w:afterAutospacing="0" w:line="360" w:lineRule="auto"/>
        <w:ind w:firstLine="480" w:firstLineChars="200"/>
        <w:rPr>
          <w:rFonts w:hint="eastAsia" w:ascii="仿宋_GB2312" w:hAnsi="仿宋_GB2312" w:eastAsia="仿宋_GB2312" w:cs="仿宋_GB2312"/>
          <w:iCs/>
        </w:rPr>
      </w:pPr>
      <w:r>
        <w:rPr>
          <w:rFonts w:hint="eastAsia" w:ascii="仿宋_GB2312" w:hAnsi="仿宋_GB2312" w:eastAsia="仿宋_GB2312" w:cs="仿宋_GB2312"/>
          <w:iCs/>
        </w:rPr>
        <w:t>响应人未被列入“信用中国”网站(www.creditchina.gov.cn)以下任意记录名单之一：①失信被执行人；②税收违法黑名单；③政府采购严重违法失信行为。同时，不处于中国政府采购网(www.ccgp.gov.cn)“政府采购严重违法失信行为信息记录”中的禁止参加政府采购活动期间。说明：①由负责资格审查人员于资格审查时在“信用中国”网站（www.creditchina.gov.cn）及中国政府采购网(www.ccgp.gov.cn)查询结果为准。上述网站查询页面不能显示响应人相关查询信息的,视为响应人满足上述要求。响应人分支机构不满足信用信息相关要求的,也视为响应人不满足要求。②采购代理机构同时对信用信息查询记录和证据截图或下载存档。</w:t>
      </w:r>
    </w:p>
    <w:p>
      <w:pPr>
        <w:pStyle w:val="20"/>
        <w:spacing w:before="120" w:after="120" w:line="360" w:lineRule="auto"/>
        <w:ind w:firstLine="480" w:firstLineChars="200"/>
        <w:rPr>
          <w:rFonts w:hint="eastAsia" w:ascii="仿宋_GB2312" w:hAnsi="仿宋_GB2312" w:eastAsia="仿宋_GB2312" w:cs="仿宋_GB2312"/>
          <w:iCs/>
        </w:rPr>
      </w:pPr>
      <w:r>
        <w:rPr>
          <w:rFonts w:hint="eastAsia" w:ascii="仿宋_GB2312" w:hAnsi="仿宋_GB2312" w:eastAsia="仿宋_GB2312" w:cs="仿宋_GB2312"/>
          <w:iCs/>
        </w:rPr>
        <w:t>备注：本项目不接受联合体响应。</w:t>
      </w:r>
    </w:p>
    <w:p>
      <w:pPr>
        <w:pStyle w:val="2"/>
        <w:snapToGrid w:val="0"/>
        <w:spacing w:before="60" w:after="0" w:line="360" w:lineRule="auto"/>
        <w:ind w:left="0" w:leftChars="0"/>
        <w:rPr>
          <w:rFonts w:hint="eastAsia" w:ascii="仿宋_GB2312" w:hAnsi="仿宋_GB2312" w:eastAsia="仿宋_GB2312" w:cs="仿宋_GB2312"/>
          <w:b/>
          <w:iCs/>
          <w:sz w:val="24"/>
          <w:szCs w:val="24"/>
        </w:rPr>
      </w:pPr>
      <w:r>
        <w:rPr>
          <w:rFonts w:hint="eastAsia" w:ascii="仿宋_GB2312" w:hAnsi="仿宋_GB2312" w:eastAsia="仿宋_GB2312" w:cs="仿宋_GB2312"/>
          <w:b/>
          <w:iCs/>
          <w:sz w:val="24"/>
          <w:szCs w:val="24"/>
        </w:rPr>
        <w:t>三、磋商文件公告期限、获取磋商文件时间、地点、方式</w:t>
      </w:r>
    </w:p>
    <w:p>
      <w:pPr>
        <w:pStyle w:val="2"/>
        <w:snapToGrid w:val="0"/>
        <w:spacing w:before="60" w:after="0" w:line="360" w:lineRule="auto"/>
        <w:ind w:left="0" w:leftChars="0" w:firstLine="480" w:firstLineChars="200"/>
        <w:rPr>
          <w:rFonts w:hint="eastAsia" w:ascii="仿宋_GB2312" w:hAnsi="仿宋_GB2312" w:eastAsia="仿宋_GB2312" w:cs="仿宋_GB2312"/>
          <w:iCs/>
          <w:sz w:val="24"/>
          <w:szCs w:val="24"/>
        </w:rPr>
      </w:pPr>
      <w:r>
        <w:rPr>
          <w:rFonts w:hint="eastAsia" w:ascii="仿宋_GB2312" w:hAnsi="仿宋_GB2312" w:eastAsia="仿宋_GB2312" w:cs="仿宋_GB2312"/>
          <w:iCs/>
          <w:sz w:val="24"/>
          <w:szCs w:val="24"/>
        </w:rPr>
        <w:t>1、本公告期限（5个工作日）：自2025 年 8 月</w:t>
      </w:r>
      <w:r>
        <w:rPr>
          <w:rFonts w:hint="eastAsia" w:ascii="仿宋_GB2312" w:hAnsi="仿宋_GB2312" w:eastAsia="仿宋_GB2312" w:cs="仿宋_GB2312"/>
          <w:iCs/>
          <w:sz w:val="24"/>
          <w:szCs w:val="24"/>
          <w:lang w:val="en-US" w:eastAsia="zh-CN"/>
        </w:rPr>
        <w:t>15</w:t>
      </w:r>
      <w:r>
        <w:rPr>
          <w:rFonts w:hint="eastAsia" w:ascii="仿宋_GB2312" w:hAnsi="仿宋_GB2312" w:eastAsia="仿宋_GB2312" w:cs="仿宋_GB2312"/>
          <w:iCs/>
          <w:sz w:val="24"/>
          <w:szCs w:val="24"/>
        </w:rPr>
        <w:t>日至2025 年 8 月</w:t>
      </w:r>
      <w:r>
        <w:rPr>
          <w:rFonts w:hint="eastAsia" w:ascii="仿宋_GB2312" w:hAnsi="仿宋_GB2312" w:eastAsia="仿宋_GB2312" w:cs="仿宋_GB2312"/>
          <w:iCs/>
          <w:sz w:val="24"/>
          <w:szCs w:val="24"/>
          <w:lang w:val="en-US" w:eastAsia="zh-CN"/>
        </w:rPr>
        <w:t>21</w:t>
      </w:r>
      <w:r>
        <w:rPr>
          <w:rFonts w:hint="eastAsia" w:ascii="仿宋_GB2312" w:hAnsi="仿宋_GB2312" w:eastAsia="仿宋_GB2312" w:cs="仿宋_GB2312"/>
          <w:iCs/>
          <w:sz w:val="24"/>
          <w:szCs w:val="24"/>
        </w:rPr>
        <w:t>日止。</w:t>
      </w:r>
    </w:p>
    <w:p>
      <w:pPr>
        <w:pStyle w:val="2"/>
        <w:snapToGrid w:val="0"/>
        <w:spacing w:before="60" w:after="0" w:line="360" w:lineRule="auto"/>
        <w:ind w:left="0" w:leftChars="0" w:firstLine="470" w:firstLineChars="196"/>
        <w:rPr>
          <w:rFonts w:hint="eastAsia" w:ascii="仿宋_GB2312" w:hAnsi="仿宋_GB2312" w:eastAsia="仿宋_GB2312" w:cs="仿宋_GB2312"/>
          <w:iCs/>
          <w:sz w:val="24"/>
          <w:szCs w:val="24"/>
        </w:rPr>
      </w:pPr>
      <w:r>
        <w:rPr>
          <w:rFonts w:hint="eastAsia" w:ascii="仿宋_GB2312" w:hAnsi="仿宋_GB2312" w:eastAsia="仿宋_GB2312" w:cs="仿宋_GB2312"/>
          <w:iCs/>
          <w:sz w:val="24"/>
          <w:szCs w:val="24"/>
        </w:rPr>
        <w:t>2、获取磋商文件时间：2025 年 8 月</w:t>
      </w:r>
      <w:r>
        <w:rPr>
          <w:rFonts w:hint="eastAsia" w:ascii="仿宋_GB2312" w:hAnsi="仿宋_GB2312" w:eastAsia="仿宋_GB2312" w:cs="仿宋_GB2312"/>
          <w:iCs/>
          <w:sz w:val="24"/>
          <w:szCs w:val="24"/>
          <w:lang w:val="en-US" w:eastAsia="zh-CN"/>
        </w:rPr>
        <w:t>15</w:t>
      </w:r>
      <w:r>
        <w:rPr>
          <w:rFonts w:hint="eastAsia" w:ascii="仿宋_GB2312" w:hAnsi="仿宋_GB2312" w:eastAsia="仿宋_GB2312" w:cs="仿宋_GB2312"/>
          <w:iCs/>
          <w:sz w:val="24"/>
          <w:szCs w:val="24"/>
        </w:rPr>
        <w:t>日至2025 年 8 月</w:t>
      </w:r>
      <w:r>
        <w:rPr>
          <w:rFonts w:hint="eastAsia" w:ascii="仿宋_GB2312" w:hAnsi="仿宋_GB2312" w:eastAsia="仿宋_GB2312" w:cs="仿宋_GB2312"/>
          <w:iCs/>
          <w:sz w:val="24"/>
          <w:szCs w:val="24"/>
          <w:lang w:val="en-US" w:eastAsia="zh-CN"/>
        </w:rPr>
        <w:t>21</w:t>
      </w:r>
      <w:r>
        <w:rPr>
          <w:rFonts w:hint="eastAsia" w:ascii="仿宋_GB2312" w:hAnsi="仿宋_GB2312" w:eastAsia="仿宋_GB2312" w:cs="仿宋_GB2312"/>
          <w:iCs/>
          <w:sz w:val="24"/>
          <w:szCs w:val="24"/>
        </w:rPr>
        <w:t>日9：00-12：00,14:00-18：00（工作时间）。</w:t>
      </w:r>
    </w:p>
    <w:p>
      <w:pPr>
        <w:pStyle w:val="2"/>
        <w:snapToGrid w:val="0"/>
        <w:spacing w:before="60" w:after="0" w:line="360" w:lineRule="auto"/>
        <w:ind w:left="0" w:leftChars="0" w:firstLine="480" w:firstLineChars="200"/>
        <w:rPr>
          <w:rFonts w:hint="eastAsia" w:ascii="仿宋_GB2312" w:hAnsi="仿宋_GB2312" w:eastAsia="仿宋_GB2312" w:cs="仿宋_GB2312"/>
          <w:iCs/>
          <w:sz w:val="24"/>
          <w:szCs w:val="24"/>
        </w:rPr>
      </w:pPr>
      <w:r>
        <w:rPr>
          <w:rFonts w:hint="eastAsia" w:ascii="仿宋_GB2312" w:hAnsi="仿宋_GB2312" w:eastAsia="仿宋_GB2312" w:cs="仿宋_GB2312"/>
          <w:iCs/>
          <w:sz w:val="24"/>
          <w:szCs w:val="24"/>
        </w:rPr>
        <w:t>3、获取磋商文件地点：珠海市香洲区梅华东路284号9栋珠海地质大厦6楼</w:t>
      </w:r>
    </w:p>
    <w:p>
      <w:pPr>
        <w:pStyle w:val="20"/>
        <w:numPr>
          <w:ilvl w:val="255"/>
          <w:numId w:val="0"/>
        </w:numPr>
        <w:spacing w:before="120" w:after="120" w:line="300" w:lineRule="auto"/>
        <w:ind w:firstLine="480" w:firstLineChars="200"/>
        <w:rPr>
          <w:rFonts w:hint="eastAsia" w:ascii="仿宋_GB2312" w:hAnsi="仿宋_GB2312" w:eastAsia="仿宋_GB2312" w:cs="仿宋_GB2312"/>
          <w:iCs/>
        </w:rPr>
      </w:pPr>
      <w:r>
        <w:rPr>
          <w:rFonts w:hint="eastAsia" w:ascii="仿宋_GB2312" w:hAnsi="仿宋_GB2312" w:eastAsia="仿宋_GB2312" w:cs="仿宋_GB2312"/>
          <w:iCs/>
        </w:rPr>
        <w:t>4、获取磋商文件方式：供应商从网上自行下载并填写《登记表》扫描发至采购代理机构邮箱(bap@hxdgcgw.com），并致电：0756-2297373-813、13326682365。收到上述资料后获取磋商文件。          </w:t>
      </w:r>
    </w:p>
    <w:p>
      <w:pPr>
        <w:pStyle w:val="2"/>
        <w:snapToGrid w:val="0"/>
        <w:spacing w:before="60" w:after="0" w:line="360" w:lineRule="auto"/>
        <w:ind w:left="0" w:leftChars="0"/>
        <w:rPr>
          <w:rFonts w:hint="eastAsia" w:ascii="仿宋_GB2312" w:hAnsi="仿宋_GB2312" w:eastAsia="仿宋_GB2312" w:cs="仿宋_GB2312"/>
          <w:b/>
          <w:iCs/>
          <w:sz w:val="24"/>
          <w:szCs w:val="24"/>
        </w:rPr>
      </w:pPr>
      <w:r>
        <w:rPr>
          <w:rFonts w:hint="eastAsia" w:ascii="仿宋_GB2312" w:hAnsi="仿宋_GB2312" w:eastAsia="仿宋_GB2312" w:cs="仿宋_GB2312"/>
          <w:b/>
          <w:iCs/>
          <w:sz w:val="24"/>
          <w:szCs w:val="24"/>
        </w:rPr>
        <w:t>四、递交响应文件截止时间、地点及开标时间、地点</w:t>
      </w:r>
    </w:p>
    <w:p>
      <w:pPr>
        <w:pStyle w:val="2"/>
        <w:snapToGrid w:val="0"/>
        <w:spacing w:before="60" w:after="0" w:line="360" w:lineRule="auto"/>
        <w:ind w:left="0" w:leftChars="0" w:firstLine="480" w:firstLineChars="200"/>
        <w:rPr>
          <w:rFonts w:hint="eastAsia" w:ascii="仿宋_GB2312" w:hAnsi="仿宋_GB2312" w:eastAsia="仿宋_GB2312" w:cs="仿宋_GB2312"/>
          <w:iCs/>
          <w:sz w:val="24"/>
          <w:szCs w:val="24"/>
        </w:rPr>
      </w:pPr>
      <w:r>
        <w:rPr>
          <w:rFonts w:hint="eastAsia" w:ascii="仿宋_GB2312" w:hAnsi="仿宋_GB2312" w:eastAsia="仿宋_GB2312" w:cs="仿宋_GB2312"/>
          <w:iCs/>
          <w:sz w:val="24"/>
          <w:szCs w:val="24"/>
        </w:rPr>
        <w:t>1、递交响应文件截止时间：</w:t>
      </w:r>
      <w:r>
        <w:rPr>
          <w:rFonts w:hint="eastAsia" w:ascii="仿宋_GB2312" w:hAnsi="仿宋_GB2312" w:eastAsia="仿宋_GB2312" w:cs="仿宋_GB2312"/>
          <w:sz w:val="24"/>
        </w:rPr>
        <w:t>2025 年</w:t>
      </w:r>
      <w:r>
        <w:rPr>
          <w:rFonts w:hint="eastAsia" w:ascii="仿宋_GB2312" w:hAnsi="仿宋_GB2312" w:eastAsia="仿宋_GB2312" w:cs="仿宋_GB2312"/>
          <w:sz w:val="24"/>
          <w:lang w:val="en-US" w:eastAsia="zh-CN"/>
        </w:rPr>
        <w:t>8</w:t>
      </w:r>
      <w:r>
        <w:rPr>
          <w:rFonts w:hint="eastAsia" w:ascii="仿宋_GB2312" w:hAnsi="仿宋_GB2312" w:eastAsia="仿宋_GB2312" w:cs="仿宋_GB2312"/>
          <w:sz w:val="24"/>
        </w:rPr>
        <w:t>月</w:t>
      </w:r>
      <w:r>
        <w:rPr>
          <w:rFonts w:hint="eastAsia" w:ascii="仿宋_GB2312" w:hAnsi="仿宋_GB2312" w:eastAsia="仿宋_GB2312" w:cs="仿宋_GB2312"/>
          <w:sz w:val="24"/>
          <w:lang w:val="en-US" w:eastAsia="zh-CN"/>
        </w:rPr>
        <w:t>25</w:t>
      </w:r>
      <w:r>
        <w:rPr>
          <w:rFonts w:hint="eastAsia" w:ascii="仿宋_GB2312" w:hAnsi="仿宋_GB2312" w:eastAsia="仿宋_GB2312" w:cs="仿宋_GB2312"/>
          <w:sz w:val="24"/>
        </w:rPr>
        <w:t>日</w:t>
      </w:r>
      <w:r>
        <w:rPr>
          <w:rFonts w:hint="eastAsia" w:ascii="仿宋_GB2312" w:hAnsi="仿宋_GB2312" w:eastAsia="仿宋_GB2312" w:cs="仿宋_GB2312"/>
          <w:sz w:val="24"/>
          <w:lang w:val="en-US" w:eastAsia="zh-CN"/>
        </w:rPr>
        <w:t>15</w:t>
      </w:r>
      <w:r>
        <w:rPr>
          <w:rFonts w:hint="eastAsia" w:ascii="仿宋_GB2312" w:hAnsi="仿宋_GB2312" w:eastAsia="仿宋_GB2312" w:cs="仿宋_GB2312"/>
          <w:sz w:val="24"/>
        </w:rPr>
        <w:t xml:space="preserve"> 时</w:t>
      </w:r>
      <w:r>
        <w:rPr>
          <w:rFonts w:hint="eastAsia" w:ascii="仿宋_GB2312" w:hAnsi="仿宋_GB2312" w:eastAsia="仿宋_GB2312" w:cs="仿宋_GB2312"/>
          <w:sz w:val="24"/>
          <w:lang w:val="en-US" w:eastAsia="zh-CN"/>
        </w:rPr>
        <w:t>00</w:t>
      </w:r>
      <w:r>
        <w:rPr>
          <w:rFonts w:hint="eastAsia" w:ascii="仿宋_GB2312" w:hAnsi="仿宋_GB2312" w:eastAsia="仿宋_GB2312" w:cs="仿宋_GB2312"/>
          <w:sz w:val="24"/>
        </w:rPr>
        <w:t xml:space="preserve"> 分</w:t>
      </w:r>
      <w:r>
        <w:rPr>
          <w:rFonts w:hint="eastAsia" w:ascii="仿宋_GB2312" w:hAnsi="仿宋_GB2312" w:eastAsia="仿宋_GB2312" w:cs="仿宋_GB2312"/>
          <w:iCs/>
          <w:sz w:val="24"/>
          <w:szCs w:val="24"/>
        </w:rPr>
        <w:t>（北京时间）。</w:t>
      </w:r>
      <w:r>
        <w:rPr>
          <w:rFonts w:hint="eastAsia" w:ascii="仿宋_GB2312" w:hAnsi="仿宋_GB2312" w:eastAsia="仿宋_GB2312" w:cs="仿宋_GB2312"/>
          <w:sz w:val="24"/>
        </w:rPr>
        <w:t>于截止时间前30分钟开始接收</w:t>
      </w:r>
      <w:r>
        <w:rPr>
          <w:rFonts w:hint="eastAsia" w:ascii="仿宋_GB2312" w:hAnsi="仿宋_GB2312" w:eastAsia="仿宋_GB2312" w:cs="仿宋_GB2312"/>
          <w:iCs/>
          <w:sz w:val="24"/>
          <w:szCs w:val="24"/>
        </w:rPr>
        <w:t>响应文件</w:t>
      </w:r>
      <w:r>
        <w:rPr>
          <w:rFonts w:hint="eastAsia" w:ascii="仿宋_GB2312" w:hAnsi="仿宋_GB2312" w:eastAsia="仿宋_GB2312" w:cs="仿宋_GB2312"/>
          <w:sz w:val="24"/>
        </w:rPr>
        <w:t>，提前、逾期递交或不符合规定的</w:t>
      </w:r>
      <w:r>
        <w:rPr>
          <w:rFonts w:hint="eastAsia" w:ascii="仿宋_GB2312" w:hAnsi="仿宋_GB2312" w:eastAsia="仿宋_GB2312" w:cs="仿宋_GB2312"/>
          <w:iCs/>
          <w:sz w:val="24"/>
          <w:szCs w:val="24"/>
        </w:rPr>
        <w:t>响应文件</w:t>
      </w:r>
      <w:r>
        <w:rPr>
          <w:rFonts w:hint="eastAsia" w:ascii="仿宋_GB2312" w:hAnsi="仿宋_GB2312" w:eastAsia="仿宋_GB2312" w:cs="仿宋_GB2312"/>
          <w:sz w:val="24"/>
        </w:rPr>
        <w:t>恕不接受。</w:t>
      </w:r>
    </w:p>
    <w:p>
      <w:pPr>
        <w:snapToGrid w:val="0"/>
        <w:spacing w:before="60" w:line="360" w:lineRule="auto"/>
        <w:ind w:firstLine="480" w:firstLineChars="200"/>
        <w:rPr>
          <w:rFonts w:hint="eastAsia" w:ascii="仿宋_GB2312" w:hAnsi="仿宋_GB2312" w:eastAsia="仿宋_GB2312" w:cs="仿宋_GB2312"/>
        </w:rPr>
      </w:pPr>
      <w:r>
        <w:rPr>
          <w:rFonts w:hint="eastAsia" w:ascii="仿宋_GB2312" w:hAnsi="仿宋_GB2312" w:eastAsia="仿宋_GB2312" w:cs="仿宋_GB2312"/>
          <w:iCs/>
          <w:sz w:val="24"/>
          <w:szCs w:val="24"/>
        </w:rPr>
        <w:t>2、递交</w:t>
      </w:r>
      <w:r>
        <w:rPr>
          <w:rFonts w:hint="eastAsia" w:ascii="仿宋_GB2312" w:hAnsi="仿宋_GB2312" w:eastAsia="仿宋_GB2312" w:cs="仿宋_GB2312"/>
          <w:sz w:val="24"/>
        </w:rPr>
        <w:t>响应文件地点：</w:t>
      </w:r>
      <w:r>
        <w:rPr>
          <w:rFonts w:hint="eastAsia" w:ascii="仿宋_GB2312" w:hAnsi="仿宋_GB2312" w:eastAsia="仿宋_GB2312" w:cs="仿宋_GB2312"/>
          <w:iCs/>
          <w:sz w:val="24"/>
          <w:szCs w:val="24"/>
        </w:rPr>
        <w:t>珠海市香洲区梅华东路284号9栋珠海地质大厦6楼会议室</w:t>
      </w:r>
    </w:p>
    <w:p>
      <w:pPr>
        <w:snapToGrid w:val="0"/>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3、开标时间：2025 年</w:t>
      </w:r>
      <w:r>
        <w:rPr>
          <w:rFonts w:hint="eastAsia" w:ascii="仿宋_GB2312" w:hAnsi="仿宋_GB2312" w:eastAsia="仿宋_GB2312" w:cs="仿宋_GB2312"/>
          <w:sz w:val="24"/>
          <w:lang w:val="en-US" w:eastAsia="zh-CN"/>
        </w:rPr>
        <w:t>8</w:t>
      </w:r>
      <w:r>
        <w:rPr>
          <w:rFonts w:hint="eastAsia" w:ascii="仿宋_GB2312" w:hAnsi="仿宋_GB2312" w:eastAsia="仿宋_GB2312" w:cs="仿宋_GB2312"/>
          <w:sz w:val="24"/>
        </w:rPr>
        <w:t>月</w:t>
      </w:r>
      <w:r>
        <w:rPr>
          <w:rFonts w:hint="eastAsia" w:ascii="仿宋_GB2312" w:hAnsi="仿宋_GB2312" w:eastAsia="仿宋_GB2312" w:cs="仿宋_GB2312"/>
          <w:sz w:val="24"/>
          <w:lang w:val="en-US" w:eastAsia="zh-CN"/>
        </w:rPr>
        <w:t>25</w:t>
      </w:r>
      <w:r>
        <w:rPr>
          <w:rFonts w:hint="eastAsia" w:ascii="仿宋_GB2312" w:hAnsi="仿宋_GB2312" w:eastAsia="仿宋_GB2312" w:cs="仿宋_GB2312"/>
          <w:sz w:val="24"/>
        </w:rPr>
        <w:t>日</w:t>
      </w:r>
      <w:r>
        <w:rPr>
          <w:rFonts w:hint="eastAsia" w:ascii="仿宋_GB2312" w:hAnsi="仿宋_GB2312" w:eastAsia="仿宋_GB2312" w:cs="仿宋_GB2312"/>
          <w:sz w:val="24"/>
          <w:lang w:val="en-US" w:eastAsia="zh-CN"/>
        </w:rPr>
        <w:t>15</w:t>
      </w:r>
      <w:r>
        <w:rPr>
          <w:rFonts w:hint="eastAsia" w:ascii="仿宋_GB2312" w:hAnsi="仿宋_GB2312" w:eastAsia="仿宋_GB2312" w:cs="仿宋_GB2312"/>
          <w:sz w:val="24"/>
        </w:rPr>
        <w:t>时</w:t>
      </w:r>
      <w:r>
        <w:rPr>
          <w:rFonts w:hint="eastAsia" w:ascii="仿宋_GB2312" w:hAnsi="仿宋_GB2312" w:eastAsia="仿宋_GB2312" w:cs="仿宋_GB2312"/>
          <w:sz w:val="24"/>
          <w:lang w:val="en-US" w:eastAsia="zh-CN"/>
        </w:rPr>
        <w:t>00</w:t>
      </w:r>
      <w:r>
        <w:rPr>
          <w:rFonts w:hint="eastAsia" w:ascii="仿宋_GB2312" w:hAnsi="仿宋_GB2312" w:eastAsia="仿宋_GB2312" w:cs="仿宋_GB2312"/>
          <w:sz w:val="24"/>
        </w:rPr>
        <w:t>分。</w:t>
      </w:r>
    </w:p>
    <w:p>
      <w:pPr>
        <w:snapToGrid w:val="0"/>
        <w:spacing w:before="60"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4、开标地点：</w:t>
      </w:r>
      <w:r>
        <w:rPr>
          <w:rFonts w:hint="eastAsia" w:ascii="仿宋_GB2312" w:hAnsi="仿宋_GB2312" w:eastAsia="仿宋_GB2312" w:cs="仿宋_GB2312"/>
          <w:iCs/>
          <w:sz w:val="24"/>
          <w:szCs w:val="24"/>
        </w:rPr>
        <w:t>珠海市香洲区梅华东路284号9栋珠海地质大厦6楼会议室</w:t>
      </w:r>
    </w:p>
    <w:p>
      <w:pPr>
        <w:pStyle w:val="2"/>
        <w:snapToGrid w:val="0"/>
        <w:spacing w:before="60" w:line="360" w:lineRule="auto"/>
        <w:ind w:left="0" w:leftChars="0"/>
        <w:rPr>
          <w:rFonts w:hint="eastAsia" w:ascii="仿宋_GB2312" w:hAnsi="仿宋_GB2312" w:eastAsia="仿宋_GB2312" w:cs="仿宋_GB2312"/>
          <w:b/>
          <w:iCs/>
          <w:sz w:val="24"/>
          <w:szCs w:val="24"/>
        </w:rPr>
      </w:pPr>
      <w:r>
        <w:rPr>
          <w:rFonts w:hint="eastAsia" w:ascii="仿宋_GB2312" w:hAnsi="仿宋_GB2312" w:eastAsia="仿宋_GB2312" w:cs="仿宋_GB2312"/>
          <w:b/>
          <w:iCs/>
          <w:sz w:val="24"/>
          <w:szCs w:val="24"/>
        </w:rPr>
        <w:t>五、法定媒体：</w:t>
      </w:r>
    </w:p>
    <w:p>
      <w:pPr>
        <w:pStyle w:val="2"/>
        <w:snapToGrid w:val="0"/>
        <w:spacing w:before="60" w:after="0" w:line="360" w:lineRule="auto"/>
        <w:ind w:left="0" w:leftChars="0"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横琴粤澳深度合作区城市规划和建设局（https://www.hengqin.gov.cn/ghhjsj/2024/zwgk/cgzb/cggg/index.html?category_id=26073）相关公告在法定媒体上公布之日即视为有效送达，不再另行通知。</w:t>
      </w:r>
    </w:p>
    <w:p>
      <w:pPr>
        <w:pStyle w:val="2"/>
        <w:snapToGrid w:val="0"/>
        <w:spacing w:before="60" w:after="0" w:line="360" w:lineRule="auto"/>
        <w:ind w:left="0" w:leftChars="0"/>
        <w:rPr>
          <w:rFonts w:hint="eastAsia" w:ascii="仿宋_GB2312" w:hAnsi="仿宋_GB2312" w:eastAsia="仿宋_GB2312" w:cs="仿宋_GB2312"/>
          <w:b/>
          <w:iCs/>
          <w:sz w:val="24"/>
          <w:szCs w:val="24"/>
        </w:rPr>
      </w:pPr>
      <w:r>
        <w:rPr>
          <w:rFonts w:hint="eastAsia" w:ascii="仿宋_GB2312" w:hAnsi="仿宋_GB2312" w:eastAsia="仿宋_GB2312" w:cs="仿宋_GB2312"/>
          <w:b/>
          <w:iCs/>
          <w:sz w:val="24"/>
          <w:szCs w:val="24"/>
        </w:rPr>
        <w:t>六、</w:t>
      </w:r>
      <w:r>
        <w:rPr>
          <w:rFonts w:hint="eastAsia" w:ascii="仿宋_GB2312" w:hAnsi="仿宋_GB2312" w:eastAsia="仿宋_GB2312" w:cs="仿宋_GB2312"/>
          <w:b/>
          <w:sz w:val="24"/>
        </w:rPr>
        <w:t>采购人、采购代理机构的名称、地址和联系方式</w:t>
      </w:r>
    </w:p>
    <w:p>
      <w:pPr>
        <w:pStyle w:val="2"/>
        <w:snapToGrid w:val="0"/>
        <w:spacing w:before="60" w:after="0" w:line="360" w:lineRule="auto"/>
        <w:ind w:left="0" w:leftChars="0" w:firstLine="470" w:firstLineChars="196"/>
        <w:rPr>
          <w:rFonts w:hint="eastAsia" w:ascii="仿宋_GB2312" w:hAnsi="仿宋_GB2312" w:eastAsia="仿宋_GB2312" w:cs="仿宋_GB2312"/>
          <w:iCs/>
          <w:sz w:val="24"/>
          <w:szCs w:val="24"/>
        </w:rPr>
      </w:pPr>
      <w:r>
        <w:rPr>
          <w:rFonts w:hint="eastAsia" w:ascii="仿宋_GB2312" w:hAnsi="仿宋_GB2312" w:eastAsia="仿宋_GB2312" w:cs="仿宋_GB2312"/>
          <w:iCs/>
          <w:color w:val="000000" w:themeColor="text1"/>
          <w:sz w:val="24"/>
          <w:szCs w:val="24"/>
          <w14:textFill>
            <w14:solidFill>
              <w14:schemeClr w14:val="tx1"/>
            </w14:solidFill>
          </w14:textFill>
        </w:rPr>
        <w:t>1、采购人联</w:t>
      </w:r>
      <w:r>
        <w:rPr>
          <w:rFonts w:hint="eastAsia" w:ascii="仿宋_GB2312" w:hAnsi="仿宋_GB2312" w:eastAsia="仿宋_GB2312" w:cs="仿宋_GB2312"/>
          <w:iCs/>
          <w:sz w:val="24"/>
          <w:szCs w:val="24"/>
        </w:rPr>
        <w:t>系方式：</w:t>
      </w:r>
    </w:p>
    <w:p>
      <w:pPr>
        <w:pStyle w:val="2"/>
        <w:snapToGrid w:val="0"/>
        <w:spacing w:before="60" w:after="0" w:line="360" w:lineRule="auto"/>
        <w:ind w:left="0" w:leftChars="0" w:firstLine="470" w:firstLineChars="196"/>
        <w:rPr>
          <w:rFonts w:hint="eastAsia" w:ascii="仿宋_GB2312" w:hAnsi="仿宋_GB2312" w:eastAsia="仿宋_GB2312" w:cs="仿宋_GB2312"/>
          <w:iCs/>
          <w:sz w:val="24"/>
          <w:szCs w:val="24"/>
        </w:rPr>
      </w:pPr>
      <w:r>
        <w:rPr>
          <w:rFonts w:hint="eastAsia" w:ascii="仿宋_GB2312" w:hAnsi="仿宋_GB2312" w:eastAsia="仿宋_GB2312" w:cs="仿宋_GB2312"/>
          <w:iCs/>
          <w:sz w:val="24"/>
          <w:szCs w:val="24"/>
        </w:rPr>
        <w:t>采购人名称：横琴粤澳深度合作区城市规划和建设局</w:t>
      </w:r>
    </w:p>
    <w:p>
      <w:pPr>
        <w:pStyle w:val="2"/>
        <w:snapToGrid w:val="0"/>
        <w:spacing w:before="60" w:after="0" w:line="360" w:lineRule="auto"/>
        <w:ind w:left="0" w:leftChars="0" w:firstLine="470" w:firstLineChars="196"/>
        <w:rPr>
          <w:rFonts w:hint="eastAsia" w:ascii="仿宋_GB2312" w:hAnsi="仿宋_GB2312" w:eastAsia="仿宋_GB2312" w:cs="仿宋_GB2312"/>
          <w:iCs/>
          <w:sz w:val="24"/>
          <w:szCs w:val="24"/>
        </w:rPr>
      </w:pPr>
      <w:r>
        <w:rPr>
          <w:rFonts w:hint="eastAsia" w:ascii="仿宋_GB2312" w:hAnsi="仿宋_GB2312" w:eastAsia="仿宋_GB2312" w:cs="仿宋_GB2312"/>
          <w:iCs/>
          <w:sz w:val="24"/>
          <w:szCs w:val="24"/>
        </w:rPr>
        <w:t xml:space="preserve"> 联系电话： 0756-8937252</w:t>
      </w:r>
    </w:p>
    <w:p>
      <w:pPr>
        <w:pStyle w:val="2"/>
        <w:snapToGrid w:val="0"/>
        <w:spacing w:before="60" w:after="0" w:line="360" w:lineRule="auto"/>
        <w:ind w:left="0" w:leftChars="0" w:firstLine="470" w:firstLineChars="196"/>
        <w:rPr>
          <w:rFonts w:hint="eastAsia" w:ascii="仿宋_GB2312" w:hAnsi="仿宋_GB2312" w:eastAsia="仿宋_GB2312" w:cs="仿宋_GB2312"/>
          <w:iCs/>
          <w:sz w:val="24"/>
          <w:szCs w:val="24"/>
        </w:rPr>
      </w:pPr>
      <w:r>
        <w:rPr>
          <w:rFonts w:hint="eastAsia" w:ascii="仿宋_GB2312" w:hAnsi="仿宋_GB2312" w:eastAsia="仿宋_GB2312" w:cs="仿宋_GB2312"/>
          <w:iCs/>
          <w:sz w:val="24"/>
          <w:szCs w:val="24"/>
        </w:rPr>
        <w:t>采购人地址：广东省横琴粤澳深度合作区横琴港澳大道868号市民服务中心东副楼1楼</w:t>
      </w:r>
    </w:p>
    <w:p>
      <w:pPr>
        <w:pStyle w:val="2"/>
        <w:snapToGrid w:val="0"/>
        <w:spacing w:before="60" w:line="360" w:lineRule="auto"/>
        <w:rPr>
          <w:rFonts w:hint="eastAsia" w:ascii="仿宋_GB2312" w:hAnsi="仿宋_GB2312" w:eastAsia="仿宋_GB2312" w:cs="仿宋_GB2312"/>
          <w:iCs/>
          <w:color w:val="000000" w:themeColor="text1"/>
          <w:sz w:val="24"/>
          <w:szCs w:val="24"/>
          <w14:textFill>
            <w14:solidFill>
              <w14:schemeClr w14:val="tx1"/>
            </w14:solidFill>
          </w14:textFill>
        </w:rPr>
      </w:pPr>
      <w:r>
        <w:rPr>
          <w:rFonts w:hint="eastAsia" w:ascii="仿宋_GB2312" w:hAnsi="仿宋_GB2312" w:eastAsia="仿宋_GB2312" w:cs="仿宋_GB2312"/>
          <w:iCs/>
          <w:color w:val="000000" w:themeColor="text1"/>
          <w:sz w:val="24"/>
          <w:szCs w:val="24"/>
          <w14:textFill>
            <w14:solidFill>
              <w14:schemeClr w14:val="tx1"/>
            </w14:solidFill>
          </w14:textFill>
        </w:rPr>
        <w:t>2、采购代理机构联系方式：</w:t>
      </w:r>
    </w:p>
    <w:p>
      <w:pPr>
        <w:pStyle w:val="2"/>
        <w:snapToGrid w:val="0"/>
        <w:spacing w:before="60" w:line="360" w:lineRule="auto"/>
        <w:rPr>
          <w:rFonts w:hint="eastAsia" w:ascii="仿宋_GB2312" w:hAnsi="仿宋_GB2312" w:eastAsia="仿宋_GB2312" w:cs="仿宋_GB2312"/>
          <w:iCs/>
          <w:color w:val="000000" w:themeColor="text1"/>
          <w:sz w:val="24"/>
          <w:szCs w:val="24"/>
          <w14:textFill>
            <w14:solidFill>
              <w14:schemeClr w14:val="tx1"/>
            </w14:solidFill>
          </w14:textFill>
        </w:rPr>
      </w:pPr>
      <w:r>
        <w:rPr>
          <w:rFonts w:hint="eastAsia" w:ascii="仿宋_GB2312" w:hAnsi="仿宋_GB2312" w:eastAsia="仿宋_GB2312" w:cs="仿宋_GB2312"/>
          <w:iCs/>
          <w:color w:val="000000" w:themeColor="text1"/>
          <w:sz w:val="24"/>
          <w:szCs w:val="24"/>
          <w14:textFill>
            <w14:solidFill>
              <w14:schemeClr w14:val="tx1"/>
            </w14:solidFill>
          </w14:textFill>
        </w:rPr>
        <w:t>机构名称：</w:t>
      </w:r>
      <w:bookmarkStart w:id="0" w:name="OLE_LINK2"/>
      <w:r>
        <w:rPr>
          <w:rFonts w:hint="eastAsia" w:ascii="仿宋_GB2312" w:hAnsi="仿宋_GB2312" w:eastAsia="仿宋_GB2312" w:cs="仿宋_GB2312"/>
          <w:iCs/>
          <w:color w:val="000000" w:themeColor="text1"/>
          <w:sz w:val="24"/>
          <w:szCs w:val="24"/>
          <w14:textFill>
            <w14:solidFill>
              <w14:schemeClr w14:val="tx1"/>
            </w14:solidFill>
          </w14:textFill>
        </w:rPr>
        <w:t>珠海华信达工程顾问有限公司</w:t>
      </w:r>
      <w:bookmarkEnd w:id="0"/>
    </w:p>
    <w:p>
      <w:pPr>
        <w:pStyle w:val="2"/>
        <w:snapToGrid w:val="0"/>
        <w:spacing w:before="60" w:line="360" w:lineRule="auto"/>
        <w:rPr>
          <w:rFonts w:hint="eastAsia" w:ascii="仿宋_GB2312" w:hAnsi="仿宋_GB2312" w:eastAsia="仿宋_GB2312" w:cs="仿宋_GB2312"/>
          <w:iCs/>
          <w:color w:val="000000" w:themeColor="text1"/>
          <w:sz w:val="24"/>
          <w:szCs w:val="24"/>
          <w14:textFill>
            <w14:solidFill>
              <w14:schemeClr w14:val="tx1"/>
            </w14:solidFill>
          </w14:textFill>
        </w:rPr>
      </w:pPr>
      <w:r>
        <w:rPr>
          <w:rFonts w:hint="eastAsia" w:ascii="仿宋_GB2312" w:hAnsi="仿宋_GB2312" w:eastAsia="仿宋_GB2312" w:cs="仿宋_GB2312"/>
          <w:iCs/>
          <w:color w:val="000000" w:themeColor="text1"/>
          <w:sz w:val="24"/>
          <w:szCs w:val="24"/>
          <w14:textFill>
            <w14:solidFill>
              <w14:schemeClr w14:val="tx1"/>
            </w14:solidFill>
          </w14:textFill>
        </w:rPr>
        <w:t>联系地址：珠海市香洲区梅华东路284号9栋珠海地质大厦6楼</w:t>
      </w:r>
    </w:p>
    <w:p>
      <w:pPr>
        <w:pStyle w:val="2"/>
        <w:snapToGrid w:val="0"/>
        <w:spacing w:before="60" w:line="360" w:lineRule="auto"/>
        <w:rPr>
          <w:rFonts w:hint="eastAsia" w:ascii="仿宋_GB2312" w:hAnsi="仿宋_GB2312" w:eastAsia="仿宋_GB2312" w:cs="仿宋_GB2312"/>
          <w:iCs/>
          <w:color w:val="000000" w:themeColor="text1"/>
          <w:sz w:val="24"/>
          <w:szCs w:val="24"/>
          <w14:textFill>
            <w14:solidFill>
              <w14:schemeClr w14:val="tx1"/>
            </w14:solidFill>
          </w14:textFill>
        </w:rPr>
      </w:pPr>
      <w:r>
        <w:rPr>
          <w:rFonts w:hint="eastAsia" w:ascii="仿宋_GB2312" w:hAnsi="仿宋_GB2312" w:eastAsia="仿宋_GB2312" w:cs="仿宋_GB2312"/>
          <w:iCs/>
          <w:color w:val="000000" w:themeColor="text1"/>
          <w:sz w:val="24"/>
          <w:szCs w:val="24"/>
          <w14:textFill>
            <w14:solidFill>
              <w14:schemeClr w14:val="tx1"/>
            </w14:solidFill>
          </w14:textFill>
        </w:rPr>
        <w:t>联系人：郑群玲           联系电话：</w:t>
      </w:r>
      <w:r>
        <w:rPr>
          <w:rFonts w:hint="eastAsia" w:ascii="仿宋_GB2312" w:hAnsi="仿宋_GB2312" w:eastAsia="仿宋_GB2312" w:cs="仿宋_GB2312"/>
          <w:iCs/>
          <w:sz w:val="24"/>
          <w:szCs w:val="24"/>
        </w:rPr>
        <w:t>0756-2297373-81</w:t>
      </w:r>
      <w:r>
        <w:rPr>
          <w:rFonts w:hint="eastAsia" w:ascii="仿宋_GB2312" w:hAnsi="仿宋_GB2312" w:eastAsia="仿宋_GB2312" w:cs="仿宋_GB2312"/>
          <w:iCs/>
          <w:sz w:val="24"/>
          <w:szCs w:val="24"/>
          <w:lang w:val="en-US" w:eastAsia="zh-CN"/>
        </w:rPr>
        <w:t>3</w:t>
      </w:r>
      <w:r>
        <w:rPr>
          <w:rFonts w:hint="eastAsia" w:ascii="仿宋_GB2312" w:hAnsi="仿宋_GB2312" w:eastAsia="仿宋_GB2312" w:cs="仿宋_GB2312"/>
          <w:iCs/>
          <w:sz w:val="24"/>
          <w:szCs w:val="24"/>
        </w:rPr>
        <w:t>、13326682365</w:t>
      </w:r>
    </w:p>
    <w:p>
      <w:pPr>
        <w:pStyle w:val="2"/>
        <w:snapToGrid w:val="0"/>
        <w:spacing w:before="60" w:line="360" w:lineRule="auto"/>
        <w:rPr>
          <w:rFonts w:hint="eastAsia" w:ascii="仿宋_GB2312" w:hAnsi="仿宋_GB2312" w:eastAsia="仿宋_GB2312" w:cs="仿宋_GB2312"/>
          <w:iCs/>
          <w:color w:val="FF0000"/>
          <w:sz w:val="24"/>
          <w:szCs w:val="24"/>
        </w:rPr>
      </w:pPr>
      <w:r>
        <w:rPr>
          <w:rFonts w:hint="eastAsia" w:ascii="仿宋_GB2312" w:hAnsi="仿宋_GB2312" w:eastAsia="仿宋_GB2312" w:cs="仿宋_GB2312"/>
          <w:iCs/>
          <w:color w:val="000000" w:themeColor="text1"/>
          <w:sz w:val="24"/>
          <w:szCs w:val="24"/>
          <w14:textFill>
            <w14:solidFill>
              <w14:schemeClr w14:val="tx1"/>
            </w14:solidFill>
          </w14:textFill>
        </w:rPr>
        <w:t>电子邮件：bap@hxdgcgw.com        邮编：519000</w:t>
      </w:r>
    </w:p>
    <w:p>
      <w:pPr>
        <w:pStyle w:val="2"/>
        <w:snapToGrid w:val="0"/>
        <w:spacing w:line="400" w:lineRule="exact"/>
        <w:ind w:left="0" w:leftChars="0" w:firstLine="470" w:firstLineChars="196"/>
        <w:jc w:val="right"/>
        <w:rPr>
          <w:rFonts w:hint="eastAsia" w:ascii="仿宋_GB2312" w:hAnsi="仿宋_GB2312" w:eastAsia="仿宋_GB2312" w:cs="仿宋_GB2312"/>
          <w:iCs/>
          <w:sz w:val="24"/>
          <w:szCs w:val="24"/>
        </w:rPr>
      </w:pPr>
    </w:p>
    <w:p>
      <w:pPr>
        <w:pStyle w:val="2"/>
        <w:snapToGrid w:val="0"/>
        <w:spacing w:line="400" w:lineRule="exact"/>
        <w:ind w:left="0" w:leftChars="0" w:firstLine="470" w:firstLineChars="196"/>
        <w:jc w:val="right"/>
        <w:rPr>
          <w:rFonts w:hint="eastAsia" w:ascii="仿宋_GB2312" w:hAnsi="仿宋_GB2312" w:eastAsia="仿宋_GB2312" w:cs="仿宋_GB2312"/>
          <w:iCs/>
          <w:sz w:val="24"/>
          <w:szCs w:val="24"/>
        </w:rPr>
      </w:pPr>
    </w:p>
    <w:p>
      <w:pPr>
        <w:pStyle w:val="2"/>
        <w:snapToGrid w:val="0"/>
        <w:spacing w:line="400" w:lineRule="exact"/>
        <w:ind w:left="0" w:leftChars="0" w:firstLine="470" w:firstLineChars="196"/>
        <w:jc w:val="right"/>
        <w:rPr>
          <w:rFonts w:hint="eastAsia" w:ascii="仿宋_GB2312" w:hAnsi="仿宋_GB2312" w:eastAsia="仿宋_GB2312" w:cs="仿宋_GB2312"/>
          <w:iCs/>
          <w:sz w:val="24"/>
          <w:szCs w:val="24"/>
        </w:rPr>
      </w:pPr>
    </w:p>
    <w:p>
      <w:pPr>
        <w:pStyle w:val="2"/>
        <w:snapToGrid w:val="0"/>
        <w:spacing w:line="400" w:lineRule="exact"/>
        <w:ind w:left="0" w:leftChars="0" w:firstLine="470" w:firstLineChars="196"/>
        <w:jc w:val="right"/>
        <w:rPr>
          <w:rFonts w:hint="eastAsia" w:ascii="仿宋_GB2312" w:hAnsi="仿宋_GB2312" w:eastAsia="仿宋_GB2312" w:cs="仿宋_GB2312"/>
          <w:iCs/>
          <w:sz w:val="24"/>
          <w:szCs w:val="24"/>
        </w:rPr>
      </w:pPr>
      <w:r>
        <w:rPr>
          <w:rFonts w:hint="eastAsia" w:ascii="仿宋_GB2312" w:hAnsi="仿宋_GB2312" w:eastAsia="仿宋_GB2312" w:cs="仿宋_GB2312"/>
          <w:iCs/>
          <w:sz w:val="24"/>
          <w:szCs w:val="24"/>
        </w:rPr>
        <w:t>横琴粤澳深度合作区城市规划和建设局                                       珠海华信达工程顾问有限公司</w:t>
      </w:r>
    </w:p>
    <w:p>
      <w:pPr>
        <w:spacing w:line="400" w:lineRule="exact"/>
        <w:jc w:val="right"/>
        <w:rPr>
          <w:rFonts w:hint="eastAsia" w:ascii="仿宋_GB2312" w:hAnsi="仿宋_GB2312" w:eastAsia="仿宋_GB2312" w:cs="仿宋_GB2312"/>
        </w:rPr>
      </w:pPr>
      <w:r>
        <w:rPr>
          <w:rFonts w:hint="eastAsia" w:ascii="仿宋_GB2312" w:hAnsi="仿宋_GB2312" w:eastAsia="仿宋_GB2312" w:cs="仿宋_GB2312"/>
          <w:iCs/>
          <w:sz w:val="24"/>
          <w:szCs w:val="24"/>
        </w:rPr>
        <w:t>2025 年</w:t>
      </w:r>
      <w:r>
        <w:rPr>
          <w:rFonts w:hint="eastAsia" w:ascii="仿宋_GB2312" w:hAnsi="仿宋_GB2312" w:eastAsia="仿宋_GB2312" w:cs="仿宋_GB2312"/>
          <w:iCs/>
          <w:sz w:val="24"/>
          <w:szCs w:val="24"/>
          <w:lang w:val="en-US" w:eastAsia="zh-CN"/>
        </w:rPr>
        <w:t>8</w:t>
      </w:r>
      <w:r>
        <w:rPr>
          <w:rFonts w:hint="eastAsia" w:ascii="仿宋_GB2312" w:hAnsi="仿宋_GB2312" w:eastAsia="仿宋_GB2312" w:cs="仿宋_GB2312"/>
          <w:iCs/>
          <w:sz w:val="24"/>
          <w:szCs w:val="24"/>
        </w:rPr>
        <w:t>月</w:t>
      </w:r>
      <w:r>
        <w:rPr>
          <w:rFonts w:hint="eastAsia" w:ascii="仿宋_GB2312" w:hAnsi="仿宋_GB2312" w:eastAsia="仿宋_GB2312" w:cs="仿宋_GB2312"/>
          <w:iCs/>
          <w:sz w:val="24"/>
          <w:szCs w:val="24"/>
          <w:lang w:val="en-US" w:eastAsia="zh-CN"/>
        </w:rPr>
        <w:t>14</w:t>
      </w:r>
      <w:r>
        <w:rPr>
          <w:rFonts w:hint="eastAsia" w:ascii="仿宋_GB2312" w:hAnsi="仿宋_GB2312" w:eastAsia="仿宋_GB2312" w:cs="仿宋_GB2312"/>
          <w:iCs/>
          <w:sz w:val="24"/>
          <w:szCs w:val="24"/>
        </w:rPr>
        <w:t>日</w:t>
      </w:r>
    </w:p>
    <w:p>
      <w:pPr>
        <w:spacing w:line="360" w:lineRule="auto"/>
        <w:jc w:val="center"/>
        <w:rPr>
          <w:rFonts w:hint="eastAsia" w:ascii="仿宋_GB2312" w:hAnsi="仿宋_GB2312" w:eastAsia="仿宋_GB2312" w:cs="仿宋_GB2312"/>
          <w:b/>
          <w:sz w:val="44"/>
        </w:rPr>
      </w:pPr>
    </w:p>
    <w:p>
      <w:pPr>
        <w:spacing w:line="360" w:lineRule="auto"/>
        <w:jc w:val="center"/>
        <w:rPr>
          <w:rFonts w:hint="eastAsia" w:ascii="仿宋_GB2312" w:hAnsi="仿宋_GB2312" w:eastAsia="仿宋_GB2312" w:cs="仿宋_GB2312"/>
          <w:b/>
          <w:sz w:val="44"/>
        </w:rPr>
      </w:pPr>
    </w:p>
    <w:p>
      <w:pPr>
        <w:spacing w:line="360" w:lineRule="auto"/>
        <w:jc w:val="center"/>
        <w:rPr>
          <w:rFonts w:hint="eastAsia" w:ascii="仿宋_GB2312" w:hAnsi="仿宋_GB2312" w:eastAsia="仿宋_GB2312" w:cs="仿宋_GB2312"/>
          <w:b/>
          <w:sz w:val="44"/>
        </w:rPr>
      </w:pPr>
    </w:p>
    <w:p>
      <w:pPr>
        <w:spacing w:line="360" w:lineRule="auto"/>
        <w:jc w:val="center"/>
        <w:rPr>
          <w:rFonts w:hint="eastAsia" w:ascii="仿宋_GB2312" w:hAnsi="仿宋_GB2312" w:eastAsia="仿宋_GB2312" w:cs="仿宋_GB2312"/>
          <w:b/>
          <w:sz w:val="44"/>
        </w:rPr>
      </w:pPr>
    </w:p>
    <w:p>
      <w:pPr>
        <w:spacing w:line="360" w:lineRule="auto"/>
        <w:jc w:val="center"/>
        <w:rPr>
          <w:rFonts w:hint="eastAsia" w:ascii="仿宋_GB2312" w:hAnsi="仿宋_GB2312" w:eastAsia="仿宋_GB2312" w:cs="仿宋_GB2312"/>
          <w:b/>
          <w:sz w:val="44"/>
        </w:rPr>
      </w:pPr>
    </w:p>
    <w:p>
      <w:pPr>
        <w:spacing w:line="360" w:lineRule="auto"/>
        <w:jc w:val="center"/>
        <w:rPr>
          <w:rFonts w:hint="eastAsia" w:ascii="仿宋_GB2312" w:hAnsi="仿宋_GB2312" w:eastAsia="仿宋_GB2312" w:cs="仿宋_GB2312"/>
          <w:b/>
          <w:sz w:val="44"/>
        </w:rPr>
      </w:pPr>
      <w:bookmarkStart w:id="1" w:name="_Toc416770209"/>
      <w:bookmarkStart w:id="2" w:name="_Toc11858"/>
      <w:bookmarkStart w:id="3" w:name="_Toc410736129"/>
      <w:bookmarkStart w:id="4" w:name="_Toc416771319"/>
      <w:r>
        <w:rPr>
          <w:rFonts w:hint="eastAsia" w:ascii="仿宋_GB2312" w:hAnsi="仿宋_GB2312" w:eastAsia="仿宋_GB2312" w:cs="仿宋_GB2312"/>
          <w:b/>
          <w:sz w:val="44"/>
        </w:rPr>
        <w:t>第二章</w:t>
      </w:r>
    </w:p>
    <w:p>
      <w:pPr>
        <w:spacing w:line="360" w:lineRule="auto"/>
        <w:jc w:val="center"/>
        <w:rPr>
          <w:rFonts w:hint="eastAsia" w:ascii="仿宋_GB2312" w:hAnsi="仿宋_GB2312" w:eastAsia="仿宋_GB2312" w:cs="仿宋_GB2312"/>
          <w:b/>
          <w:sz w:val="44"/>
        </w:rPr>
      </w:pPr>
    </w:p>
    <w:p>
      <w:pPr>
        <w:spacing w:line="360" w:lineRule="auto"/>
        <w:jc w:val="center"/>
        <w:rPr>
          <w:rFonts w:hint="eastAsia" w:ascii="仿宋_GB2312" w:hAnsi="仿宋_GB2312" w:eastAsia="仿宋_GB2312" w:cs="仿宋_GB2312"/>
          <w:b/>
          <w:sz w:val="44"/>
        </w:rPr>
      </w:pPr>
      <w:r>
        <w:rPr>
          <w:rFonts w:hint="eastAsia" w:ascii="仿宋_GB2312" w:hAnsi="仿宋_GB2312" w:eastAsia="仿宋_GB2312" w:cs="仿宋_GB2312"/>
          <w:b/>
          <w:sz w:val="44"/>
        </w:rPr>
        <w:t>磋商资料表</w:t>
      </w:r>
      <w:bookmarkEnd w:id="1"/>
      <w:bookmarkEnd w:id="2"/>
      <w:bookmarkEnd w:id="3"/>
      <w:bookmarkEnd w:id="4"/>
    </w:p>
    <w:p>
      <w:pPr>
        <w:spacing w:line="360" w:lineRule="auto"/>
        <w:ind w:right="-1"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该资料表的条款项号是与第三章响应人须知条款项号对应的，或增加的条款，是对第三章响应人须知的补充、修改和完善，如果有矛盾的话，应以本资料表为准。</w:t>
      </w:r>
    </w:p>
    <w:tbl>
      <w:tblPr>
        <w:tblStyle w:val="25"/>
        <w:tblW w:w="9282" w:type="dxa"/>
        <w:tblInd w:w="-4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
        <w:gridCol w:w="83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blHeader/>
        </w:trPr>
        <w:tc>
          <w:tcPr>
            <w:tcW w:w="905" w:type="dxa"/>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条款项号</w:t>
            </w:r>
          </w:p>
        </w:tc>
        <w:tc>
          <w:tcPr>
            <w:tcW w:w="8377" w:type="dxa"/>
            <w:vAlign w:val="center"/>
          </w:tcPr>
          <w:p>
            <w:pPr>
              <w:snapToGrid w:val="0"/>
              <w:spacing w:line="360" w:lineRule="auto"/>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9282" w:type="dxa"/>
            <w:gridSpan w:val="2"/>
            <w:vAlign w:val="center"/>
          </w:tcPr>
          <w:p>
            <w:pPr>
              <w:snapToGrid w:val="0"/>
              <w:spacing w:line="360" w:lineRule="auto"/>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一、说明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trPr>
        <w:tc>
          <w:tcPr>
            <w:tcW w:w="905" w:type="dxa"/>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2.3</w:t>
            </w:r>
          </w:p>
        </w:tc>
        <w:tc>
          <w:tcPr>
            <w:tcW w:w="8377" w:type="dxa"/>
            <w:vAlign w:val="center"/>
          </w:tcPr>
          <w:p>
            <w:pPr>
              <w:pStyle w:val="2"/>
              <w:snapToGrid w:val="0"/>
              <w:spacing w:line="360" w:lineRule="auto"/>
              <w:ind w:left="0" w:leftChars="0" w:right="697"/>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采购人名称：横琴粤澳深度合作区城市规划和建设局</w:t>
            </w:r>
          </w:p>
          <w:p>
            <w:pPr>
              <w:pStyle w:val="2"/>
              <w:snapToGrid w:val="0"/>
              <w:spacing w:line="360" w:lineRule="auto"/>
              <w:ind w:left="0" w:leftChars="0" w:right="697"/>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采购人地址：广东省横琴粤澳深度合作区横琴港澳大道868号市民服务中心东副楼1楼</w:t>
            </w:r>
          </w:p>
          <w:p>
            <w:pPr>
              <w:pStyle w:val="2"/>
              <w:snapToGrid w:val="0"/>
              <w:spacing w:line="360" w:lineRule="auto"/>
              <w:ind w:left="0" w:leftChars="0" w:right="697"/>
              <w:jc w:val="both"/>
              <w:rPr>
                <w:rFonts w:hint="eastAsia" w:ascii="仿宋_GB2312" w:hAnsi="仿宋_GB2312" w:eastAsia="仿宋_GB2312" w:cs="仿宋_GB2312"/>
                <w:iCs/>
                <w:sz w:val="24"/>
                <w:szCs w:val="24"/>
              </w:rPr>
            </w:pPr>
            <w:r>
              <w:rPr>
                <w:rFonts w:hint="eastAsia" w:ascii="仿宋_GB2312" w:hAnsi="仿宋_GB2312" w:eastAsia="仿宋_GB2312" w:cs="仿宋_GB2312"/>
                <w:sz w:val="24"/>
                <w:szCs w:val="24"/>
              </w:rPr>
              <w:t>资金来源：财政性资金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5" w:type="dxa"/>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2.4</w:t>
            </w:r>
          </w:p>
        </w:tc>
        <w:tc>
          <w:tcPr>
            <w:tcW w:w="8377" w:type="dxa"/>
            <w:vAlign w:val="center"/>
          </w:tcPr>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政府采购代理机构：珠海华信达工程顾问有限公司</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地址：珠海市香洲区梅华东路284号9栋珠海地质大厦6楼</w:t>
            </w:r>
          </w:p>
          <w:p>
            <w:pPr>
              <w:pStyle w:val="2"/>
              <w:snapToGrid w:val="0"/>
              <w:spacing w:line="360" w:lineRule="auto"/>
              <w:ind w:left="0" w:leftChars="0" w:right="700"/>
              <w:jc w:val="both"/>
              <w:rPr>
                <w:rFonts w:hint="eastAsia" w:ascii="仿宋_GB2312" w:hAnsi="仿宋_GB2312" w:eastAsia="仿宋_GB2312" w:cs="仿宋_GB2312"/>
                <w:sz w:val="24"/>
                <w:szCs w:val="24"/>
              </w:rPr>
            </w:pPr>
            <w:r>
              <w:rPr>
                <w:rFonts w:hint="eastAsia" w:ascii="仿宋_GB2312" w:hAnsi="仿宋_GB2312" w:eastAsia="仿宋_GB2312" w:cs="仿宋_GB2312"/>
                <w:sz w:val="24"/>
              </w:rPr>
              <w:t>电话：0756-2297373转813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905" w:type="dxa"/>
            <w:vAlign w:val="center"/>
          </w:tcPr>
          <w:p>
            <w:pPr>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rPr>
              <w:t>3.2</w:t>
            </w:r>
          </w:p>
        </w:tc>
        <w:tc>
          <w:tcPr>
            <w:tcW w:w="8377" w:type="dxa"/>
            <w:vAlign w:val="center"/>
          </w:tcPr>
          <w:p>
            <w:pPr>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rPr>
              <w:t>响应人资格要求：详见第一章磋商邀请“响应人资格要求”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905" w:type="dxa"/>
            <w:vAlign w:val="center"/>
          </w:tcPr>
          <w:p>
            <w:pPr>
              <w:spacing w:line="360" w:lineRule="auto"/>
              <w:jc w:val="center"/>
              <w:rPr>
                <w:rFonts w:hint="eastAsia" w:ascii="仿宋_GB2312" w:hAnsi="仿宋_GB2312" w:eastAsia="仿宋_GB2312" w:cs="仿宋_GB2312"/>
                <w:sz w:val="24"/>
              </w:rPr>
            </w:pPr>
            <w:r>
              <w:rPr>
                <w:rFonts w:hint="eastAsia" w:ascii="仿宋_GB2312" w:hAnsi="仿宋_GB2312" w:eastAsia="仿宋_GB2312" w:cs="仿宋_GB2312"/>
                <w:sz w:val="24"/>
              </w:rPr>
              <w:t>4</w:t>
            </w:r>
          </w:p>
        </w:tc>
        <w:tc>
          <w:tcPr>
            <w:tcW w:w="8377" w:type="dxa"/>
            <w:vAlign w:val="center"/>
          </w:tcPr>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合格的货物和服务的要求：能够提供与本项目相关的货物和服务，符合并履行本磋商文件中的各项规定和要求。具体要求详见第五章用户需求书。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trPr>
        <w:tc>
          <w:tcPr>
            <w:tcW w:w="9282" w:type="dxa"/>
            <w:gridSpan w:val="2"/>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二、竞争性磋商文件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9" w:hRule="atLeast"/>
        </w:trPr>
        <w:tc>
          <w:tcPr>
            <w:tcW w:w="905" w:type="dxa"/>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10.1</w:t>
            </w:r>
          </w:p>
        </w:tc>
        <w:tc>
          <w:tcPr>
            <w:tcW w:w="8377" w:type="dxa"/>
            <w:vAlign w:val="center"/>
          </w:tcPr>
          <w:p>
            <w:pPr>
              <w:pStyle w:val="2"/>
              <w:snapToGrid w:val="0"/>
              <w:spacing w:line="360" w:lineRule="auto"/>
              <w:ind w:left="0" w:leftChars="0" w:right="69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集中答疑会或现场考察：不举行。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trPr>
        <w:tc>
          <w:tcPr>
            <w:tcW w:w="9282" w:type="dxa"/>
            <w:gridSpan w:val="2"/>
            <w:vAlign w:val="center"/>
          </w:tcPr>
          <w:p>
            <w:pPr>
              <w:snapToGrid w:val="0"/>
              <w:spacing w:line="360" w:lineRule="auto"/>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三、响应文件的编制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905" w:type="dxa"/>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12.1</w:t>
            </w:r>
          </w:p>
        </w:tc>
        <w:tc>
          <w:tcPr>
            <w:tcW w:w="8377" w:type="dxa"/>
            <w:vAlign w:val="center"/>
          </w:tcPr>
          <w:p>
            <w:pPr>
              <w:pStyle w:val="69"/>
              <w:tabs>
                <w:tab w:val="left" w:pos="341"/>
              </w:tabs>
              <w:spacing w:before="91" w:line="321" w:lineRule="auto"/>
              <w:ind w:left="24" w:right="-15"/>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报价：本项目采用总价包干制，该报价包含完成本项目的人力成本、设备成本、管理费、检测费用、专家评审劳务费（如有）、差旅费、交通费、利润、税金等其他费用，即完成本项目并提交最终成果所需的全部费用。采购人不另行向成交供应商或第三方支付其他费用。响应人漏报或不报，采购人将视为该漏报或不报部分的费用已包括在响应报价中而不另支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905" w:type="dxa"/>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14.9</w:t>
            </w:r>
          </w:p>
        </w:tc>
        <w:tc>
          <w:tcPr>
            <w:tcW w:w="8377" w:type="dxa"/>
            <w:vAlign w:val="center"/>
          </w:tcPr>
          <w:p>
            <w:pPr>
              <w:pStyle w:val="2"/>
              <w:snapToGrid w:val="0"/>
              <w:spacing w:line="360" w:lineRule="auto"/>
              <w:ind w:left="0" w:leftChars="0" w:right="-3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响应人所报的响应价在合同执行过程中是固定不变的，不得以任何理由予以变更。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905" w:type="dxa"/>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14.10</w:t>
            </w:r>
          </w:p>
        </w:tc>
        <w:tc>
          <w:tcPr>
            <w:tcW w:w="8377" w:type="dxa"/>
            <w:vAlign w:val="center"/>
          </w:tcPr>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不允许有备选方案。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905" w:type="dxa"/>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14.11</w:t>
            </w:r>
          </w:p>
        </w:tc>
        <w:tc>
          <w:tcPr>
            <w:tcW w:w="8377" w:type="dxa"/>
            <w:vAlign w:val="center"/>
          </w:tcPr>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不允许附加条件报价。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05" w:type="dxa"/>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20.1</w:t>
            </w:r>
          </w:p>
        </w:tc>
        <w:tc>
          <w:tcPr>
            <w:tcW w:w="8377" w:type="dxa"/>
            <w:vAlign w:val="center"/>
          </w:tcPr>
          <w:p>
            <w:pPr>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磋商有效期：</w:t>
            </w:r>
            <w:r>
              <w:rPr>
                <w:rFonts w:ascii="仿宋_GB2312" w:hAnsi="仿宋_GB2312" w:eastAsia="仿宋_GB2312" w:cs="仿宋_GB2312"/>
                <w:sz w:val="24"/>
                <w:szCs w:val="24"/>
              </w:rPr>
              <w:t>开标</w:t>
            </w:r>
            <w:r>
              <w:rPr>
                <w:rFonts w:hint="eastAsia" w:ascii="仿宋_GB2312" w:hAnsi="仿宋_GB2312" w:eastAsia="仿宋_GB2312" w:cs="仿宋_GB2312"/>
                <w:sz w:val="24"/>
                <w:szCs w:val="24"/>
              </w:rPr>
              <w:t>之日起120日历天。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05" w:type="dxa"/>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21.1</w:t>
            </w:r>
          </w:p>
        </w:tc>
        <w:tc>
          <w:tcPr>
            <w:tcW w:w="8377" w:type="dxa"/>
            <w:vAlign w:val="center"/>
          </w:tcPr>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正本一份，副本二份，单独密封在一个密封袋中；电子文件一份，单独密封在一个密封袋中；首次报价信封一份，单独密封在一个密封袋中。</w:t>
            </w:r>
          </w:p>
          <w:p>
            <w:pPr>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b/>
                <w:bCs/>
                <w:sz w:val="24"/>
              </w:rPr>
              <w:t>说明：1、电子文件：响应人将所有响应文件签章完毕后扫描正本文件并制作成pdf格式，存储在U盘中，单独密封在一个密封袋中。2、副本可用正本的复印件。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9282" w:type="dxa"/>
            <w:gridSpan w:val="2"/>
            <w:vAlign w:val="center"/>
          </w:tcPr>
          <w:p>
            <w:pPr>
              <w:snapToGrid w:val="0"/>
              <w:spacing w:line="360" w:lineRule="auto"/>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四、响应文件的递交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05" w:type="dxa"/>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23.1</w:t>
            </w:r>
          </w:p>
        </w:tc>
        <w:tc>
          <w:tcPr>
            <w:tcW w:w="8377" w:type="dxa"/>
            <w:vAlign w:val="center"/>
          </w:tcPr>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响应文件递交截止日期、时间和地点：按竞争性磋商文件第一章规定。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9282" w:type="dxa"/>
            <w:gridSpan w:val="2"/>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五、竞争性磋商流程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05" w:type="dxa"/>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26.1</w:t>
            </w:r>
          </w:p>
        </w:tc>
        <w:tc>
          <w:tcPr>
            <w:tcW w:w="8377" w:type="dxa"/>
            <w:vAlign w:val="center"/>
          </w:tcPr>
          <w:p>
            <w:pPr>
              <w:snapToGrid w:val="0"/>
              <w:spacing w:line="360" w:lineRule="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本项目磋商由依法组建的磋商小组负责，其成员由技术、经济等方面的专家3人组成。其中采购人代表1人，技术、经济方面专家2人。专家在代理机构政府采购专家库中随机抽取，采购代理机构工作人员不作为磋商小组成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05" w:type="dxa"/>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28.1</w:t>
            </w:r>
          </w:p>
        </w:tc>
        <w:tc>
          <w:tcPr>
            <w:tcW w:w="8377" w:type="dxa"/>
            <w:vAlign w:val="center"/>
          </w:tcPr>
          <w:p>
            <w:pPr>
              <w:snapToGrid w:val="0"/>
              <w:spacing w:line="360" w:lineRule="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如在磋商中磋商小组没有对磋商文件作实质性变动增加新的需求，后一轮报价不得高于前一轮报价，否则视为无效报价，该供应商不再参与下轮磋商和报价，也不被推荐为成交候选人。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905" w:type="dxa"/>
            <w:vAlign w:val="center"/>
          </w:tcPr>
          <w:p>
            <w:pPr>
              <w:snapToGrid w:val="0"/>
              <w:spacing w:line="360" w:lineRule="auto"/>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28.2</w:t>
            </w:r>
          </w:p>
        </w:tc>
        <w:tc>
          <w:tcPr>
            <w:tcW w:w="8377" w:type="dxa"/>
            <w:vAlign w:val="center"/>
          </w:tcPr>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一、本评标办法采用综合评分法。经磋商确定最终采购需求和提交最后报价的供应商后，由磋商小组采用综合评分法对提交最后报价的供应商的响应文件和最后报价进行综合评分。</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二、通过资格和符合性审查的有效供应商方有资格提交最后报价及进行技术商务及价格的详细评审，最后磋商小组出具评标报告。</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评分及其统计：按照评标程序、评审标准以及权重分配的规定，磋商小组各成员分别就各个有效供应商的技术状况、商务状况及其对磋商文件要求的响应情况进行评议和比较，评出其技术评分和商务评分、价格评分相加得出其综合得分。</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说明：评审标准、具体评审因素及权重分配详见本章“资格和符合性审查表”、“评分细则”。</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四、价格扣除</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（一）小型和微型企业产品价格扣除</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1、根据财政部、工业和信息化部印发的《政府采购促进中小企业发展管理办法》（财库〔2020〕46 号）、《广东省财政厅广东省工业和信息化厅关于进一步加强政府采购促进中小企业发展的通知》（粤财采购〔2022〕6号）的规定及关于进一步加大政府采购支持中小企业力度的通知财库〔2022〕19号的规定，对于未预留份额专门面向中小企业采购的采购项目,以及预留份额项目中的非预留部分采购包,各预算单位应当对符合《办法》规定的小微企业报价按20% (工程项目为5%)的扣除，用扣除后的价格参与评审。适用招标投标法的政府采购工程建设项目，采用综合评估法但未采用低价优先法计算价格分的,评标时应当在采用原报价进行评分的基础上,原则上按5%增加其价格得分。</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2、如允许联合体响应或允许分包：</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（1）如联合体各方均为小微企业的，联合体视同为小微企业享受上述(第1条)规定的价格扣除。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如允许大中型企业与小微企业组成联合体或者允许大中型企业向一家或者多家小微企业分包的采购项目,对于联合协议或者分包意向协议约定小微企业的合同份额占到合同总金额40%以上的，采购人应当对联合体或者大中型企业的报价按6%(工程项目2%)予以扣除，用扣除后的价格参加评审。适用招标投标法的政府采购工程建设项目，采用综合评估法但未采用低价优先法计算价格分的,评标时应当在采用原报价进行评分的基础上,按2% 增加其价格得分。</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3、组成联合体（如允许）或者接受分包的小微企业与联合体内其他企业、分包企业之间存在直接控股、管理关系的，不享受价格扣除优惠政策。</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4、参加政府采购活动的中小企业应当提供《中小企业声明函》（格式见第七章格式文件）。</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（二）监狱企业产品价格扣除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1、监狱企业视同微型企业，按上述第1条享受评审中价格扣除。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2、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3、监狱企业参加政府采购活动时，应当提供由省级以上监狱管理局、戒毒管理局（含新疆生产建设兵团）出具的属于监狱企业的证明文件，否则不予认可。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（三）残疾人福利性单位产品价格扣除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1、残疾人福利性单位视同小型企业，按上述第1条享受评审中价格扣除。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2、根据财政部、民政部、中国残疾人联合会印发的《关于促进残疾人就业政府采购政策的通知》（财库〔2018〕141号）的规定，符合条件的残疾人福利性单位在参加政府采购活动时，应当提供该通知规定的《残疾人福利性单位声明函》（格式见第六章格式文件），并对声明的真实性负责。一旦成交将在成交公告中公告其声明函，接受社会监督。响应人提供的《残疾人福利性单位声明函》与事实不符的，依照《中华人民共和国政府采购法》第七十七条第一款的规定追究法律责任。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（四）响应人同时为小型企业、监狱企业、残疾人福利性单位任两种或以上情况的，评审中只享受一次价格扣除，不重复进行价格扣除。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（五）节能产品、环境标志产品价格扣除：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1、响应产品(针对非政府强制采购产品)纳入财政部 国家发展改革委颁布最新一期节能产品清单的，节能产品响应报价占总响应报价比例在30%或以上的，对节能产品的价格给予2%的扣除，在30%以下的，对节能产品的价格给予1%的扣除，用扣除后的价格参与评审。（提供响应产品所在清单页加盖响应人公章）。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2、响应产品纳入国家行业主管部门颁布的最新一期环境标志产品清单的，环境标志产品响应报价占总响应报价比例在30%或以上的，对环境标志产品的价格给予2%的扣除，在30%以下的，对环境标志产品的价格给予1%的扣除，用扣除后的价格参与评审。（提供响应产品所在清单页加盖响应人公章）。 </w:t>
            </w:r>
          </w:p>
          <w:p>
            <w:pPr>
              <w:tabs>
                <w:tab w:val="left" w:pos="-720"/>
              </w:tabs>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（六）国家级贫困地区农副产品价格扣除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1、供应商注册地在832个国家级贫困县域内，且所投农副产品属于《国家级贫困县重点扶贫产品供应商名录》的供应商，对所投农副产品的价格给予 1 %的价格扣除。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2、提供供应商属于《国家级贫困县重点扶贫产品供应商名录》的证明材料，并加盖供应商单位公章。如所提供产品属于《国家级贫困县重点扶贫产品供应商名录》中供应商的产品，应同时提供合作协议（或授权函）和该供应商属于《国家级贫困县重点扶贫产品供 应商名录》的证明材料并加盖响应人单位公章。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（七）国家级贫困地区物业服务价格扣除：</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1、供应商注册地在 832 个国家级贫困县域内，且聘用建档立卡贫困人员，对供应商的响应报价给予 1 %的价格扣除。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贫困县域物业公司参与物业服务政府采购,享受上述优惠政策时，应提供以下佐证材料：（1）供应商注册所在地县扶贫部门出具的本公司聘用建档立卡贫困人员具体数量证明，并加盖供应商单位公章。（2）劳动合同或保险缴纳凭证、工资发放凭证等证实本公司聘用建档立卡贫困人员的材料，并加盖供应商单位公章。（3）如公司通过服务外包工方式聘用了建档立卡贫困人员，还应提供公司与服务外包公司签订的合同或协议，以及扶贫部门出具的该服务外包聘用建档立卡贫困人员具体数量证明，并加盖供应商单位公章。</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3、如允许联合体响应，联合体各方均为贫困地区物业企业或联合体协议中约定贫困地区物业企业的协议合同金额（必须为本企业承担的内容）占到联合体协议合同总金额 50%以上的，联合体视同为贫困地区物业企业享受上述价格扣除。</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4、如允许联合体响应，组成联合体的大中型企业和其他自然人、法人或者其他组织与贫困地区物业企业之间存在投资关系的，不享受上述价格扣除。</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六、评委根据以上规定，对参加本项目且符合以上规定的企业给予价格扣除或上浮，用扣除或上浮后的报价参与评审。</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七、商品包装和快递包装</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本项目如涉及商品包装、快递包装，应当满足以下要求：</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（一） 商品包装环保要求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1、商品包装层数不得超过 3 层，空隙率不大于 40%；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2、商品包装尽可能使用单一材质的包装材料，如因功能需求必需使用不同材质，不同材质间应便于分离；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3、商品包装中铅、汞、镉、六价铬的总含量应不大于 100mg/kg；（必要时，采购人可要求履约验收时提供第三方检测机构出具的检测报告复印件）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4、商品包装印刷使用的油墨中挥发性有机化合物(VOCs)含量应不大于 5%（以重量计）；</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（必要时，采购人可要求履约验收时提供第三方检测机构出具的检测报告复印件）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5、塑料材质商品包装上呈现的印刷颜色不得超过 6 色；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6、纸质商品包装应使用 75%以上的可再生纤维原料生产；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7、木质商品包装的原料应来源于可持续性森林。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（二） 商品包装检测方法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1、商品包装中重金属（铅、汞、镉、六价铬）总量的检测按照 GB/T10004-2008《包装用塑料复合膜、袋干法复合、挤出复合》规定的方法进行。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2、商品包装印刷使用的油墨中挥发性有机化合物(VOCs)的检测按照 GB/T23986-2009《色漆和清漆挥发性有机化合物(VOC)含量的测定气相色谱法》规定的方法进行。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（三） 快递包装环保要求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1、快递包装中重金属（铅、汞、镉、六价铬）总量应不大于 100mg/kg；（必要时，采购人可要求履约验收时提供第三方检测机构出具的检测报告复印件）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2、快递包装印刷使用的油墨中不应添加邻苯二甲酸酯，其挥发性有机化合物(VOCs)含量应不大于 5%（以重量计）；（必要时，采购人可要求履约验收时提供第三方检测机构出具的检测报告复印件）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3、快递包装中使用纸基材的包装材料，纸基材中的有机氯的含量应不大于 150mg/kg；（必要时，采购人可要求履约验收时提供第三方检测机构出具的检测报告复印件）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4、快递包装中使用塑料基材的包装材料不得使用邻苯二甲酸二异壬酯、邻苯二甲酸二正辛酯、邻苯二甲酸二(2-乙基)己酯、邻苯二甲酸二异癸酯、邻苯二甲酸丁基苄基酯、邻苯二甲酸二丁酯等作为增塑剂；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5、快递中使用的塑料包装袋不得使用聚氯乙烯作为原料，且原料应为单一材质制成，生物分解率大于 60%；（必要时，采购人可要求履约验收时提供第三方检测机构出具的检测报告复印件）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6、快递中使用的充气类填充物不得使用聚氯乙烯作为原料，且原料为单一材质制成，生物分解率大于 60%；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7、快递中使用的集装袋应为单一材质制成，其重复使用次数应不小于 80 次；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8、快递中应使用幅宽不大于 45mm 的生物降解胶带；（必要时，采购人可要求履约验收时提供第三方检测机构出具的检测报告复印件）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9、快递包装中不得使用溶剂型胶粘剂；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10、快递应使用电子面单；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11、直接使用商品包装作为快递包装的商品，其商品包装满足《商品包装政府采购需求标准（试行）》即可；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1、快递包装产品质量和封装方式应符合相关国家或行业标准技术指标要求。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（四） 快递包装检测方法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2、快递包装中重金属（铅、汞、镉、六价铬）总量的检测按照 GB/T10004-2008《包装用塑料复合膜、袋干法复合、挤出复合》规定的方法进行。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3、快递包装印刷使用的油墨中挥发性有机化合物(VOCs)的检测按照 GB/T23986-2009《色漆和清漆挥发性有机化合物(VOC)含量的测定气相色谱法》规定的方法进行。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4、快递包装所使用的塑料包装的生物降解率的检测按照 GB/T20197-2006《降解塑料的定义、分类、标识和降解性能要求》规定的方法进行。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5、快递包装使用纸基材的包装材料中有机氯的检测按照 GB/T22904-2008《纸浆、纸和纸板总氯和有机氯的检定》规定的方法进行。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 xml:space="preserve">6、快递包装中使用的生物降解胶带的生物降解率的检测按照 GB/T19277.1《受控堆肥条件下材料最终需氧生物分解能力的测定采用测定释放的二氧化碳的方法 第 1 部分：通用方法》规定的方法进行。 </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（五）项目验收时，采购人将根据上述要求对商品包装和快递包装组织验收工作。</w:t>
            </w:r>
          </w:p>
          <w:p>
            <w:pPr>
              <w:pStyle w:val="23"/>
              <w:ind w:firstLine="240"/>
              <w:rPr>
                <w:rFonts w:hint="eastAsia" w:ascii="仿宋_GB2312" w:hAnsi="仿宋_GB2312" w:eastAsia="仿宋_GB2312" w:cs="仿宋_GB2312"/>
              </w:rPr>
            </w:pPr>
            <w:r>
              <w:rPr>
                <w:rFonts w:hint="eastAsia" w:ascii="仿宋_GB2312" w:hAnsi="仿宋_GB2312" w:eastAsia="仿宋_GB2312" w:cs="仿宋_GB2312"/>
                <w:sz w:val="24"/>
              </w:rPr>
              <w:t>八、本项目执行政府采购政策,采购本国货物和服务、技术引进和转让等。不允许以进口产品响应。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05" w:type="dxa"/>
            <w:vAlign w:val="center"/>
          </w:tcPr>
          <w:p>
            <w:pPr>
              <w:snapToGrid w:val="0"/>
              <w:spacing w:line="360" w:lineRule="auto"/>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28.3</w:t>
            </w:r>
          </w:p>
        </w:tc>
        <w:tc>
          <w:tcPr>
            <w:tcW w:w="8377" w:type="dxa"/>
            <w:vAlign w:val="center"/>
          </w:tcPr>
          <w:p>
            <w:pPr>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根据综合评分情况按照评审得分由高到低推荐三名成交候选人。</w:t>
            </w:r>
          </w:p>
          <w:p>
            <w:pPr>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推荐综合得分排名第一的响应人为第一成交候选人，排名第二</w:t>
            </w:r>
            <w:r>
              <w:rPr>
                <w:rFonts w:hint="eastAsia" w:ascii="仿宋_GB2312" w:hAnsi="仿宋_GB2312" w:eastAsia="仿宋_GB2312" w:cs="仿宋_GB2312"/>
                <w:kern w:val="2"/>
                <w:sz w:val="24"/>
                <w:szCs w:val="24"/>
              </w:rPr>
              <w:t>、第三</w:t>
            </w:r>
            <w:r>
              <w:rPr>
                <w:rFonts w:hint="eastAsia" w:ascii="仿宋_GB2312" w:hAnsi="仿宋_GB2312" w:eastAsia="仿宋_GB2312" w:cs="仿宋_GB2312"/>
                <w:bCs/>
                <w:sz w:val="24"/>
                <w:szCs w:val="24"/>
              </w:rPr>
              <w:t>的响应人为成交候选人。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05" w:type="dxa"/>
            <w:vAlign w:val="center"/>
          </w:tcPr>
          <w:p>
            <w:pPr>
              <w:snapToGrid w:val="0"/>
              <w:spacing w:line="360" w:lineRule="auto"/>
              <w:jc w:val="center"/>
              <w:rPr>
                <w:rFonts w:hint="eastAsia" w:ascii="仿宋_GB2312" w:hAnsi="仿宋_GB2312" w:eastAsia="仿宋_GB2312" w:cs="仿宋_GB2312"/>
                <w:bCs/>
                <w:sz w:val="24"/>
                <w:szCs w:val="24"/>
              </w:rPr>
            </w:pPr>
            <w:r>
              <w:rPr>
                <w:rFonts w:hint="eastAsia" w:ascii="仿宋_GB2312" w:hAnsi="仿宋_GB2312" w:eastAsia="仿宋_GB2312" w:cs="仿宋_GB2312"/>
                <w:sz w:val="24"/>
              </w:rPr>
              <w:t>30</w:t>
            </w:r>
          </w:p>
        </w:tc>
        <w:tc>
          <w:tcPr>
            <w:tcW w:w="8377" w:type="dxa"/>
            <w:vAlign w:val="center"/>
          </w:tcPr>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1、供应商认为采购文件、采购过程、中标或者成交结果使自己的权益受到损害的，可以在知道或者应知其权益受到损害之日起7个工作日内，以书面形式向采购人、采购代理机构提出质疑。</w:t>
            </w:r>
          </w:p>
          <w:p>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供应商在法定质疑期内一次性提出针对同一采购程序环节的质疑。</w:t>
            </w:r>
          </w:p>
          <w:p>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质疑函书面形式是指以纸质形式向采购人、采购代理机构当面递交，质疑函包括供应商的姓名或者名称、地址、邮编、联系人及联系电话等信息，格式详见响应人须知。</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供应商对采购单位的质疑答复不满意，或者招标采购单位未在规定期限内作出答复的，供应商可以在答复期满后15个工作日内依照《政府采购质疑和投诉办法》向同级财政部门（政府采购监管部门）提起投诉，各级财政部门（政府采购监管部门）投诉受理电话如下：</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（1）珠海市政府采购监管部门，电话：0756-2602078、0756-2653852；</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（2）珠海市香洲区政府采购监管部门，电话：0756-2663712、0756-2525301；</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（3）珠海市金湾区政府采购监管部门，电话：0756-7799631、0756- 7263993；</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（4）珠海市斗门区政府采购监管部门，电话：0756-2782356、0756-2782351；</w:t>
            </w:r>
          </w:p>
          <w:p>
            <w:pPr>
              <w:spacing w:line="360" w:lineRule="auto"/>
              <w:rPr>
                <w:rFonts w:hint="eastAsia" w:ascii="仿宋_GB2312" w:hAnsi="仿宋_GB2312" w:eastAsia="仿宋_GB2312" w:cs="仿宋_GB2312"/>
                <w:sz w:val="24"/>
              </w:rPr>
            </w:pPr>
            <w:r>
              <w:rPr>
                <w:rFonts w:hint="eastAsia" w:ascii="仿宋_GB2312" w:hAnsi="仿宋_GB2312" w:eastAsia="仿宋_GB2312" w:cs="仿宋_GB2312"/>
                <w:sz w:val="24"/>
              </w:rPr>
              <w:t>（5）横琴粤澳深度合作区财政局，    电话：0756-8937663</w:t>
            </w:r>
          </w:p>
          <w:p>
            <w:pPr>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sz w:val="24"/>
              </w:rPr>
              <w:t>（6）珠海市高新区政府采购监管部门，电话：0756-3629027。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6" w:hRule="atLeast"/>
        </w:trPr>
        <w:tc>
          <w:tcPr>
            <w:tcW w:w="9282" w:type="dxa"/>
            <w:gridSpan w:val="2"/>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b/>
                <w:sz w:val="24"/>
                <w:szCs w:val="24"/>
              </w:rPr>
              <w:t>六、授予合同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05" w:type="dxa"/>
            <w:vAlign w:val="center"/>
          </w:tcPr>
          <w:p>
            <w:pPr>
              <w:snapToGrid w:val="0"/>
              <w:spacing w:line="360" w:lineRule="auto"/>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31.1</w:t>
            </w:r>
          </w:p>
        </w:tc>
        <w:tc>
          <w:tcPr>
            <w:tcW w:w="8377" w:type="dxa"/>
            <w:vAlign w:val="center"/>
          </w:tcPr>
          <w:p>
            <w:pPr>
              <w:snapToGrid w:val="0"/>
              <w:spacing w:line="360" w:lineRule="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合同签订时间：自《成交通知书》发出之日起三十日内。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05" w:type="dxa"/>
            <w:vAlign w:val="center"/>
          </w:tcPr>
          <w:p>
            <w:pPr>
              <w:snapToGrid w:val="0"/>
              <w:spacing w:line="360" w:lineRule="auto"/>
              <w:jc w:val="center"/>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33.1</w:t>
            </w:r>
          </w:p>
        </w:tc>
        <w:tc>
          <w:tcPr>
            <w:tcW w:w="8377" w:type="dxa"/>
            <w:vAlign w:val="center"/>
          </w:tcPr>
          <w:p>
            <w:pPr>
              <w:snapToGrid w:val="0"/>
              <w:spacing w:line="360" w:lineRule="auto"/>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履约保证金：无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905" w:type="dxa"/>
            <w:vAlign w:val="center"/>
          </w:tcPr>
          <w:p>
            <w:pPr>
              <w:snapToGri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34.1</w:t>
            </w:r>
          </w:p>
        </w:tc>
        <w:tc>
          <w:tcPr>
            <w:tcW w:w="8377" w:type="dxa"/>
            <w:vAlign w:val="center"/>
          </w:tcPr>
          <w:p>
            <w:pPr>
              <w:numPr>
                <w:ilvl w:val="0"/>
                <w:numId w:val="3"/>
              </w:numPr>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以成交通知书中的成交金额作为采购代理服务费的计算基数。采购代理服务费收费采用差额定率累进法计算方式。由成交供应商向采购代理机构支付，低于人民币伍仟元的按人民币伍仟元计算。收费标准=基准金额×收费费率+速算增加数:①基准金额100万元以下：收费费率为1.80%（无速算增加数），②基准金额100-500万元：收费费率为0.96%（速算增加数为0.84万元）。</w:t>
            </w:r>
          </w:p>
          <w:p>
            <w:pPr>
              <w:numPr>
                <w:ilvl w:val="0"/>
                <w:numId w:val="3"/>
              </w:numPr>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采购代理服务费的缴纳形式： 向政府采购代理机构直接缴纳采购代理服务费。以银行转账方式将采购代理服务费付至：</w:t>
            </w:r>
          </w:p>
          <w:p>
            <w:pPr>
              <w:pStyle w:val="5"/>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收款人名称：珠海华信达工程顾问有限公司  </w:t>
            </w:r>
          </w:p>
          <w:p>
            <w:pPr>
              <w:pStyle w:val="5"/>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开户银行：中信银行股份有限公司横琴粤澳深度合作区分行</w:t>
            </w:r>
          </w:p>
          <w:p>
            <w:pPr>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账    号：8110901012301702951</w:t>
            </w:r>
          </w:p>
        </w:tc>
      </w:tr>
    </w:tbl>
    <w:p>
      <w:pPr>
        <w:widowControl w:val="0"/>
        <w:tabs>
          <w:tab w:val="left" w:pos="851"/>
        </w:tabs>
        <w:autoSpaceDE w:val="0"/>
        <w:autoSpaceDN w:val="0"/>
        <w:adjustRightInd w:val="0"/>
        <w:spacing w:line="360" w:lineRule="auto"/>
        <w:jc w:val="center"/>
        <w:rPr>
          <w:rFonts w:hint="eastAsia" w:ascii="仿宋_GB2312" w:hAnsi="仿宋_GB2312" w:eastAsia="仿宋_GB2312" w:cs="仿宋_GB2312"/>
          <w:b/>
          <w:sz w:val="28"/>
          <w:szCs w:val="28"/>
        </w:rPr>
      </w:pPr>
      <w:bookmarkStart w:id="5" w:name="_Toc410738930"/>
      <w:bookmarkEnd w:id="5"/>
      <w:bookmarkStart w:id="6" w:name="_Toc410736130"/>
      <w:bookmarkEnd w:id="6"/>
    </w:p>
    <w:p>
      <w:pPr>
        <w:widowControl w:val="0"/>
        <w:tabs>
          <w:tab w:val="left" w:pos="851"/>
        </w:tabs>
        <w:autoSpaceDE w:val="0"/>
        <w:autoSpaceDN w:val="0"/>
        <w:adjustRightInd w:val="0"/>
        <w:spacing w:line="360" w:lineRule="auto"/>
        <w:jc w:val="center"/>
        <w:rPr>
          <w:rFonts w:hint="eastAsia" w:ascii="仿宋_GB2312" w:hAnsi="仿宋_GB2312" w:eastAsia="仿宋_GB2312" w:cs="仿宋_GB2312"/>
          <w:b/>
          <w:sz w:val="28"/>
          <w:szCs w:val="28"/>
        </w:rPr>
      </w:pPr>
    </w:p>
    <w:p>
      <w:pPr>
        <w:widowControl w:val="0"/>
        <w:tabs>
          <w:tab w:val="left" w:pos="851"/>
        </w:tabs>
        <w:autoSpaceDE w:val="0"/>
        <w:autoSpaceDN w:val="0"/>
        <w:adjustRightInd w:val="0"/>
        <w:spacing w:line="360" w:lineRule="auto"/>
        <w:jc w:val="center"/>
        <w:rPr>
          <w:rFonts w:hint="eastAsia" w:ascii="仿宋_GB2312" w:hAnsi="仿宋_GB2312" w:eastAsia="仿宋_GB2312" w:cs="仿宋_GB2312"/>
          <w:b/>
          <w:sz w:val="28"/>
          <w:szCs w:val="28"/>
        </w:rPr>
      </w:pPr>
    </w:p>
    <w:p>
      <w:pPr>
        <w:pStyle w:val="14"/>
        <w:rPr>
          <w:rFonts w:hint="eastAsia" w:ascii="仿宋_GB2312" w:hAnsi="仿宋_GB2312" w:eastAsia="仿宋_GB2312" w:cs="仿宋_GB2312"/>
          <w:b/>
          <w:sz w:val="28"/>
          <w:szCs w:val="28"/>
        </w:rPr>
      </w:pPr>
    </w:p>
    <w:p>
      <w:pPr>
        <w:pStyle w:val="14"/>
        <w:rPr>
          <w:rFonts w:hint="eastAsia" w:ascii="仿宋_GB2312" w:hAnsi="仿宋_GB2312" w:eastAsia="仿宋_GB2312" w:cs="仿宋_GB2312"/>
          <w:b/>
          <w:sz w:val="28"/>
          <w:szCs w:val="28"/>
        </w:rPr>
      </w:pPr>
    </w:p>
    <w:p>
      <w:pPr>
        <w:pStyle w:val="14"/>
        <w:rPr>
          <w:rFonts w:hint="eastAsia" w:ascii="仿宋_GB2312" w:hAnsi="仿宋_GB2312" w:eastAsia="仿宋_GB2312" w:cs="仿宋_GB2312"/>
          <w:b/>
          <w:sz w:val="28"/>
          <w:szCs w:val="28"/>
        </w:rPr>
      </w:pPr>
    </w:p>
    <w:p>
      <w:pPr>
        <w:pStyle w:val="14"/>
        <w:rPr>
          <w:rFonts w:hint="eastAsia" w:ascii="仿宋_GB2312" w:hAnsi="仿宋_GB2312" w:eastAsia="仿宋_GB2312" w:cs="仿宋_GB2312"/>
          <w:b/>
          <w:sz w:val="28"/>
          <w:szCs w:val="28"/>
        </w:rPr>
      </w:pPr>
    </w:p>
    <w:p>
      <w:pPr>
        <w:pStyle w:val="14"/>
        <w:rPr>
          <w:rFonts w:hint="eastAsia" w:ascii="仿宋_GB2312" w:hAnsi="仿宋_GB2312" w:eastAsia="仿宋_GB2312" w:cs="仿宋_GB2312"/>
          <w:b/>
          <w:sz w:val="28"/>
          <w:szCs w:val="28"/>
        </w:rPr>
      </w:pPr>
    </w:p>
    <w:p>
      <w:pPr>
        <w:pStyle w:val="14"/>
        <w:rPr>
          <w:rFonts w:hint="eastAsia" w:ascii="仿宋_GB2312" w:hAnsi="仿宋_GB2312" w:eastAsia="仿宋_GB2312" w:cs="仿宋_GB2312"/>
          <w:b/>
          <w:sz w:val="28"/>
          <w:szCs w:val="28"/>
        </w:rPr>
      </w:pPr>
    </w:p>
    <w:p>
      <w:pPr>
        <w:pStyle w:val="14"/>
        <w:rPr>
          <w:rFonts w:hint="eastAsia" w:ascii="仿宋_GB2312" w:hAnsi="仿宋_GB2312" w:eastAsia="仿宋_GB2312" w:cs="仿宋_GB2312"/>
          <w:b/>
          <w:sz w:val="28"/>
          <w:szCs w:val="28"/>
        </w:rPr>
      </w:pPr>
    </w:p>
    <w:p>
      <w:pPr>
        <w:pStyle w:val="14"/>
        <w:rPr>
          <w:rFonts w:hint="eastAsia" w:ascii="仿宋_GB2312" w:hAnsi="仿宋_GB2312" w:eastAsia="仿宋_GB2312" w:cs="仿宋_GB2312"/>
          <w:b/>
          <w:sz w:val="28"/>
          <w:szCs w:val="28"/>
        </w:rPr>
      </w:pPr>
    </w:p>
    <w:p>
      <w:pPr>
        <w:pStyle w:val="14"/>
        <w:rPr>
          <w:rFonts w:hint="eastAsia" w:ascii="仿宋_GB2312" w:hAnsi="仿宋_GB2312" w:eastAsia="仿宋_GB2312" w:cs="仿宋_GB2312"/>
          <w:b/>
          <w:sz w:val="28"/>
          <w:szCs w:val="28"/>
        </w:rPr>
      </w:pPr>
    </w:p>
    <w:p>
      <w:pPr>
        <w:pStyle w:val="14"/>
        <w:rPr>
          <w:rFonts w:hint="eastAsia" w:ascii="仿宋_GB2312" w:hAnsi="仿宋_GB2312" w:eastAsia="仿宋_GB2312" w:cs="仿宋_GB2312"/>
          <w:b/>
          <w:sz w:val="28"/>
          <w:szCs w:val="28"/>
        </w:rPr>
      </w:pPr>
    </w:p>
    <w:p>
      <w:pPr>
        <w:pStyle w:val="14"/>
        <w:rPr>
          <w:rFonts w:hint="eastAsia" w:ascii="仿宋_GB2312" w:hAnsi="仿宋_GB2312" w:eastAsia="仿宋_GB2312" w:cs="仿宋_GB2312"/>
          <w:b/>
          <w:sz w:val="28"/>
          <w:szCs w:val="28"/>
        </w:rPr>
      </w:pPr>
    </w:p>
    <w:p>
      <w:pPr>
        <w:pStyle w:val="14"/>
        <w:rPr>
          <w:rFonts w:hint="eastAsia" w:ascii="仿宋_GB2312" w:hAnsi="仿宋_GB2312" w:eastAsia="仿宋_GB2312" w:cs="仿宋_GB2312"/>
          <w:b/>
          <w:sz w:val="28"/>
          <w:szCs w:val="28"/>
        </w:rPr>
      </w:pPr>
    </w:p>
    <w:p>
      <w:pPr>
        <w:widowControl w:val="0"/>
        <w:tabs>
          <w:tab w:val="left" w:pos="851"/>
        </w:tabs>
        <w:autoSpaceDE w:val="0"/>
        <w:autoSpaceDN w:val="0"/>
        <w:adjustRightInd w:val="0"/>
        <w:spacing w:line="360" w:lineRule="auto"/>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一、资格和符合性审查表</w:t>
      </w:r>
    </w:p>
    <w:tbl>
      <w:tblPr>
        <w:tblStyle w:val="25"/>
        <w:tblW w:w="9067" w:type="dxa"/>
        <w:jc w:val="center"/>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Layout w:type="fixed"/>
        <w:tblCellMar>
          <w:top w:w="150" w:type="dxa"/>
          <w:left w:w="150" w:type="dxa"/>
          <w:bottom w:w="150" w:type="dxa"/>
          <w:right w:w="150" w:type="dxa"/>
        </w:tblCellMar>
      </w:tblPr>
      <w:tblGrid>
        <w:gridCol w:w="1500"/>
        <w:gridCol w:w="7567"/>
      </w:tblGrid>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jc w:val="center"/>
        </w:trPr>
        <w:tc>
          <w:tcPr>
            <w:tcW w:w="1500" w:type="dxa"/>
            <w:tcBorders>
              <w:top w:val="outset" w:color="111111" w:sz="6" w:space="0"/>
              <w:left w:val="outset" w:color="111111" w:sz="6" w:space="0"/>
              <w:bottom w:val="outset" w:color="111111" w:sz="6" w:space="0"/>
              <w:right w:val="outset" w:color="111111" w:sz="6" w:space="0"/>
            </w:tcBorders>
            <w:vAlign w:val="center"/>
          </w:tcPr>
          <w:p>
            <w:pPr>
              <w:jc w:val="center"/>
              <w:rPr>
                <w:rFonts w:hint="eastAsia" w:ascii="仿宋_GB2312" w:hAnsi="仿宋_GB2312" w:eastAsia="仿宋_GB2312" w:cs="仿宋_GB2312"/>
                <w:szCs w:val="21"/>
              </w:rPr>
            </w:pPr>
            <w:r>
              <w:rPr>
                <w:rStyle w:val="27"/>
                <w:rFonts w:hint="eastAsia" w:ascii="仿宋_GB2312" w:hAnsi="仿宋_GB2312" w:eastAsia="仿宋_GB2312" w:cs="仿宋_GB2312"/>
                <w:szCs w:val="21"/>
              </w:rPr>
              <w:t>审查项目</w:t>
            </w:r>
          </w:p>
        </w:tc>
        <w:tc>
          <w:tcPr>
            <w:tcW w:w="7567" w:type="dxa"/>
            <w:tcBorders>
              <w:top w:val="outset" w:color="111111" w:sz="6" w:space="0"/>
              <w:left w:val="outset" w:color="111111" w:sz="6" w:space="0"/>
              <w:bottom w:val="outset" w:color="111111" w:sz="6" w:space="0"/>
              <w:right w:val="outset" w:color="111111" w:sz="6" w:space="0"/>
            </w:tcBorders>
            <w:vAlign w:val="center"/>
          </w:tcPr>
          <w:p>
            <w:pPr>
              <w:jc w:val="center"/>
              <w:rPr>
                <w:rFonts w:hint="eastAsia" w:ascii="仿宋_GB2312" w:hAnsi="仿宋_GB2312" w:eastAsia="仿宋_GB2312" w:cs="仿宋_GB2312"/>
                <w:szCs w:val="21"/>
              </w:rPr>
            </w:pPr>
            <w:r>
              <w:rPr>
                <w:rStyle w:val="27"/>
                <w:rFonts w:hint="eastAsia" w:ascii="仿宋_GB2312" w:hAnsi="仿宋_GB2312" w:eastAsia="仿宋_GB2312" w:cs="仿宋_GB2312"/>
                <w:szCs w:val="21"/>
              </w:rPr>
              <w:t>要求</w:t>
            </w:r>
            <w:r>
              <w:rPr>
                <w:rFonts w:hint="eastAsia" w:ascii="仿宋_GB2312" w:hAnsi="仿宋_GB2312" w:eastAsia="仿宋_GB2312" w:cs="仿宋_GB2312"/>
                <w:szCs w:val="21"/>
              </w:rPr>
              <w:t>（与公告中响应人资格要求一致）</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jc w:val="center"/>
        </w:trPr>
        <w:tc>
          <w:tcPr>
            <w:tcW w:w="1500" w:type="dxa"/>
            <w:tcBorders>
              <w:top w:val="outset" w:color="111111" w:sz="6" w:space="0"/>
              <w:left w:val="outset" w:color="111111" w:sz="6" w:space="0"/>
              <w:right w:val="outset" w:color="111111" w:sz="6" w:space="0"/>
            </w:tcBorders>
            <w:vAlign w:val="center"/>
          </w:tcPr>
          <w:p>
            <w:pPr>
              <w:pStyle w:val="2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资格性审查</w:t>
            </w:r>
          </w:p>
        </w:tc>
        <w:tc>
          <w:tcPr>
            <w:tcW w:w="7567" w:type="dxa"/>
            <w:tcBorders>
              <w:top w:val="outset" w:color="111111" w:sz="6" w:space="0"/>
              <w:left w:val="outset" w:color="111111" w:sz="6" w:space="0"/>
              <w:bottom w:val="outset" w:color="111111" w:sz="6" w:space="0"/>
              <w:right w:val="outset" w:color="111111" w:sz="6" w:space="0"/>
            </w:tcBorders>
            <w:vAlign w:val="center"/>
          </w:tcPr>
          <w:p>
            <w:pPr>
              <w:rPr>
                <w:rFonts w:hint="eastAsia" w:ascii="仿宋_GB2312" w:hAnsi="仿宋_GB2312" w:eastAsia="仿宋_GB2312" w:cs="仿宋_GB2312"/>
                <w:szCs w:val="21"/>
              </w:rPr>
            </w:pPr>
            <w:r>
              <w:rPr>
                <w:rFonts w:hint="eastAsia" w:ascii="仿宋_GB2312" w:hAnsi="仿宋_GB2312" w:eastAsia="仿宋_GB2312" w:cs="仿宋_GB2312"/>
                <w:szCs w:val="21"/>
              </w:rPr>
              <w:t>响应人满足资格要求且资格证明文件齐全。</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jc w:val="center"/>
        </w:trPr>
        <w:tc>
          <w:tcPr>
            <w:tcW w:w="9067" w:type="dxa"/>
            <w:gridSpan w:val="2"/>
            <w:tcBorders>
              <w:top w:val="outset" w:color="111111" w:sz="6" w:space="0"/>
              <w:left w:val="outset" w:color="111111" w:sz="6" w:space="0"/>
              <w:bottom w:val="outset" w:color="111111" w:sz="6" w:space="0"/>
              <w:right w:val="outset" w:color="111111" w:sz="6" w:space="0"/>
            </w:tcBorders>
            <w:vAlign w:val="center"/>
          </w:tcPr>
          <w:p>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不能通过资格性审查的响应人，不需进行以下内容的审查。</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jc w:val="center"/>
        </w:trPr>
        <w:tc>
          <w:tcPr>
            <w:tcW w:w="1500" w:type="dxa"/>
            <w:vMerge w:val="restart"/>
            <w:tcBorders>
              <w:top w:val="outset" w:color="111111" w:sz="6" w:space="0"/>
              <w:left w:val="outset" w:color="111111" w:sz="6" w:space="0"/>
              <w:bottom w:val="outset" w:color="111111" w:sz="6" w:space="0"/>
              <w:right w:val="outset" w:color="111111" w:sz="6" w:space="0"/>
            </w:tcBorders>
            <w:vAlign w:val="center"/>
          </w:tcPr>
          <w:p>
            <w:pPr>
              <w:pStyle w:val="2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符合性审查</w:t>
            </w:r>
          </w:p>
        </w:tc>
        <w:tc>
          <w:tcPr>
            <w:tcW w:w="7567" w:type="dxa"/>
            <w:tcBorders>
              <w:top w:val="outset" w:color="111111" w:sz="6" w:space="0"/>
              <w:left w:val="outset" w:color="111111" w:sz="6" w:space="0"/>
              <w:bottom w:val="outset" w:color="111111" w:sz="6" w:space="0"/>
              <w:right w:val="outset" w:color="111111" w:sz="6" w:space="0"/>
            </w:tcBorders>
            <w:vAlign w:val="center"/>
          </w:tcPr>
          <w:p>
            <w:pPr>
              <w:rPr>
                <w:rFonts w:hint="eastAsia" w:ascii="仿宋_GB2312" w:hAnsi="仿宋_GB2312" w:eastAsia="仿宋_GB2312" w:cs="仿宋_GB2312"/>
                <w:szCs w:val="21"/>
              </w:rPr>
            </w:pPr>
            <w:r>
              <w:rPr>
                <w:rFonts w:hint="eastAsia" w:ascii="仿宋_GB2312" w:hAnsi="仿宋_GB2312" w:eastAsia="仿宋_GB2312" w:cs="仿宋_GB2312"/>
                <w:szCs w:val="21"/>
              </w:rPr>
              <w:t>1、最后报价未超过本项目的最高限价。</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jc w:val="center"/>
        </w:trPr>
        <w:tc>
          <w:tcPr>
            <w:tcW w:w="1500" w:type="dxa"/>
            <w:vMerge w:val="continue"/>
            <w:tcBorders>
              <w:top w:val="outset" w:color="111111" w:sz="6" w:space="0"/>
              <w:left w:val="outset" w:color="111111" w:sz="6" w:space="0"/>
              <w:bottom w:val="outset" w:color="111111" w:sz="6" w:space="0"/>
              <w:right w:val="outset" w:color="111111" w:sz="6" w:space="0"/>
            </w:tcBorders>
            <w:vAlign w:val="center"/>
          </w:tcPr>
          <w:p>
            <w:pPr>
              <w:rPr>
                <w:rFonts w:hint="eastAsia" w:ascii="仿宋_GB2312" w:hAnsi="仿宋_GB2312" w:eastAsia="仿宋_GB2312" w:cs="仿宋_GB2312"/>
                <w:szCs w:val="21"/>
              </w:rPr>
            </w:pPr>
          </w:p>
        </w:tc>
        <w:tc>
          <w:tcPr>
            <w:tcW w:w="7567" w:type="dxa"/>
            <w:tcBorders>
              <w:top w:val="outset" w:color="111111" w:sz="6" w:space="0"/>
              <w:left w:val="outset" w:color="111111" w:sz="6" w:space="0"/>
              <w:bottom w:val="outset" w:color="111111" w:sz="6" w:space="0"/>
              <w:right w:val="outset" w:color="111111" w:sz="6" w:space="0"/>
            </w:tcBorders>
            <w:vAlign w:val="center"/>
          </w:tcPr>
          <w:p>
            <w:pPr>
              <w:rPr>
                <w:rFonts w:hint="eastAsia" w:ascii="仿宋_GB2312" w:hAnsi="仿宋_GB2312" w:eastAsia="仿宋_GB2312" w:cs="仿宋_GB2312"/>
                <w:szCs w:val="21"/>
              </w:rPr>
            </w:pPr>
            <w:r>
              <w:rPr>
                <w:rFonts w:hint="eastAsia" w:ascii="仿宋_GB2312" w:hAnsi="仿宋_GB2312" w:eastAsia="仿宋_GB2312" w:cs="仿宋_GB2312"/>
                <w:szCs w:val="21"/>
              </w:rPr>
              <w:t>2、磋商函已提交并符合竞争性磋商文件要求的。</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jc w:val="center"/>
        </w:trPr>
        <w:tc>
          <w:tcPr>
            <w:tcW w:w="1500" w:type="dxa"/>
            <w:vMerge w:val="continue"/>
            <w:tcBorders>
              <w:top w:val="outset" w:color="111111" w:sz="6" w:space="0"/>
              <w:left w:val="outset" w:color="111111" w:sz="6" w:space="0"/>
              <w:bottom w:val="outset" w:color="111111" w:sz="6" w:space="0"/>
              <w:right w:val="outset" w:color="111111" w:sz="6" w:space="0"/>
            </w:tcBorders>
            <w:vAlign w:val="center"/>
          </w:tcPr>
          <w:p>
            <w:pPr>
              <w:rPr>
                <w:rFonts w:hint="eastAsia" w:ascii="仿宋_GB2312" w:hAnsi="仿宋_GB2312" w:eastAsia="仿宋_GB2312" w:cs="仿宋_GB2312"/>
                <w:szCs w:val="21"/>
              </w:rPr>
            </w:pPr>
          </w:p>
        </w:tc>
        <w:tc>
          <w:tcPr>
            <w:tcW w:w="7567" w:type="dxa"/>
            <w:tcBorders>
              <w:top w:val="outset" w:color="111111" w:sz="6" w:space="0"/>
              <w:left w:val="outset" w:color="111111" w:sz="6" w:space="0"/>
              <w:bottom w:val="outset" w:color="111111" w:sz="6" w:space="0"/>
              <w:right w:val="outset" w:color="111111" w:sz="6" w:space="0"/>
            </w:tcBorders>
            <w:vAlign w:val="center"/>
          </w:tcPr>
          <w:p>
            <w:pPr>
              <w:rPr>
                <w:rFonts w:hint="eastAsia" w:ascii="仿宋_GB2312" w:hAnsi="仿宋_GB2312" w:eastAsia="仿宋_GB2312" w:cs="仿宋_GB2312"/>
                <w:szCs w:val="21"/>
              </w:rPr>
            </w:pPr>
            <w:r>
              <w:rPr>
                <w:rFonts w:hint="eastAsia" w:ascii="仿宋_GB2312" w:hAnsi="仿宋_GB2312" w:eastAsia="仿宋_GB2312" w:cs="仿宋_GB2312"/>
                <w:szCs w:val="21"/>
              </w:rPr>
              <w:t>3、磋商有效期为</w:t>
            </w:r>
            <w:r>
              <w:rPr>
                <w:rFonts w:ascii="仿宋_GB2312" w:hAnsi="仿宋_GB2312" w:eastAsia="仿宋_GB2312" w:cs="仿宋_GB2312"/>
                <w:szCs w:val="21"/>
              </w:rPr>
              <w:t>开标之日起120日历天</w:t>
            </w:r>
            <w:r>
              <w:rPr>
                <w:rFonts w:hint="eastAsia" w:ascii="仿宋_GB2312" w:hAnsi="仿宋_GB2312" w:eastAsia="仿宋_GB2312" w:cs="仿宋_GB2312"/>
                <w:szCs w:val="21"/>
              </w:rPr>
              <w:t>。</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jc w:val="center"/>
        </w:trPr>
        <w:tc>
          <w:tcPr>
            <w:tcW w:w="1500" w:type="dxa"/>
            <w:vMerge w:val="continue"/>
            <w:tcBorders>
              <w:top w:val="outset" w:color="111111" w:sz="6" w:space="0"/>
              <w:left w:val="outset" w:color="111111" w:sz="6" w:space="0"/>
              <w:bottom w:val="outset" w:color="111111" w:sz="6" w:space="0"/>
              <w:right w:val="outset" w:color="111111" w:sz="6" w:space="0"/>
            </w:tcBorders>
            <w:vAlign w:val="center"/>
          </w:tcPr>
          <w:p>
            <w:pPr>
              <w:rPr>
                <w:rFonts w:hint="eastAsia" w:ascii="仿宋_GB2312" w:hAnsi="仿宋_GB2312" w:eastAsia="仿宋_GB2312" w:cs="仿宋_GB2312"/>
                <w:szCs w:val="21"/>
              </w:rPr>
            </w:pPr>
          </w:p>
        </w:tc>
        <w:tc>
          <w:tcPr>
            <w:tcW w:w="7567" w:type="dxa"/>
            <w:tcBorders>
              <w:top w:val="outset" w:color="111111" w:sz="6" w:space="0"/>
              <w:left w:val="outset" w:color="111111" w:sz="6" w:space="0"/>
              <w:bottom w:val="outset" w:color="111111" w:sz="6" w:space="0"/>
              <w:right w:val="outset" w:color="111111" w:sz="6" w:space="0"/>
            </w:tcBorders>
            <w:vAlign w:val="center"/>
          </w:tcPr>
          <w:p>
            <w:pPr>
              <w:rPr>
                <w:rFonts w:hint="eastAsia" w:ascii="仿宋_GB2312" w:hAnsi="仿宋_GB2312" w:eastAsia="仿宋_GB2312" w:cs="仿宋_GB2312"/>
                <w:szCs w:val="21"/>
              </w:rPr>
            </w:pPr>
            <w:r>
              <w:rPr>
                <w:rFonts w:hint="eastAsia" w:ascii="仿宋_GB2312" w:hAnsi="仿宋_GB2312" w:eastAsia="仿宋_GB2312" w:cs="仿宋_GB2312"/>
                <w:szCs w:val="21"/>
              </w:rPr>
              <w:t>4、商务文本已提交（无重大偏离或保留）。</w:t>
            </w:r>
          </w:p>
        </w:tc>
      </w:tr>
      <w:tr>
        <w:tblPrEx>
          <w:tblBorders>
            <w:top w:val="outset" w:color="111111" w:sz="6" w:space="0"/>
            <w:left w:val="outset" w:color="111111" w:sz="6" w:space="0"/>
            <w:bottom w:val="outset" w:color="111111" w:sz="6" w:space="0"/>
            <w:right w:val="outset" w:color="111111" w:sz="6" w:space="0"/>
            <w:insideH w:val="none" w:color="auto" w:sz="0" w:space="0"/>
            <w:insideV w:val="none" w:color="auto" w:sz="0" w:space="0"/>
          </w:tblBorders>
          <w:tblCellMar>
            <w:top w:w="150" w:type="dxa"/>
            <w:left w:w="150" w:type="dxa"/>
            <w:bottom w:w="150" w:type="dxa"/>
            <w:right w:w="150" w:type="dxa"/>
          </w:tblCellMar>
        </w:tblPrEx>
        <w:trPr>
          <w:jc w:val="center"/>
        </w:trPr>
        <w:tc>
          <w:tcPr>
            <w:tcW w:w="1500" w:type="dxa"/>
            <w:vMerge w:val="continue"/>
            <w:tcBorders>
              <w:top w:val="outset" w:color="111111" w:sz="6" w:space="0"/>
              <w:left w:val="outset" w:color="111111" w:sz="6" w:space="0"/>
              <w:bottom w:val="outset" w:color="111111" w:sz="6" w:space="0"/>
              <w:right w:val="outset" w:color="111111" w:sz="6" w:space="0"/>
            </w:tcBorders>
            <w:vAlign w:val="center"/>
          </w:tcPr>
          <w:p>
            <w:pPr>
              <w:rPr>
                <w:rFonts w:hint="eastAsia" w:ascii="仿宋_GB2312" w:hAnsi="仿宋_GB2312" w:eastAsia="仿宋_GB2312" w:cs="仿宋_GB2312"/>
                <w:szCs w:val="21"/>
              </w:rPr>
            </w:pPr>
          </w:p>
        </w:tc>
        <w:tc>
          <w:tcPr>
            <w:tcW w:w="7567" w:type="dxa"/>
            <w:tcBorders>
              <w:top w:val="outset" w:color="111111" w:sz="6" w:space="0"/>
              <w:left w:val="outset" w:color="111111" w:sz="6" w:space="0"/>
              <w:bottom w:val="outset" w:color="111111" w:sz="6" w:space="0"/>
              <w:right w:val="outset" w:color="111111" w:sz="6" w:space="0"/>
            </w:tcBorders>
            <w:vAlign w:val="center"/>
          </w:tcPr>
          <w:p>
            <w:pPr>
              <w:rPr>
                <w:rFonts w:hint="eastAsia" w:ascii="仿宋_GB2312" w:hAnsi="仿宋_GB2312" w:eastAsia="仿宋_GB2312" w:cs="仿宋_GB2312"/>
                <w:szCs w:val="21"/>
              </w:rPr>
            </w:pPr>
            <w:r>
              <w:rPr>
                <w:rFonts w:hint="eastAsia" w:ascii="仿宋_GB2312" w:hAnsi="仿宋_GB2312" w:eastAsia="仿宋_GB2312" w:cs="仿宋_GB2312"/>
                <w:szCs w:val="21"/>
              </w:rPr>
              <w:t>5、没有其他未实质性响应文件要求的。</w:t>
            </w:r>
          </w:p>
        </w:tc>
      </w:tr>
    </w:tbl>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注：1. 每一项符合的打“√”，不符合的打“×”。</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2. “结论”一栏填写“通过”或“不通过”；任何一项出现“×”的，结论为不通过；不通过的为无效响应。</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3. 汇总时出现不同意见的，磋商小组按简单多数原则表决决定。</w:t>
      </w:r>
    </w:p>
    <w:p>
      <w:pPr>
        <w:widowControl w:val="0"/>
        <w:tabs>
          <w:tab w:val="left" w:pos="851"/>
        </w:tabs>
        <w:autoSpaceDE w:val="0"/>
        <w:autoSpaceDN w:val="0"/>
        <w:adjustRightInd w:val="0"/>
        <w:spacing w:line="360" w:lineRule="auto"/>
        <w:rPr>
          <w:rFonts w:hint="eastAsia" w:ascii="仿宋_GB2312" w:hAnsi="仿宋_GB2312" w:eastAsia="仿宋_GB2312" w:cs="仿宋_GB2312"/>
          <w:b/>
          <w:sz w:val="28"/>
          <w:szCs w:val="28"/>
        </w:rPr>
      </w:pPr>
      <w:r>
        <w:rPr>
          <w:rFonts w:hint="eastAsia" w:ascii="仿宋_GB2312" w:hAnsi="仿宋_GB2312" w:eastAsia="仿宋_GB2312" w:cs="仿宋_GB2312"/>
          <w:szCs w:val="21"/>
        </w:rPr>
        <w:t>4. 如果磋商小组发现响应人的报价明显低于其他响应报价，使得其响应报价可能低于其个别成本的，将要求该响应人作书面说明并提供相关证明材料。</w:t>
      </w:r>
    </w:p>
    <w:p>
      <w:pPr>
        <w:pStyle w:val="23"/>
        <w:ind w:firstLine="210"/>
        <w:rPr>
          <w:rFonts w:hint="eastAsia" w:ascii="仿宋_GB2312" w:hAnsi="仿宋_GB2312" w:eastAsia="仿宋_GB2312" w:cs="仿宋_GB2312"/>
        </w:rPr>
      </w:pPr>
    </w:p>
    <w:p>
      <w:pPr>
        <w:pStyle w:val="23"/>
        <w:ind w:firstLine="210"/>
        <w:rPr>
          <w:rFonts w:hint="eastAsia" w:ascii="仿宋_GB2312" w:hAnsi="仿宋_GB2312" w:eastAsia="仿宋_GB2312" w:cs="仿宋_GB2312"/>
        </w:rPr>
      </w:pPr>
    </w:p>
    <w:p>
      <w:pPr>
        <w:pStyle w:val="23"/>
        <w:ind w:firstLine="210"/>
        <w:rPr>
          <w:rFonts w:hint="eastAsia" w:ascii="仿宋_GB2312" w:hAnsi="仿宋_GB2312" w:eastAsia="仿宋_GB2312" w:cs="仿宋_GB2312"/>
        </w:rPr>
      </w:pPr>
    </w:p>
    <w:p>
      <w:pPr>
        <w:pStyle w:val="23"/>
        <w:ind w:firstLine="210"/>
        <w:rPr>
          <w:rFonts w:hint="eastAsia" w:ascii="仿宋_GB2312" w:hAnsi="仿宋_GB2312" w:eastAsia="仿宋_GB2312" w:cs="仿宋_GB2312"/>
        </w:rPr>
      </w:pPr>
    </w:p>
    <w:p>
      <w:pPr>
        <w:pStyle w:val="23"/>
        <w:ind w:firstLine="210"/>
        <w:rPr>
          <w:rFonts w:hint="eastAsia" w:ascii="仿宋_GB2312" w:hAnsi="仿宋_GB2312" w:eastAsia="仿宋_GB2312" w:cs="仿宋_GB2312"/>
        </w:rPr>
      </w:pPr>
    </w:p>
    <w:p>
      <w:pPr>
        <w:pStyle w:val="23"/>
        <w:ind w:firstLine="210"/>
        <w:rPr>
          <w:rFonts w:hint="eastAsia" w:ascii="仿宋_GB2312" w:hAnsi="仿宋_GB2312" w:eastAsia="仿宋_GB2312" w:cs="仿宋_GB2312"/>
        </w:rPr>
      </w:pPr>
    </w:p>
    <w:p>
      <w:pPr>
        <w:pStyle w:val="23"/>
        <w:ind w:firstLine="0" w:firstLineChars="0"/>
        <w:rPr>
          <w:rFonts w:hint="eastAsia" w:ascii="仿宋_GB2312" w:hAnsi="仿宋_GB2312" w:eastAsia="仿宋_GB2312" w:cs="仿宋_GB2312"/>
        </w:rPr>
      </w:pPr>
    </w:p>
    <w:p>
      <w:pPr>
        <w:pStyle w:val="23"/>
        <w:ind w:firstLine="0" w:firstLineChars="0"/>
        <w:rPr>
          <w:rFonts w:hint="eastAsia" w:ascii="仿宋_GB2312" w:hAnsi="仿宋_GB2312" w:eastAsia="仿宋_GB2312" w:cs="仿宋_GB2312"/>
        </w:rPr>
      </w:pPr>
    </w:p>
    <w:p>
      <w:pPr>
        <w:pStyle w:val="23"/>
        <w:ind w:firstLine="0" w:firstLineChars="0"/>
        <w:rPr>
          <w:rFonts w:hint="eastAsia" w:ascii="仿宋_GB2312" w:hAnsi="仿宋_GB2312" w:eastAsia="仿宋_GB2312" w:cs="仿宋_GB2312"/>
        </w:rPr>
      </w:pPr>
    </w:p>
    <w:p>
      <w:pPr>
        <w:pStyle w:val="23"/>
        <w:ind w:firstLine="0" w:firstLineChars="0"/>
        <w:rPr>
          <w:rFonts w:hint="eastAsia" w:ascii="仿宋_GB2312" w:hAnsi="仿宋_GB2312" w:eastAsia="仿宋_GB2312" w:cs="仿宋_GB2312"/>
        </w:rPr>
      </w:pPr>
    </w:p>
    <w:p>
      <w:pPr>
        <w:pStyle w:val="23"/>
        <w:ind w:firstLine="0" w:firstLineChars="0"/>
        <w:rPr>
          <w:rFonts w:hint="eastAsia" w:ascii="仿宋_GB2312" w:hAnsi="仿宋_GB2312" w:eastAsia="仿宋_GB2312" w:cs="仿宋_GB2312"/>
        </w:rPr>
      </w:pPr>
    </w:p>
    <w:p>
      <w:pPr>
        <w:pStyle w:val="23"/>
        <w:ind w:firstLine="0" w:firstLineChars="0"/>
        <w:rPr>
          <w:rFonts w:hint="eastAsia" w:ascii="仿宋_GB2312" w:hAnsi="仿宋_GB2312" w:eastAsia="仿宋_GB2312" w:cs="仿宋_GB2312"/>
        </w:rPr>
      </w:pPr>
    </w:p>
    <w:p>
      <w:pPr>
        <w:jc w:val="center"/>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评分细则</w:t>
      </w:r>
    </w:p>
    <w:tbl>
      <w:tblPr>
        <w:tblStyle w:val="25"/>
        <w:tblpPr w:leftFromText="180" w:rightFromText="180" w:vertAnchor="text" w:horzAnchor="page" w:tblpX="1827" w:tblpY="718"/>
        <w:tblOverlap w:val="never"/>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2"/>
        <w:gridCol w:w="1402"/>
        <w:gridCol w:w="5981"/>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pPr>
              <w:pStyle w:val="70"/>
              <w:jc w:val="center"/>
              <w:rPr>
                <w:rFonts w:ascii="仿宋" w:hAnsi="仿宋" w:eastAsia="仿宋" w:cs="仿宋"/>
              </w:rPr>
            </w:pPr>
            <w:r>
              <w:rPr>
                <w:rFonts w:ascii="仿宋" w:hAnsi="仿宋" w:eastAsia="仿宋" w:cs="仿宋"/>
              </w:rPr>
              <w:t>评审因素</w:t>
            </w:r>
          </w:p>
        </w:tc>
        <w:tc>
          <w:tcPr>
            <w:tcW w:w="7383" w:type="dxa"/>
            <w:gridSpan w:val="2"/>
          </w:tcPr>
          <w:p>
            <w:pPr>
              <w:pStyle w:val="70"/>
              <w:jc w:val="center"/>
              <w:rPr>
                <w:rFonts w:ascii="仿宋" w:hAnsi="仿宋" w:eastAsia="仿宋" w:cs="仿宋"/>
              </w:rPr>
            </w:pPr>
            <w:r>
              <w:rPr>
                <w:rFonts w:ascii="仿宋" w:hAnsi="仿宋" w:eastAsia="仿宋" w:cs="仿宋"/>
              </w:rPr>
              <w:t>评审标准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pPr>
              <w:pStyle w:val="70"/>
              <w:jc w:val="center"/>
              <w:rPr>
                <w:rFonts w:ascii="仿宋" w:hAnsi="仿宋" w:eastAsia="仿宋" w:cs="仿宋"/>
              </w:rPr>
            </w:pPr>
            <w:r>
              <w:rPr>
                <w:rFonts w:ascii="仿宋" w:hAnsi="仿宋" w:eastAsia="仿宋" w:cs="仿宋"/>
              </w:rPr>
              <w:t>分值构成</w:t>
            </w:r>
          </w:p>
        </w:tc>
        <w:tc>
          <w:tcPr>
            <w:tcW w:w="7383" w:type="dxa"/>
            <w:gridSpan w:val="2"/>
          </w:tcPr>
          <w:p>
            <w:pPr>
              <w:pStyle w:val="70"/>
              <w:rPr>
                <w:rFonts w:ascii="仿宋" w:hAnsi="仿宋" w:eastAsia="仿宋" w:cs="仿宋"/>
              </w:rPr>
            </w:pPr>
            <w:r>
              <w:rPr>
                <w:rFonts w:ascii="仿宋" w:hAnsi="仿宋" w:eastAsia="仿宋" w:cs="仿宋"/>
              </w:rPr>
              <w:t>商务部分</w:t>
            </w:r>
            <w:r>
              <w:rPr>
                <w:rFonts w:ascii="仿宋" w:hAnsi="仿宋" w:eastAsia="仿宋" w:cs="仿宋"/>
                <w:lang w:eastAsia="zh-CN"/>
              </w:rPr>
              <w:t>48</w:t>
            </w:r>
            <w:r>
              <w:rPr>
                <w:rFonts w:ascii="仿宋" w:hAnsi="仿宋" w:eastAsia="仿宋" w:cs="仿宋"/>
              </w:rPr>
              <w:t>.0分</w:t>
            </w:r>
          </w:p>
          <w:p>
            <w:pPr>
              <w:pStyle w:val="70"/>
              <w:rPr>
                <w:rFonts w:ascii="仿宋" w:hAnsi="仿宋" w:eastAsia="仿宋" w:cs="仿宋"/>
              </w:rPr>
            </w:pPr>
            <w:r>
              <w:rPr>
                <w:rFonts w:ascii="仿宋" w:hAnsi="仿宋" w:eastAsia="仿宋" w:cs="仿宋"/>
              </w:rPr>
              <w:t>技术部分</w:t>
            </w:r>
            <w:r>
              <w:rPr>
                <w:rFonts w:ascii="仿宋" w:hAnsi="仿宋" w:eastAsia="仿宋" w:cs="仿宋"/>
                <w:lang w:eastAsia="zh-CN"/>
              </w:rPr>
              <w:t>42</w:t>
            </w:r>
            <w:r>
              <w:rPr>
                <w:rFonts w:ascii="仿宋" w:hAnsi="仿宋" w:eastAsia="仿宋" w:cs="仿宋"/>
              </w:rPr>
              <w:t>.0分</w:t>
            </w:r>
          </w:p>
          <w:p>
            <w:pPr>
              <w:pStyle w:val="70"/>
              <w:rPr>
                <w:rFonts w:ascii="仿宋" w:hAnsi="仿宋" w:eastAsia="仿宋" w:cs="仿宋"/>
              </w:rPr>
            </w:pPr>
            <w:r>
              <w:rPr>
                <w:rFonts w:ascii="仿宋" w:hAnsi="仿宋" w:eastAsia="仿宋" w:cs="仿宋"/>
              </w:rPr>
              <w:t>报价得分10.0分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pPr>
              <w:pStyle w:val="70"/>
              <w:jc w:val="center"/>
              <w:rPr>
                <w:rFonts w:ascii="仿宋" w:hAnsi="仿宋" w:eastAsia="仿宋" w:cs="仿宋"/>
              </w:rPr>
            </w:pPr>
            <w:r>
              <w:rPr>
                <w:rFonts w:ascii="仿宋" w:hAnsi="仿宋" w:eastAsia="仿宋" w:cs="仿宋"/>
              </w:rPr>
              <w:t>技术部分</w:t>
            </w:r>
          </w:p>
        </w:tc>
        <w:tc>
          <w:tcPr>
            <w:tcW w:w="1402" w:type="dxa"/>
          </w:tcPr>
          <w:p>
            <w:pPr>
              <w:pStyle w:val="70"/>
              <w:rPr>
                <w:rFonts w:ascii="仿宋" w:hAnsi="仿宋" w:eastAsia="仿宋" w:cs="仿宋"/>
              </w:rPr>
            </w:pPr>
            <w:r>
              <w:rPr>
                <w:rFonts w:ascii="仿宋" w:hAnsi="仿宋" w:eastAsia="仿宋" w:cs="仿宋"/>
              </w:rPr>
              <w:t>项目服务需求分析理解 (</w:t>
            </w:r>
            <w:r>
              <w:rPr>
                <w:rFonts w:hint="eastAsia" w:ascii="仿宋" w:hAnsi="仿宋" w:eastAsia="仿宋" w:cs="仿宋"/>
                <w:lang w:val="en-US" w:eastAsia="zh-CN"/>
              </w:rPr>
              <w:t>9</w:t>
            </w:r>
            <w:r>
              <w:rPr>
                <w:rFonts w:ascii="仿宋" w:hAnsi="仿宋" w:eastAsia="仿宋" w:cs="仿宋"/>
              </w:rPr>
              <w:t>分)</w:t>
            </w:r>
          </w:p>
        </w:tc>
        <w:tc>
          <w:tcPr>
            <w:tcW w:w="5981" w:type="dxa"/>
          </w:tcPr>
          <w:p>
            <w:pPr>
              <w:pStyle w:val="70"/>
              <w:rPr>
                <w:rFonts w:ascii="仿宋" w:hAnsi="仿宋" w:eastAsia="仿宋" w:cs="仿宋"/>
              </w:rPr>
            </w:pPr>
            <w:r>
              <w:rPr>
                <w:rFonts w:ascii="仿宋" w:hAnsi="仿宋" w:eastAsia="仿宋" w:cs="仿宋"/>
              </w:rPr>
              <w:t>根据</w:t>
            </w:r>
            <w:r>
              <w:rPr>
                <w:rFonts w:ascii="仿宋" w:hAnsi="仿宋" w:eastAsia="仿宋" w:cs="仿宋"/>
                <w:lang w:eastAsia="zh-CN"/>
              </w:rPr>
              <w:t>响应</w:t>
            </w:r>
            <w:r>
              <w:rPr>
                <w:rFonts w:ascii="仿宋" w:hAnsi="仿宋" w:eastAsia="仿宋" w:cs="仿宋"/>
              </w:rPr>
              <w:t>人结合第</w:t>
            </w:r>
            <w:r>
              <w:rPr>
                <w:rFonts w:ascii="仿宋" w:hAnsi="仿宋" w:eastAsia="仿宋" w:cs="仿宋"/>
                <w:lang w:eastAsia="zh-CN"/>
              </w:rPr>
              <w:t>五</w:t>
            </w:r>
            <w:r>
              <w:rPr>
                <w:rFonts w:ascii="仿宋" w:hAnsi="仿宋" w:eastAsia="仿宋" w:cs="仿宋"/>
              </w:rPr>
              <w:t>章《</w:t>
            </w:r>
            <w:r>
              <w:rPr>
                <w:rFonts w:ascii="仿宋" w:hAnsi="仿宋" w:eastAsia="仿宋" w:cs="仿宋"/>
                <w:lang w:eastAsia="zh-CN"/>
              </w:rPr>
              <w:t>用户需求书</w:t>
            </w:r>
            <w:r>
              <w:rPr>
                <w:rFonts w:ascii="仿宋" w:hAnsi="仿宋" w:eastAsia="仿宋" w:cs="仿宋"/>
              </w:rPr>
              <w:t>》中的相关要求提供的项目服务需求分析理解（包括但不限于①以采购需求为基础对服务范围和要求、项目实施环境及条件的理解，在对采购需求充分理解的基础上作出重点难点分析，并提出解决办法；②结合国家、省、市及横琴粤澳深度合作区相关法律、法规及标准与要求规定作出风险分析并提出防范措施；③项目目标设置等）进行评审：</w:t>
            </w:r>
          </w:p>
          <w:p>
            <w:pPr>
              <w:pStyle w:val="70"/>
              <w:rPr>
                <w:rFonts w:ascii="仿宋" w:hAnsi="仿宋" w:eastAsia="仿宋" w:cs="仿宋"/>
              </w:rPr>
            </w:pPr>
            <w:r>
              <w:rPr>
                <w:rFonts w:hint="eastAsia" w:ascii="仿宋" w:hAnsi="仿宋" w:eastAsia="仿宋" w:cs="仿宋"/>
                <w:lang w:val="en-US" w:eastAsia="zh-CN"/>
              </w:rPr>
              <w:t>9</w:t>
            </w:r>
            <w:r>
              <w:rPr>
                <w:rFonts w:ascii="仿宋" w:hAnsi="仿宋" w:eastAsia="仿宋" w:cs="仿宋"/>
              </w:rPr>
              <w:t>分：针对上述全部量化指标作出了明确的响应，且每个量化指标完全满足或者优于采购需求；</w:t>
            </w:r>
          </w:p>
          <w:p>
            <w:pPr>
              <w:pStyle w:val="70"/>
              <w:rPr>
                <w:rFonts w:ascii="仿宋" w:hAnsi="仿宋" w:eastAsia="仿宋" w:cs="仿宋"/>
              </w:rPr>
            </w:pPr>
            <w:r>
              <w:rPr>
                <w:rFonts w:hint="eastAsia" w:ascii="仿宋" w:hAnsi="仿宋" w:eastAsia="仿宋" w:cs="仿宋"/>
                <w:lang w:val="en-US" w:eastAsia="zh-CN"/>
              </w:rPr>
              <w:t>6</w:t>
            </w:r>
            <w:r>
              <w:rPr>
                <w:rFonts w:ascii="仿宋" w:hAnsi="仿宋" w:eastAsia="仿宋" w:cs="仿宋"/>
              </w:rPr>
              <w:t>分：只针对上述量化指标中的其中2项作出明确响应，且相应量化指标完全满足或者优于这些量化指标所对应的采购需求；</w:t>
            </w:r>
          </w:p>
          <w:p>
            <w:pPr>
              <w:pStyle w:val="70"/>
              <w:rPr>
                <w:rFonts w:ascii="仿宋" w:hAnsi="仿宋" w:eastAsia="仿宋" w:cs="仿宋"/>
              </w:rPr>
            </w:pPr>
            <w:r>
              <w:rPr>
                <w:rFonts w:hint="eastAsia" w:ascii="仿宋" w:hAnsi="仿宋" w:eastAsia="仿宋" w:cs="仿宋"/>
                <w:lang w:val="en-US" w:eastAsia="zh-CN"/>
              </w:rPr>
              <w:t>3</w:t>
            </w:r>
            <w:r>
              <w:rPr>
                <w:rFonts w:ascii="仿宋" w:hAnsi="仿宋" w:eastAsia="仿宋" w:cs="仿宋"/>
              </w:rPr>
              <w:t>分：只针对上述量化指标中的其中1项作出明确响应，且相应量化指标完全满足或者优于该量化指标所对应的采购需求；</w:t>
            </w:r>
          </w:p>
          <w:p>
            <w:pPr>
              <w:pStyle w:val="70"/>
              <w:rPr>
                <w:rFonts w:ascii="仿宋" w:hAnsi="仿宋" w:eastAsia="仿宋" w:cs="仿宋"/>
              </w:rPr>
            </w:pPr>
            <w:r>
              <w:rPr>
                <w:rFonts w:ascii="仿宋" w:hAnsi="仿宋" w:eastAsia="仿宋" w:cs="仿宋"/>
              </w:rPr>
              <w:t>0分：未针对上述量化指标中的任何一项作出响应；或者虽针对上述全部量化指标作出了响应但均不能满足采购需求；或者未提供本项内容。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pPr>
              <w:rPr>
                <w:rFonts w:hint="eastAsia" w:ascii="仿宋" w:hAnsi="仿宋" w:eastAsia="仿宋" w:cs="仿宋"/>
              </w:rPr>
            </w:pPr>
          </w:p>
        </w:tc>
        <w:tc>
          <w:tcPr>
            <w:tcW w:w="1402" w:type="dxa"/>
          </w:tcPr>
          <w:p>
            <w:pPr>
              <w:pStyle w:val="70"/>
              <w:rPr>
                <w:rFonts w:ascii="仿宋" w:hAnsi="仿宋" w:eastAsia="仿宋" w:cs="仿宋"/>
              </w:rPr>
            </w:pPr>
            <w:r>
              <w:rPr>
                <w:rFonts w:ascii="仿宋" w:hAnsi="仿宋" w:eastAsia="仿宋" w:cs="仿宋"/>
              </w:rPr>
              <w:t>质量保证措施及项目进度保证措施 (</w:t>
            </w:r>
            <w:r>
              <w:rPr>
                <w:rFonts w:hint="eastAsia" w:ascii="仿宋" w:hAnsi="仿宋" w:eastAsia="仿宋" w:cs="仿宋"/>
                <w:lang w:val="en-US" w:eastAsia="zh-CN"/>
              </w:rPr>
              <w:t>9</w:t>
            </w:r>
            <w:r>
              <w:rPr>
                <w:rFonts w:ascii="仿宋" w:hAnsi="仿宋" w:eastAsia="仿宋" w:cs="仿宋"/>
              </w:rPr>
              <w:t>分)</w:t>
            </w:r>
          </w:p>
        </w:tc>
        <w:tc>
          <w:tcPr>
            <w:tcW w:w="5981" w:type="dxa"/>
          </w:tcPr>
          <w:p>
            <w:pPr>
              <w:pStyle w:val="70"/>
              <w:rPr>
                <w:rFonts w:ascii="仿宋" w:hAnsi="仿宋" w:eastAsia="仿宋" w:cs="仿宋"/>
              </w:rPr>
            </w:pPr>
            <w:r>
              <w:rPr>
                <w:rFonts w:ascii="仿宋" w:hAnsi="仿宋" w:eastAsia="仿宋" w:cs="仿宋"/>
              </w:rPr>
              <w:t>根据</w:t>
            </w:r>
            <w:r>
              <w:rPr>
                <w:rFonts w:ascii="仿宋" w:hAnsi="仿宋" w:eastAsia="仿宋" w:cs="仿宋"/>
                <w:lang w:eastAsia="zh-CN"/>
              </w:rPr>
              <w:t>响应</w:t>
            </w:r>
            <w:r>
              <w:rPr>
                <w:rFonts w:ascii="仿宋" w:hAnsi="仿宋" w:eastAsia="仿宋" w:cs="仿宋"/>
              </w:rPr>
              <w:t>人结合第</w:t>
            </w:r>
            <w:r>
              <w:rPr>
                <w:rFonts w:ascii="仿宋" w:hAnsi="仿宋" w:eastAsia="仿宋" w:cs="仿宋"/>
                <w:lang w:eastAsia="zh-CN"/>
              </w:rPr>
              <w:t>五</w:t>
            </w:r>
            <w:r>
              <w:rPr>
                <w:rFonts w:ascii="仿宋" w:hAnsi="仿宋" w:eastAsia="仿宋" w:cs="仿宋"/>
              </w:rPr>
              <w:t>章《</w:t>
            </w:r>
            <w:r>
              <w:rPr>
                <w:rFonts w:ascii="仿宋" w:hAnsi="仿宋" w:eastAsia="仿宋" w:cs="仿宋"/>
                <w:lang w:eastAsia="zh-CN"/>
              </w:rPr>
              <w:t>用户需求书</w:t>
            </w:r>
            <w:r>
              <w:rPr>
                <w:rFonts w:ascii="仿宋" w:hAnsi="仿宋" w:eastAsia="仿宋" w:cs="仿宋"/>
              </w:rPr>
              <w:t>》中的相关要求及</w:t>
            </w:r>
            <w:r>
              <w:rPr>
                <w:rFonts w:ascii="仿宋" w:hAnsi="仿宋" w:eastAsia="仿宋" w:cs="仿宋"/>
                <w:lang w:eastAsia="zh-CN"/>
              </w:rPr>
              <w:t>响应</w:t>
            </w:r>
            <w:r>
              <w:rPr>
                <w:rFonts w:ascii="仿宋" w:hAnsi="仿宋" w:eastAsia="仿宋" w:cs="仿宋"/>
              </w:rPr>
              <w:t>人提供的</w:t>
            </w:r>
            <w:r>
              <w:rPr>
                <w:rFonts w:ascii="仿宋" w:hAnsi="仿宋" w:eastAsia="仿宋" w:cs="仿宋"/>
                <w:lang w:eastAsia="zh-CN"/>
              </w:rPr>
              <w:t>项目服务方案</w:t>
            </w:r>
            <w:r>
              <w:rPr>
                <w:rFonts w:ascii="仿宋" w:hAnsi="仿宋" w:eastAsia="仿宋" w:cs="仿宋"/>
              </w:rPr>
              <w:t xml:space="preserve">提供质量保证措施及项目进度保证措施（包括但不限于①项目服务质量控制措施；②项目进度保证措施；③项目风险监管措施等）进行评审： </w:t>
            </w:r>
          </w:p>
          <w:p>
            <w:pPr>
              <w:pStyle w:val="70"/>
              <w:rPr>
                <w:rFonts w:ascii="仿宋" w:hAnsi="仿宋" w:eastAsia="仿宋" w:cs="仿宋"/>
              </w:rPr>
            </w:pPr>
            <w:r>
              <w:rPr>
                <w:rFonts w:hint="eastAsia" w:ascii="仿宋" w:hAnsi="仿宋" w:eastAsia="仿宋" w:cs="仿宋"/>
                <w:lang w:val="en-US" w:eastAsia="zh-CN"/>
              </w:rPr>
              <w:t>9</w:t>
            </w:r>
            <w:r>
              <w:rPr>
                <w:rFonts w:ascii="仿宋" w:hAnsi="仿宋" w:eastAsia="仿宋" w:cs="仿宋"/>
              </w:rPr>
              <w:t xml:space="preserve">分：针对上述全部量化指标作出了明确的响应，且完全满足或者优于采购需求； </w:t>
            </w:r>
          </w:p>
          <w:p>
            <w:pPr>
              <w:pStyle w:val="70"/>
              <w:rPr>
                <w:rFonts w:ascii="仿宋" w:hAnsi="仿宋" w:eastAsia="仿宋" w:cs="仿宋"/>
              </w:rPr>
            </w:pPr>
            <w:r>
              <w:rPr>
                <w:rFonts w:hint="eastAsia" w:ascii="仿宋" w:hAnsi="仿宋" w:eastAsia="仿宋" w:cs="仿宋"/>
                <w:lang w:val="en-US" w:eastAsia="zh-CN"/>
              </w:rPr>
              <w:t>6</w:t>
            </w:r>
            <w:r>
              <w:rPr>
                <w:rFonts w:ascii="仿宋" w:hAnsi="仿宋" w:eastAsia="仿宋" w:cs="仿宋"/>
              </w:rPr>
              <w:t>分：只针对上述量化指标中的其中</w:t>
            </w:r>
            <w:r>
              <w:rPr>
                <w:rFonts w:ascii="仿宋" w:hAnsi="仿宋" w:eastAsia="仿宋" w:cs="仿宋"/>
                <w:lang w:eastAsia="zh-CN"/>
              </w:rPr>
              <w:t>2</w:t>
            </w:r>
            <w:r>
              <w:rPr>
                <w:rFonts w:ascii="仿宋" w:hAnsi="仿宋" w:eastAsia="仿宋" w:cs="仿宋"/>
              </w:rPr>
              <w:t xml:space="preserve">项作出明确响应，且相应量化指标完全满足或者优于这些量化指标所对应的采购需求； </w:t>
            </w:r>
          </w:p>
          <w:p>
            <w:pPr>
              <w:pStyle w:val="70"/>
              <w:rPr>
                <w:rFonts w:ascii="仿宋" w:hAnsi="仿宋" w:eastAsia="仿宋" w:cs="仿宋"/>
              </w:rPr>
            </w:pPr>
            <w:r>
              <w:rPr>
                <w:rFonts w:hint="eastAsia" w:ascii="仿宋" w:hAnsi="仿宋" w:eastAsia="仿宋" w:cs="仿宋"/>
                <w:lang w:val="en-US" w:eastAsia="zh-CN"/>
              </w:rPr>
              <w:t>3</w:t>
            </w:r>
            <w:r>
              <w:rPr>
                <w:rFonts w:ascii="仿宋" w:hAnsi="仿宋" w:eastAsia="仿宋" w:cs="仿宋"/>
              </w:rPr>
              <w:t>分：只针对上述量化指标中的其中</w:t>
            </w:r>
            <w:r>
              <w:rPr>
                <w:rFonts w:ascii="仿宋" w:hAnsi="仿宋" w:eastAsia="仿宋" w:cs="仿宋"/>
                <w:lang w:eastAsia="zh-CN"/>
              </w:rPr>
              <w:t>1</w:t>
            </w:r>
            <w:r>
              <w:rPr>
                <w:rFonts w:ascii="仿宋" w:hAnsi="仿宋" w:eastAsia="仿宋" w:cs="仿宋"/>
              </w:rPr>
              <w:t xml:space="preserve">项作出明确响应，且相应量化指标完全满足或者优于这些量化指标所对应的采购需求； </w:t>
            </w:r>
          </w:p>
          <w:p>
            <w:pPr>
              <w:pStyle w:val="70"/>
              <w:rPr>
                <w:rFonts w:ascii="仿宋" w:hAnsi="仿宋" w:eastAsia="仿宋" w:cs="仿宋"/>
              </w:rPr>
            </w:pPr>
            <w:r>
              <w:rPr>
                <w:rFonts w:ascii="仿宋" w:hAnsi="仿宋" w:eastAsia="仿宋" w:cs="仿宋"/>
              </w:rPr>
              <w:t>0分：未针对上述量化指标中的任何一项作出响应；或者虽针对上述全部量化指标作出了响应但均不能满足采购需求；或者未提供本项内容。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pPr>
              <w:rPr>
                <w:rFonts w:hint="eastAsia" w:ascii="仿宋" w:hAnsi="仿宋" w:eastAsia="仿宋" w:cs="仿宋"/>
              </w:rPr>
            </w:pPr>
          </w:p>
        </w:tc>
        <w:tc>
          <w:tcPr>
            <w:tcW w:w="1402" w:type="dxa"/>
          </w:tcPr>
          <w:p>
            <w:pPr>
              <w:pStyle w:val="70"/>
              <w:rPr>
                <w:rFonts w:ascii="仿宋" w:hAnsi="仿宋" w:eastAsia="仿宋" w:cs="仿宋"/>
              </w:rPr>
            </w:pPr>
            <w:r>
              <w:rPr>
                <w:rFonts w:ascii="仿宋" w:hAnsi="仿宋" w:eastAsia="仿宋" w:cs="仿宋"/>
                <w:lang w:eastAsia="zh-CN"/>
              </w:rPr>
              <w:t>项目</w:t>
            </w:r>
            <w:r>
              <w:rPr>
                <w:rFonts w:ascii="仿宋" w:hAnsi="仿宋" w:eastAsia="仿宋" w:cs="仿宋"/>
              </w:rPr>
              <w:t>服务方案 (</w:t>
            </w:r>
            <w:r>
              <w:rPr>
                <w:rFonts w:ascii="仿宋" w:hAnsi="仿宋" w:eastAsia="仿宋" w:cs="仿宋"/>
                <w:lang w:eastAsia="zh-CN"/>
              </w:rPr>
              <w:t>2</w:t>
            </w:r>
            <w:r>
              <w:rPr>
                <w:rFonts w:hint="eastAsia" w:ascii="仿宋" w:hAnsi="仿宋" w:eastAsia="仿宋" w:cs="仿宋"/>
                <w:lang w:val="en-US" w:eastAsia="zh-CN"/>
              </w:rPr>
              <w:t>4</w:t>
            </w:r>
            <w:r>
              <w:rPr>
                <w:rFonts w:ascii="仿宋" w:hAnsi="仿宋" w:eastAsia="仿宋" w:cs="仿宋"/>
              </w:rPr>
              <w:t>分)</w:t>
            </w:r>
          </w:p>
        </w:tc>
        <w:tc>
          <w:tcPr>
            <w:tcW w:w="5981" w:type="dxa"/>
          </w:tcPr>
          <w:p>
            <w:pPr>
              <w:pStyle w:val="70"/>
              <w:rPr>
                <w:rFonts w:ascii="仿宋" w:hAnsi="仿宋" w:eastAsia="仿宋" w:cs="仿宋"/>
              </w:rPr>
            </w:pPr>
            <w:r>
              <w:rPr>
                <w:rFonts w:ascii="仿宋" w:hAnsi="仿宋" w:eastAsia="仿宋" w:cs="仿宋"/>
              </w:rPr>
              <w:t>根据</w:t>
            </w:r>
            <w:r>
              <w:rPr>
                <w:rFonts w:ascii="仿宋" w:hAnsi="仿宋" w:eastAsia="仿宋" w:cs="仿宋"/>
                <w:lang w:eastAsia="zh-CN"/>
              </w:rPr>
              <w:t>响应</w:t>
            </w:r>
            <w:r>
              <w:rPr>
                <w:rFonts w:ascii="仿宋" w:hAnsi="仿宋" w:eastAsia="仿宋" w:cs="仿宋"/>
              </w:rPr>
              <w:t>人结合第</w:t>
            </w:r>
            <w:r>
              <w:rPr>
                <w:rFonts w:ascii="仿宋" w:hAnsi="仿宋" w:eastAsia="仿宋" w:cs="仿宋"/>
                <w:lang w:eastAsia="zh-CN"/>
              </w:rPr>
              <w:t>五</w:t>
            </w:r>
            <w:r>
              <w:rPr>
                <w:rFonts w:ascii="仿宋" w:hAnsi="仿宋" w:eastAsia="仿宋" w:cs="仿宋"/>
              </w:rPr>
              <w:t>章《</w:t>
            </w:r>
            <w:r>
              <w:rPr>
                <w:rFonts w:ascii="仿宋" w:hAnsi="仿宋" w:eastAsia="仿宋" w:cs="仿宋"/>
                <w:lang w:eastAsia="zh-CN"/>
              </w:rPr>
              <w:t>用户需求书</w:t>
            </w:r>
            <w:r>
              <w:rPr>
                <w:rFonts w:ascii="仿宋" w:hAnsi="仿宋" w:eastAsia="仿宋" w:cs="仿宋"/>
              </w:rPr>
              <w:t>》中的相关要求提供</w:t>
            </w:r>
            <w:r>
              <w:rPr>
                <w:rFonts w:ascii="仿宋" w:hAnsi="仿宋" w:eastAsia="仿宋" w:cs="仿宋"/>
                <w:lang w:eastAsia="zh-CN"/>
              </w:rPr>
              <w:t>项目</w:t>
            </w:r>
            <w:r>
              <w:rPr>
                <w:rFonts w:ascii="仿宋" w:hAnsi="仿宋" w:eastAsia="仿宋" w:cs="仿宋"/>
              </w:rPr>
              <w:t>服务实施方案（包括但不限于①</w:t>
            </w:r>
            <w:r>
              <w:rPr>
                <w:rFonts w:ascii="仿宋" w:hAnsi="仿宋" w:eastAsia="仿宋" w:cs="仿宋"/>
                <w:lang w:eastAsia="zh-CN"/>
              </w:rPr>
              <w:t>三种桩型全施工周期的数据采集、分析、预警，以及建立基桩质量管理标准</w:t>
            </w:r>
            <w:r>
              <w:rPr>
                <w:rFonts w:ascii="仿宋" w:hAnsi="仿宋" w:eastAsia="仿宋" w:cs="仿宋"/>
              </w:rPr>
              <w:t>；②项目信息采集</w:t>
            </w:r>
            <w:r>
              <w:rPr>
                <w:rFonts w:ascii="仿宋" w:hAnsi="仿宋" w:eastAsia="仿宋" w:cs="仿宋"/>
                <w:lang w:eastAsia="zh-CN"/>
              </w:rPr>
              <w:t>；</w:t>
            </w:r>
            <w:r>
              <w:rPr>
                <w:rFonts w:ascii="仿宋" w:hAnsi="仿宋" w:eastAsia="仿宋" w:cs="仿宋"/>
              </w:rPr>
              <w:t>③互联网系统技术服务</w:t>
            </w:r>
            <w:r>
              <w:rPr>
                <w:rFonts w:ascii="仿宋" w:hAnsi="仿宋" w:eastAsia="仿宋" w:cs="仿宋"/>
                <w:lang w:eastAsia="zh-CN"/>
              </w:rPr>
              <w:t>；</w:t>
            </w:r>
            <w:r>
              <w:rPr>
                <w:rFonts w:ascii="仿宋" w:hAnsi="仿宋" w:eastAsia="仿宋" w:cs="仿宋"/>
              </w:rPr>
              <w:t>④运行环境</w:t>
            </w:r>
            <w:r>
              <w:rPr>
                <w:rFonts w:ascii="仿宋" w:hAnsi="仿宋" w:eastAsia="仿宋" w:cs="仿宋"/>
                <w:lang w:eastAsia="zh-CN"/>
              </w:rPr>
              <w:t>；</w:t>
            </w:r>
            <w:r>
              <w:rPr>
                <w:rFonts w:ascii="仿宋" w:hAnsi="仿宋" w:eastAsia="仿宋" w:cs="仿宋"/>
              </w:rPr>
              <w:t>⑤培</w:t>
            </w:r>
            <w:r>
              <w:rPr>
                <w:rFonts w:ascii="仿宋" w:hAnsi="仿宋" w:eastAsia="仿宋" w:cs="仿宋"/>
                <w:lang w:eastAsia="zh-CN"/>
              </w:rPr>
              <w:t>训</w:t>
            </w:r>
            <w:r>
              <w:rPr>
                <w:rFonts w:hint="eastAsia" w:ascii="仿宋" w:hAnsi="仿宋" w:eastAsia="仿宋" w:cs="仿宋"/>
                <w:lang w:eastAsia="zh-CN"/>
              </w:rPr>
              <w:t>；⑥系统软件维护服务</w:t>
            </w:r>
            <w:r>
              <w:rPr>
                <w:rFonts w:ascii="仿宋" w:hAnsi="仿宋" w:eastAsia="仿宋" w:cs="仿宋"/>
              </w:rPr>
              <w:t>等</w:t>
            </w:r>
            <w:r>
              <w:rPr>
                <w:rFonts w:ascii="仿宋" w:hAnsi="仿宋" w:eastAsia="仿宋" w:cs="仿宋"/>
                <w:lang w:eastAsia="zh-CN"/>
              </w:rPr>
              <w:t>）</w:t>
            </w:r>
            <w:r>
              <w:rPr>
                <w:rFonts w:ascii="仿宋" w:hAnsi="仿宋" w:eastAsia="仿宋" w:cs="仿宋"/>
              </w:rPr>
              <w:t xml:space="preserve">进行评审： </w:t>
            </w:r>
          </w:p>
          <w:p>
            <w:pPr>
              <w:pStyle w:val="70"/>
              <w:rPr>
                <w:rFonts w:ascii="仿宋" w:hAnsi="仿宋" w:eastAsia="仿宋" w:cs="仿宋"/>
              </w:rPr>
            </w:pPr>
            <w:r>
              <w:rPr>
                <w:rFonts w:ascii="仿宋" w:hAnsi="仿宋" w:eastAsia="仿宋" w:cs="仿宋"/>
                <w:lang w:eastAsia="zh-CN"/>
              </w:rPr>
              <w:t>2</w:t>
            </w:r>
            <w:r>
              <w:rPr>
                <w:rFonts w:hint="eastAsia" w:ascii="仿宋" w:hAnsi="仿宋" w:eastAsia="仿宋" w:cs="仿宋"/>
                <w:lang w:val="en-US" w:eastAsia="zh-CN"/>
              </w:rPr>
              <w:t>4</w:t>
            </w:r>
            <w:r>
              <w:rPr>
                <w:rFonts w:ascii="仿宋" w:hAnsi="仿宋" w:eastAsia="仿宋" w:cs="仿宋"/>
              </w:rPr>
              <w:t xml:space="preserve">分：针对上述全部量化指标作出了明确的响应，且完全满足或者优于采购需求； </w:t>
            </w:r>
          </w:p>
          <w:p>
            <w:pPr>
              <w:pStyle w:val="70"/>
              <w:rPr>
                <w:rFonts w:ascii="仿宋" w:hAnsi="仿宋" w:eastAsia="仿宋" w:cs="仿宋"/>
              </w:rPr>
            </w:pPr>
            <w:r>
              <w:rPr>
                <w:rFonts w:hint="eastAsia" w:ascii="仿宋" w:hAnsi="仿宋" w:eastAsia="仿宋" w:cs="仿宋"/>
                <w:lang w:val="en-US" w:eastAsia="zh-CN"/>
              </w:rPr>
              <w:t>20</w:t>
            </w:r>
            <w:r>
              <w:rPr>
                <w:rFonts w:ascii="仿宋" w:hAnsi="仿宋" w:eastAsia="仿宋" w:cs="仿宋"/>
              </w:rPr>
              <w:t>分：只针对上述量化指标中的其中</w:t>
            </w:r>
            <w:r>
              <w:rPr>
                <w:rFonts w:hint="eastAsia" w:ascii="仿宋" w:hAnsi="仿宋" w:eastAsia="仿宋" w:cs="仿宋"/>
                <w:lang w:val="en-US" w:eastAsia="zh-CN"/>
              </w:rPr>
              <w:t>5</w:t>
            </w:r>
            <w:r>
              <w:rPr>
                <w:rFonts w:ascii="仿宋" w:hAnsi="仿宋" w:eastAsia="仿宋" w:cs="仿宋"/>
              </w:rPr>
              <w:t>项作出明确响应，且相应量化指标完全满足或者优于这些量化指标所对应的采购需求；</w:t>
            </w:r>
          </w:p>
          <w:p>
            <w:pPr>
              <w:pStyle w:val="70"/>
              <w:rPr>
                <w:rFonts w:ascii="仿宋" w:hAnsi="仿宋" w:eastAsia="仿宋" w:cs="仿宋"/>
              </w:rPr>
            </w:pPr>
            <w:r>
              <w:rPr>
                <w:rFonts w:ascii="仿宋" w:hAnsi="仿宋" w:eastAsia="仿宋" w:cs="仿宋"/>
                <w:lang w:eastAsia="zh-CN"/>
              </w:rPr>
              <w:t>16</w:t>
            </w:r>
            <w:r>
              <w:rPr>
                <w:rFonts w:ascii="仿宋" w:hAnsi="仿宋" w:eastAsia="仿宋" w:cs="仿宋"/>
              </w:rPr>
              <w:t>分：只针对上述量化指标中的其中</w:t>
            </w:r>
            <w:r>
              <w:rPr>
                <w:rFonts w:ascii="仿宋" w:hAnsi="仿宋" w:eastAsia="仿宋" w:cs="仿宋"/>
                <w:lang w:eastAsia="zh-CN"/>
              </w:rPr>
              <w:t>4</w:t>
            </w:r>
            <w:r>
              <w:rPr>
                <w:rFonts w:ascii="仿宋" w:hAnsi="仿宋" w:eastAsia="仿宋" w:cs="仿宋"/>
              </w:rPr>
              <w:t>项作出明确响应，且相应量化指标完全满足或者优于这些量化指标所对应的采购需求；</w:t>
            </w:r>
          </w:p>
          <w:p>
            <w:pPr>
              <w:pStyle w:val="70"/>
              <w:rPr>
                <w:rFonts w:ascii="仿宋" w:hAnsi="仿宋" w:eastAsia="仿宋" w:cs="仿宋"/>
              </w:rPr>
            </w:pPr>
            <w:r>
              <w:rPr>
                <w:rFonts w:ascii="仿宋" w:hAnsi="仿宋" w:eastAsia="仿宋" w:cs="仿宋"/>
                <w:lang w:eastAsia="zh-CN"/>
              </w:rPr>
              <w:t>12</w:t>
            </w:r>
            <w:r>
              <w:rPr>
                <w:rFonts w:ascii="仿宋" w:hAnsi="仿宋" w:eastAsia="仿宋" w:cs="仿宋"/>
              </w:rPr>
              <w:t>分：只针对上述量化指标中的其中</w:t>
            </w:r>
            <w:r>
              <w:rPr>
                <w:rFonts w:ascii="仿宋" w:hAnsi="仿宋" w:eastAsia="仿宋" w:cs="仿宋"/>
                <w:lang w:eastAsia="zh-CN"/>
              </w:rPr>
              <w:t>3</w:t>
            </w:r>
            <w:r>
              <w:rPr>
                <w:rFonts w:ascii="仿宋" w:hAnsi="仿宋" w:eastAsia="仿宋" w:cs="仿宋"/>
              </w:rPr>
              <w:t>项作出明确响应，且相应量化指标完全满足或者优于这些量化指标所对应的采购需求；</w:t>
            </w:r>
          </w:p>
          <w:p>
            <w:pPr>
              <w:pStyle w:val="70"/>
              <w:rPr>
                <w:rFonts w:ascii="仿宋" w:hAnsi="仿宋" w:eastAsia="仿宋" w:cs="仿宋"/>
              </w:rPr>
            </w:pPr>
            <w:r>
              <w:rPr>
                <w:rFonts w:ascii="仿宋" w:hAnsi="仿宋" w:eastAsia="仿宋" w:cs="仿宋"/>
                <w:lang w:eastAsia="zh-CN"/>
              </w:rPr>
              <w:t>8</w:t>
            </w:r>
            <w:r>
              <w:rPr>
                <w:rFonts w:ascii="仿宋" w:hAnsi="仿宋" w:eastAsia="仿宋" w:cs="仿宋"/>
              </w:rPr>
              <w:t>分：只针对上述量化指标中的其中</w:t>
            </w:r>
            <w:r>
              <w:rPr>
                <w:rFonts w:ascii="仿宋" w:hAnsi="仿宋" w:eastAsia="仿宋" w:cs="仿宋"/>
                <w:lang w:eastAsia="zh-CN"/>
              </w:rPr>
              <w:t>2</w:t>
            </w:r>
            <w:r>
              <w:rPr>
                <w:rFonts w:ascii="仿宋" w:hAnsi="仿宋" w:eastAsia="仿宋" w:cs="仿宋"/>
              </w:rPr>
              <w:t>项作出明确响应，且相应量化指标完全满足或者优于这些量化指标所对应的采购需求；</w:t>
            </w:r>
          </w:p>
          <w:p>
            <w:pPr>
              <w:pStyle w:val="70"/>
              <w:rPr>
                <w:rFonts w:ascii="仿宋" w:hAnsi="仿宋" w:eastAsia="仿宋" w:cs="仿宋"/>
              </w:rPr>
            </w:pPr>
            <w:r>
              <w:rPr>
                <w:rFonts w:ascii="仿宋" w:hAnsi="仿宋" w:eastAsia="仿宋" w:cs="仿宋"/>
                <w:lang w:eastAsia="zh-CN"/>
              </w:rPr>
              <w:t>4</w:t>
            </w:r>
            <w:r>
              <w:rPr>
                <w:rFonts w:ascii="仿宋" w:hAnsi="仿宋" w:eastAsia="仿宋" w:cs="仿宋"/>
              </w:rPr>
              <w:t>分：只针对上述量化指标中的其中</w:t>
            </w:r>
            <w:r>
              <w:rPr>
                <w:rFonts w:ascii="仿宋" w:hAnsi="仿宋" w:eastAsia="仿宋" w:cs="仿宋"/>
                <w:lang w:eastAsia="zh-CN"/>
              </w:rPr>
              <w:t>1</w:t>
            </w:r>
            <w:r>
              <w:rPr>
                <w:rFonts w:ascii="仿宋" w:hAnsi="仿宋" w:eastAsia="仿宋" w:cs="仿宋"/>
              </w:rPr>
              <w:t>项作出明确响应，且相应量化指标完全满足或者优于这些量化指标所对应的采购需求；</w:t>
            </w:r>
          </w:p>
          <w:p>
            <w:pPr>
              <w:pStyle w:val="70"/>
              <w:rPr>
                <w:rFonts w:ascii="仿宋" w:hAnsi="仿宋" w:eastAsia="仿宋" w:cs="仿宋"/>
              </w:rPr>
            </w:pPr>
            <w:r>
              <w:rPr>
                <w:rFonts w:ascii="仿宋" w:hAnsi="仿宋" w:eastAsia="仿宋" w:cs="仿宋"/>
              </w:rPr>
              <w:t xml:space="preserve"> 0分：未针对上述量化指标中的任何一项作出响应；或者虽针对上述全部量化指标作出了响应但均不能满足采购需求；或者未提供本项内容。</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restart"/>
          </w:tcPr>
          <w:p>
            <w:pPr>
              <w:pStyle w:val="70"/>
              <w:jc w:val="center"/>
              <w:rPr>
                <w:rFonts w:ascii="仿宋" w:hAnsi="仿宋" w:eastAsia="仿宋" w:cs="仿宋"/>
              </w:rPr>
            </w:pPr>
            <w:r>
              <w:rPr>
                <w:rFonts w:ascii="仿宋" w:hAnsi="仿宋" w:eastAsia="仿宋" w:cs="仿宋"/>
              </w:rPr>
              <w:t>商务部分</w:t>
            </w:r>
          </w:p>
        </w:tc>
        <w:tc>
          <w:tcPr>
            <w:tcW w:w="1402" w:type="dxa"/>
          </w:tcPr>
          <w:p>
            <w:pPr>
              <w:pStyle w:val="70"/>
              <w:rPr>
                <w:rFonts w:ascii="仿宋" w:hAnsi="仿宋" w:eastAsia="仿宋" w:cs="仿宋"/>
              </w:rPr>
            </w:pPr>
            <w:r>
              <w:rPr>
                <w:rFonts w:ascii="仿宋" w:hAnsi="仿宋" w:eastAsia="仿宋" w:cs="仿宋"/>
              </w:rPr>
              <w:t>同类业绩 (</w:t>
            </w:r>
            <w:r>
              <w:rPr>
                <w:rFonts w:ascii="仿宋" w:hAnsi="仿宋" w:eastAsia="仿宋" w:cs="仿宋"/>
                <w:lang w:eastAsia="zh-CN"/>
              </w:rPr>
              <w:t>30</w:t>
            </w:r>
            <w:r>
              <w:rPr>
                <w:rFonts w:ascii="仿宋" w:hAnsi="仿宋" w:eastAsia="仿宋" w:cs="仿宋"/>
              </w:rPr>
              <w:t>.0分)</w:t>
            </w:r>
          </w:p>
        </w:tc>
        <w:tc>
          <w:tcPr>
            <w:tcW w:w="5981" w:type="dxa"/>
          </w:tcPr>
          <w:p>
            <w:pPr>
              <w:pStyle w:val="70"/>
              <w:rPr>
                <w:rFonts w:ascii="仿宋" w:hAnsi="仿宋" w:eastAsia="仿宋" w:cs="仿宋"/>
              </w:rPr>
            </w:pPr>
            <w:r>
              <w:rPr>
                <w:rFonts w:ascii="仿宋" w:hAnsi="仿宋" w:eastAsia="仿宋" w:cs="仿宋"/>
              </w:rPr>
              <w:t>1、</w:t>
            </w:r>
            <w:r>
              <w:rPr>
                <w:rFonts w:ascii="仿宋" w:hAnsi="仿宋" w:eastAsia="仿宋" w:cs="仿宋"/>
                <w:lang w:eastAsia="zh-CN"/>
              </w:rPr>
              <w:t>响应</w:t>
            </w:r>
            <w:r>
              <w:rPr>
                <w:rFonts w:ascii="仿宋" w:hAnsi="仿宋" w:eastAsia="仿宋" w:cs="仿宋"/>
              </w:rPr>
              <w:t>人自 2022年1月1日至本项目采购公告发布之日，承接过</w:t>
            </w:r>
            <w:bookmarkStart w:id="7" w:name="OLE_LINK1"/>
            <w:r>
              <w:rPr>
                <w:rFonts w:ascii="仿宋" w:hAnsi="仿宋" w:eastAsia="仿宋" w:cs="仿宋"/>
              </w:rPr>
              <w:t>建设工程</w:t>
            </w:r>
            <w:r>
              <w:rPr>
                <w:rFonts w:ascii="仿宋" w:hAnsi="仿宋" w:eastAsia="仿宋" w:cs="仿宋"/>
                <w:lang w:eastAsia="zh-CN"/>
              </w:rPr>
              <w:t>质量检测</w:t>
            </w:r>
            <w:r>
              <w:rPr>
                <w:rFonts w:ascii="仿宋" w:hAnsi="仿宋" w:eastAsia="仿宋" w:cs="仿宋"/>
              </w:rPr>
              <w:t>服务或</w:t>
            </w:r>
            <w:r>
              <w:rPr>
                <w:rFonts w:ascii="仿宋" w:hAnsi="仿宋" w:eastAsia="仿宋" w:cs="仿宋"/>
                <w:lang w:eastAsia="zh-CN"/>
              </w:rPr>
              <w:t>建设工程信息管理</w:t>
            </w:r>
            <w:r>
              <w:rPr>
                <w:rFonts w:ascii="仿宋" w:hAnsi="仿宋" w:eastAsia="仿宋" w:cs="仿宋"/>
              </w:rPr>
              <w:t>等业绩</w:t>
            </w:r>
            <w:bookmarkEnd w:id="7"/>
            <w:r>
              <w:rPr>
                <w:rFonts w:ascii="仿宋" w:hAnsi="仿宋" w:eastAsia="仿宋" w:cs="仿宋"/>
              </w:rPr>
              <w:t>，每一项业绩得</w:t>
            </w:r>
            <w:r>
              <w:rPr>
                <w:rFonts w:ascii="仿宋" w:hAnsi="仿宋" w:eastAsia="仿宋" w:cs="仿宋"/>
                <w:lang w:eastAsia="zh-CN"/>
              </w:rPr>
              <w:t>5</w:t>
            </w:r>
            <w:r>
              <w:rPr>
                <w:rFonts w:ascii="仿宋" w:hAnsi="仿宋" w:eastAsia="仿宋" w:cs="仿宋"/>
              </w:rPr>
              <w:t>分，满分</w:t>
            </w:r>
            <w:r>
              <w:rPr>
                <w:rFonts w:ascii="仿宋" w:hAnsi="仿宋" w:eastAsia="仿宋" w:cs="仿宋"/>
                <w:lang w:eastAsia="zh-CN"/>
              </w:rPr>
              <w:t>30</w:t>
            </w:r>
            <w:r>
              <w:rPr>
                <w:rFonts w:ascii="仿宋" w:hAnsi="仿宋" w:eastAsia="仿宋" w:cs="仿宋"/>
              </w:rPr>
              <w:t>分。 注：提供服务合同关键页（合同关键信息须体现项目名称、工作内容、合同签署落款时间）复印件加盖投标人公章，时间以</w:t>
            </w:r>
            <w:r>
              <w:rPr>
                <w:rFonts w:ascii="仿宋" w:hAnsi="仿宋" w:eastAsia="仿宋" w:cs="仿宋"/>
                <w:lang w:eastAsia="zh-CN"/>
              </w:rPr>
              <w:t>合同签订</w:t>
            </w:r>
            <w:r>
              <w:rPr>
                <w:rFonts w:ascii="仿宋" w:hAnsi="仿宋" w:eastAsia="仿宋" w:cs="仿宋"/>
              </w:rPr>
              <w:t>时间为准。同一项目（含续签合同）不可重复计分，其他情况或未提供有效证明文件的，均不得分。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pPr>
              <w:rPr>
                <w:rFonts w:hint="eastAsia" w:ascii="仿宋" w:hAnsi="仿宋" w:eastAsia="仿宋" w:cs="仿宋"/>
              </w:rPr>
            </w:pPr>
          </w:p>
        </w:tc>
        <w:tc>
          <w:tcPr>
            <w:tcW w:w="1402" w:type="dxa"/>
          </w:tcPr>
          <w:p>
            <w:pPr>
              <w:pStyle w:val="70"/>
              <w:rPr>
                <w:rFonts w:ascii="仿宋" w:hAnsi="仿宋" w:eastAsia="仿宋" w:cs="仿宋"/>
              </w:rPr>
            </w:pPr>
            <w:r>
              <w:rPr>
                <w:rFonts w:ascii="仿宋" w:hAnsi="仿宋" w:eastAsia="仿宋" w:cs="仿宋"/>
              </w:rPr>
              <w:t>项目团队情况 (</w:t>
            </w:r>
            <w:r>
              <w:rPr>
                <w:rFonts w:ascii="仿宋" w:hAnsi="仿宋" w:eastAsia="仿宋" w:cs="仿宋"/>
                <w:lang w:eastAsia="zh-CN"/>
              </w:rPr>
              <w:t>13</w:t>
            </w:r>
            <w:r>
              <w:rPr>
                <w:rFonts w:ascii="仿宋" w:hAnsi="仿宋" w:eastAsia="仿宋" w:cs="仿宋"/>
              </w:rPr>
              <w:t>.0分)</w:t>
            </w:r>
          </w:p>
        </w:tc>
        <w:tc>
          <w:tcPr>
            <w:tcW w:w="5981" w:type="dxa"/>
          </w:tcPr>
          <w:p>
            <w:pPr>
              <w:pStyle w:val="70"/>
              <w:rPr>
                <w:rFonts w:ascii="仿宋" w:hAnsi="仿宋" w:eastAsia="仿宋" w:cs="仿宋"/>
              </w:rPr>
            </w:pPr>
            <w:r>
              <w:rPr>
                <w:rFonts w:ascii="仿宋" w:hAnsi="仿宋" w:eastAsia="仿宋" w:cs="仿宋"/>
              </w:rPr>
              <w:t xml:space="preserve"> 1、经理具有工程</w:t>
            </w:r>
            <w:r>
              <w:rPr>
                <w:rFonts w:ascii="仿宋" w:hAnsi="仿宋" w:eastAsia="仿宋" w:cs="仿宋"/>
                <w:lang w:eastAsia="zh-CN"/>
              </w:rPr>
              <w:t>类中</w:t>
            </w:r>
            <w:r>
              <w:rPr>
                <w:rFonts w:ascii="仿宋" w:hAnsi="仿宋" w:eastAsia="仿宋" w:cs="仿宋"/>
              </w:rPr>
              <w:t>级</w:t>
            </w:r>
            <w:r>
              <w:rPr>
                <w:rFonts w:ascii="仿宋" w:hAnsi="仿宋" w:eastAsia="仿宋" w:cs="仿宋"/>
                <w:lang w:eastAsia="zh-CN"/>
              </w:rPr>
              <w:t>及以上</w:t>
            </w:r>
            <w:r>
              <w:rPr>
                <w:rFonts w:ascii="仿宋" w:hAnsi="仿宋" w:eastAsia="仿宋" w:cs="仿宋"/>
              </w:rPr>
              <w:t>职称</w:t>
            </w:r>
            <w:r>
              <w:rPr>
                <w:rFonts w:ascii="仿宋" w:hAnsi="仿宋" w:eastAsia="仿宋" w:cs="仿宋"/>
                <w:lang w:eastAsia="zh-CN"/>
              </w:rPr>
              <w:t>或</w:t>
            </w:r>
            <w:r>
              <w:rPr>
                <w:rFonts w:ascii="仿宋" w:hAnsi="仿宋" w:eastAsia="仿宋" w:cs="仿宋"/>
              </w:rPr>
              <w:t>计算机技术与软件专业技术资格</w:t>
            </w:r>
            <w:r>
              <w:rPr>
                <w:rFonts w:ascii="仿宋" w:hAnsi="仿宋" w:eastAsia="仿宋" w:cs="仿宋"/>
                <w:lang w:eastAsia="zh-CN"/>
              </w:rPr>
              <w:t>（中级及以上）</w:t>
            </w:r>
            <w:r>
              <w:rPr>
                <w:rFonts w:ascii="仿宋" w:hAnsi="仿宋" w:eastAsia="仿宋" w:cs="仿宋"/>
              </w:rPr>
              <w:t>，得</w:t>
            </w:r>
            <w:r>
              <w:rPr>
                <w:rFonts w:ascii="仿宋" w:hAnsi="仿宋" w:eastAsia="仿宋" w:cs="仿宋"/>
                <w:lang w:eastAsia="zh-CN"/>
              </w:rPr>
              <w:t>6</w:t>
            </w:r>
            <w:r>
              <w:rPr>
                <w:rFonts w:ascii="仿宋" w:hAnsi="仿宋" w:eastAsia="仿宋" w:cs="仿宋"/>
              </w:rPr>
              <w:t>分，满分</w:t>
            </w:r>
            <w:r>
              <w:rPr>
                <w:rFonts w:ascii="仿宋" w:hAnsi="仿宋" w:eastAsia="仿宋" w:cs="仿宋"/>
                <w:lang w:eastAsia="zh-CN"/>
              </w:rPr>
              <w:t>6</w:t>
            </w:r>
            <w:r>
              <w:rPr>
                <w:rFonts w:ascii="仿宋" w:hAnsi="仿宋" w:eastAsia="仿宋" w:cs="仿宋"/>
              </w:rPr>
              <w:t>分。</w:t>
            </w:r>
          </w:p>
          <w:p>
            <w:pPr>
              <w:pStyle w:val="70"/>
              <w:rPr>
                <w:rFonts w:ascii="仿宋" w:hAnsi="仿宋" w:eastAsia="仿宋" w:cs="仿宋"/>
              </w:rPr>
            </w:pPr>
            <w:r>
              <w:rPr>
                <w:rFonts w:ascii="仿宋" w:hAnsi="仿宋" w:eastAsia="仿宋" w:cs="仿宋"/>
              </w:rPr>
              <w:t xml:space="preserve"> 2、项目团队成员具备工程类</w:t>
            </w:r>
            <w:r>
              <w:rPr>
                <w:rFonts w:ascii="仿宋" w:hAnsi="仿宋" w:eastAsia="仿宋" w:cs="仿宋"/>
                <w:lang w:eastAsia="zh-CN"/>
              </w:rPr>
              <w:t>助理及以上</w:t>
            </w:r>
            <w:r>
              <w:rPr>
                <w:rFonts w:ascii="仿宋" w:hAnsi="仿宋" w:eastAsia="仿宋" w:cs="仿宋"/>
              </w:rPr>
              <w:t>职称的</w:t>
            </w:r>
            <w:r>
              <w:rPr>
                <w:rFonts w:ascii="仿宋" w:hAnsi="仿宋" w:eastAsia="仿宋" w:cs="仿宋"/>
                <w:lang w:eastAsia="zh-CN"/>
              </w:rPr>
              <w:t>或</w:t>
            </w:r>
            <w:r>
              <w:rPr>
                <w:rFonts w:ascii="仿宋" w:hAnsi="仿宋" w:eastAsia="仿宋" w:cs="仿宋"/>
              </w:rPr>
              <w:t>计算机技术与软件专业技术资格</w:t>
            </w:r>
            <w:r>
              <w:rPr>
                <w:rFonts w:ascii="仿宋" w:hAnsi="仿宋" w:eastAsia="仿宋" w:cs="仿宋"/>
                <w:lang w:eastAsia="zh-CN"/>
              </w:rPr>
              <w:t>（初级及以上）</w:t>
            </w:r>
            <w:r>
              <w:rPr>
                <w:rFonts w:ascii="仿宋" w:hAnsi="仿宋" w:eastAsia="仿宋" w:cs="仿宋"/>
              </w:rPr>
              <w:t>，每符合一人得</w:t>
            </w:r>
            <w:r>
              <w:rPr>
                <w:rFonts w:ascii="仿宋" w:hAnsi="仿宋" w:eastAsia="仿宋" w:cs="仿宋"/>
                <w:lang w:eastAsia="zh-CN"/>
              </w:rPr>
              <w:t>3.5</w:t>
            </w:r>
            <w:r>
              <w:rPr>
                <w:rFonts w:ascii="仿宋" w:hAnsi="仿宋" w:eastAsia="仿宋" w:cs="仿宋"/>
              </w:rPr>
              <w:t>分，满分</w:t>
            </w:r>
            <w:r>
              <w:rPr>
                <w:rFonts w:ascii="仿宋" w:hAnsi="仿宋" w:eastAsia="仿宋" w:cs="仿宋"/>
                <w:lang w:eastAsia="zh-CN"/>
              </w:rPr>
              <w:t>7</w:t>
            </w:r>
            <w:r>
              <w:rPr>
                <w:rFonts w:ascii="仿宋" w:hAnsi="仿宋" w:eastAsia="仿宋" w:cs="仿宋"/>
              </w:rPr>
              <w:t>分。注： （1）提供相关人员证书复印件及本项目投标截止之日前三个月任意一个月社保证明材料复印件并加盖投标人公章； （2）同一人提供不同等级职称的，以最高职称为准； （3）一人只记一次分； （4）其他情况或未提供有效证明文件的，均不得分。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vMerge w:val="continue"/>
          </w:tcPr>
          <w:p>
            <w:pPr>
              <w:rPr>
                <w:rFonts w:hint="eastAsia" w:ascii="仿宋" w:hAnsi="仿宋" w:eastAsia="仿宋" w:cs="仿宋"/>
              </w:rPr>
            </w:pPr>
          </w:p>
        </w:tc>
        <w:tc>
          <w:tcPr>
            <w:tcW w:w="1402" w:type="dxa"/>
          </w:tcPr>
          <w:p>
            <w:pPr>
              <w:pStyle w:val="70"/>
              <w:rPr>
                <w:rFonts w:ascii="仿宋" w:hAnsi="仿宋" w:eastAsia="仿宋" w:cs="仿宋"/>
              </w:rPr>
            </w:pPr>
            <w:r>
              <w:rPr>
                <w:rFonts w:ascii="仿宋" w:hAnsi="仿宋" w:eastAsia="仿宋" w:cs="仿宋"/>
              </w:rPr>
              <w:t>诚信记录 (5.0分)</w:t>
            </w:r>
          </w:p>
        </w:tc>
        <w:tc>
          <w:tcPr>
            <w:tcW w:w="5981" w:type="dxa"/>
          </w:tcPr>
          <w:p>
            <w:pPr>
              <w:pStyle w:val="70"/>
              <w:rPr>
                <w:rFonts w:ascii="仿宋" w:hAnsi="仿宋" w:eastAsia="仿宋" w:cs="仿宋"/>
              </w:rPr>
            </w:pPr>
            <w:r>
              <w:rPr>
                <w:rFonts w:ascii="仿宋" w:hAnsi="仿宋" w:eastAsia="仿宋" w:cs="仿宋"/>
              </w:rPr>
              <w:t>根据《关于加强珠海市政府采购供应商诚信管理有关事项的通知》(珠财采通(2022) 20 号)要求，对供应商的诚信状况（普通失信行为）进行评分，具体计算公式如下： 诚信记录评审得分=供应商上一年度诚信记录得分×5%。注：1.采购代理机构于投标截止时间后，在评审活动开始前，通过广东政府采购网“其他监管检查公告”栏和珠海市财政局网站“信用财政”栏查询投标（响应）供应商的诚信状况（即供应商上一年度的诚信记录得分），提供给评标委员会，由评标委员会根据上述公式进行评审打分。 2.首次参加珠海市政府采购活动的供应商诚信管理基础得分为100分，在广东政府采购网“其他监管检查公告”栏和珠海市财政局网站“信用财政”栏查询不到相关供应商扣分记录的，视为该供应商上一年度诚信记录得分为100分。</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2" w:type="dxa"/>
          </w:tcPr>
          <w:p>
            <w:pPr>
              <w:pStyle w:val="70"/>
              <w:jc w:val="center"/>
              <w:rPr>
                <w:rFonts w:ascii="仿宋" w:hAnsi="仿宋" w:eastAsia="仿宋" w:cs="仿宋"/>
              </w:rPr>
            </w:pPr>
            <w:r>
              <w:rPr>
                <w:rFonts w:ascii="仿宋" w:hAnsi="仿宋" w:eastAsia="仿宋" w:cs="仿宋"/>
                <w:lang w:eastAsia="zh-CN"/>
              </w:rPr>
              <w:t>响应</w:t>
            </w:r>
            <w:r>
              <w:rPr>
                <w:rFonts w:ascii="仿宋" w:hAnsi="仿宋" w:eastAsia="仿宋" w:cs="仿宋"/>
              </w:rPr>
              <w:t>报价</w:t>
            </w:r>
          </w:p>
        </w:tc>
        <w:tc>
          <w:tcPr>
            <w:tcW w:w="1402" w:type="dxa"/>
          </w:tcPr>
          <w:p>
            <w:pPr>
              <w:pStyle w:val="70"/>
              <w:rPr>
                <w:rFonts w:ascii="仿宋" w:hAnsi="仿宋" w:eastAsia="仿宋" w:cs="仿宋"/>
              </w:rPr>
            </w:pPr>
            <w:r>
              <w:rPr>
                <w:rFonts w:ascii="仿宋" w:hAnsi="仿宋" w:eastAsia="仿宋" w:cs="仿宋"/>
                <w:lang w:eastAsia="zh-CN"/>
              </w:rPr>
              <w:t>响应</w:t>
            </w:r>
            <w:r>
              <w:rPr>
                <w:rFonts w:ascii="仿宋" w:hAnsi="仿宋" w:eastAsia="仿宋" w:cs="仿宋"/>
              </w:rPr>
              <w:t>报价得分 (10.0分)</w:t>
            </w:r>
          </w:p>
        </w:tc>
        <w:tc>
          <w:tcPr>
            <w:tcW w:w="5981" w:type="dxa"/>
          </w:tcPr>
          <w:p>
            <w:pPr>
              <w:pStyle w:val="70"/>
              <w:rPr>
                <w:rFonts w:ascii="仿宋" w:hAnsi="仿宋" w:eastAsia="仿宋" w:cs="仿宋"/>
              </w:rPr>
            </w:pPr>
            <w:r>
              <w:rPr>
                <w:rFonts w:ascii="仿宋" w:hAnsi="仿宋" w:eastAsia="仿宋" w:cs="仿宋"/>
                <w:lang w:eastAsia="zh-CN"/>
              </w:rPr>
              <w:t>响应</w:t>
            </w:r>
            <w:r>
              <w:rPr>
                <w:rFonts w:ascii="仿宋" w:hAnsi="仿宋" w:eastAsia="仿宋" w:cs="仿宋"/>
              </w:rPr>
              <w:t>报价得分＝（评标基准价/</w:t>
            </w:r>
            <w:r>
              <w:rPr>
                <w:rFonts w:ascii="仿宋" w:hAnsi="仿宋" w:eastAsia="仿宋" w:cs="仿宋"/>
                <w:lang w:eastAsia="zh-CN"/>
              </w:rPr>
              <w:t>响应</w:t>
            </w:r>
            <w:r>
              <w:rPr>
                <w:rFonts w:ascii="仿宋" w:hAnsi="仿宋" w:eastAsia="仿宋" w:cs="仿宋"/>
              </w:rPr>
              <w:t>报价）×价格分值【注：满足</w:t>
            </w:r>
            <w:r>
              <w:rPr>
                <w:rFonts w:ascii="仿宋" w:hAnsi="仿宋" w:eastAsia="仿宋" w:cs="仿宋"/>
                <w:lang w:eastAsia="zh-CN"/>
              </w:rPr>
              <w:t>磋商</w:t>
            </w:r>
            <w:r>
              <w:rPr>
                <w:rFonts w:ascii="仿宋" w:hAnsi="仿宋" w:eastAsia="仿宋" w:cs="仿宋"/>
              </w:rPr>
              <w:t>文件要求且</w:t>
            </w:r>
            <w:r>
              <w:rPr>
                <w:rFonts w:ascii="仿宋" w:hAnsi="仿宋" w:eastAsia="仿宋" w:cs="仿宋"/>
                <w:lang w:eastAsia="zh-CN"/>
              </w:rPr>
              <w:t>响应</w:t>
            </w:r>
            <w:r>
              <w:rPr>
                <w:rFonts w:ascii="仿宋" w:hAnsi="仿宋" w:eastAsia="仿宋" w:cs="仿宋"/>
              </w:rPr>
              <w:t>价格最低的</w:t>
            </w:r>
            <w:r>
              <w:rPr>
                <w:rFonts w:ascii="仿宋" w:hAnsi="仿宋" w:eastAsia="仿宋" w:cs="仿宋"/>
                <w:lang w:eastAsia="zh-CN"/>
              </w:rPr>
              <w:t>响应</w:t>
            </w:r>
            <w:r>
              <w:rPr>
                <w:rFonts w:ascii="仿宋" w:hAnsi="仿宋" w:eastAsia="仿宋" w:cs="仿宋"/>
              </w:rPr>
              <w:t>报价为评标基准价。】最低报价不是</w:t>
            </w:r>
            <w:r>
              <w:rPr>
                <w:rFonts w:ascii="仿宋" w:hAnsi="仿宋" w:eastAsia="仿宋" w:cs="仿宋"/>
                <w:lang w:eastAsia="zh-CN"/>
              </w:rPr>
              <w:t>成交</w:t>
            </w:r>
            <w:r>
              <w:rPr>
                <w:rFonts w:ascii="仿宋" w:hAnsi="仿宋" w:eastAsia="仿宋" w:cs="仿宋"/>
              </w:rPr>
              <w:t>的唯一依据。因落实政府采购政策进行价格调整的，以调整后的价格计算评标基准价和</w:t>
            </w:r>
            <w:r>
              <w:rPr>
                <w:rFonts w:ascii="仿宋" w:hAnsi="仿宋" w:eastAsia="仿宋" w:cs="仿宋"/>
                <w:lang w:eastAsia="zh-CN"/>
              </w:rPr>
              <w:t>响应</w:t>
            </w:r>
            <w:r>
              <w:rPr>
                <w:rFonts w:ascii="仿宋" w:hAnsi="仿宋" w:eastAsia="仿宋" w:cs="仿宋"/>
              </w:rPr>
              <w:t>报价。</w:t>
            </w:r>
          </w:p>
        </w:tc>
      </w:tr>
    </w:tbl>
    <w:p>
      <w:pPr>
        <w:spacing w:line="360" w:lineRule="auto"/>
        <w:jc w:val="center"/>
        <w:rPr>
          <w:rFonts w:hint="eastAsia" w:ascii="仿宋_GB2312" w:hAnsi="仿宋_GB2312" w:eastAsia="仿宋_GB2312" w:cs="仿宋_GB2312"/>
          <w:b/>
          <w:sz w:val="44"/>
        </w:rPr>
      </w:pPr>
    </w:p>
    <w:p>
      <w:pPr>
        <w:spacing w:line="360" w:lineRule="auto"/>
        <w:jc w:val="center"/>
        <w:rPr>
          <w:rFonts w:hint="eastAsia" w:ascii="仿宋_GB2312" w:hAnsi="仿宋_GB2312" w:eastAsia="仿宋_GB2312" w:cs="仿宋_GB2312"/>
          <w:b/>
          <w:sz w:val="44"/>
        </w:rPr>
      </w:pPr>
      <w:r>
        <w:rPr>
          <w:rFonts w:hint="eastAsia" w:ascii="仿宋_GB2312" w:hAnsi="仿宋_GB2312" w:eastAsia="仿宋_GB2312" w:cs="仿宋_GB2312"/>
          <w:b/>
          <w:sz w:val="44"/>
        </w:rPr>
        <w:t>第三章</w:t>
      </w:r>
    </w:p>
    <w:p>
      <w:pPr>
        <w:spacing w:line="360" w:lineRule="auto"/>
        <w:jc w:val="center"/>
        <w:rPr>
          <w:rFonts w:hint="eastAsia" w:ascii="仿宋_GB2312" w:hAnsi="仿宋_GB2312" w:eastAsia="仿宋_GB2312" w:cs="仿宋_GB2312"/>
          <w:b/>
          <w:sz w:val="44"/>
        </w:rPr>
      </w:pPr>
    </w:p>
    <w:p>
      <w:pPr>
        <w:spacing w:line="360" w:lineRule="auto"/>
        <w:jc w:val="center"/>
        <w:rPr>
          <w:rFonts w:hint="eastAsia" w:ascii="仿宋_GB2312" w:hAnsi="仿宋_GB2312" w:eastAsia="仿宋_GB2312" w:cs="仿宋_GB2312"/>
          <w:b/>
          <w:bCs/>
          <w:sz w:val="30"/>
          <w:szCs w:val="30"/>
        </w:rPr>
      </w:pPr>
      <w:r>
        <w:rPr>
          <w:rFonts w:hint="eastAsia" w:ascii="仿宋_GB2312" w:hAnsi="仿宋_GB2312" w:eastAsia="仿宋_GB2312" w:cs="仿宋_GB2312"/>
          <w:b/>
          <w:sz w:val="44"/>
        </w:rPr>
        <w:t>响应人须知</w:t>
      </w:r>
      <w:bookmarkStart w:id="8" w:name="_Toc416771321"/>
      <w:bookmarkStart w:id="9" w:name="_Toc2593"/>
      <w:bookmarkStart w:id="10" w:name="_Toc410738932"/>
      <w:bookmarkStart w:id="11" w:name="_Toc416770211"/>
      <w:bookmarkStart w:id="12" w:name="_Toc293674590"/>
      <w:bookmarkStart w:id="13" w:name="_Toc410736132"/>
    </w:p>
    <w:p>
      <w:pPr>
        <w:pStyle w:val="24"/>
        <w:ind w:firstLine="600"/>
        <w:rPr>
          <w:rFonts w:hint="eastAsia" w:ascii="仿宋_GB2312" w:hAnsi="仿宋_GB2312" w:eastAsia="仿宋_GB2312" w:cs="仿宋_GB2312"/>
          <w:b/>
          <w:bCs/>
          <w:sz w:val="30"/>
          <w:szCs w:val="30"/>
        </w:rPr>
      </w:pPr>
    </w:p>
    <w:p>
      <w:pPr>
        <w:snapToGrid w:val="0"/>
        <w:spacing w:line="360" w:lineRule="auto"/>
        <w:jc w:val="both"/>
        <w:outlineLvl w:val="0"/>
        <w:rPr>
          <w:rFonts w:hint="eastAsia" w:ascii="仿宋_GB2312" w:hAnsi="仿宋_GB2312" w:eastAsia="仿宋_GB2312" w:cs="仿宋_GB2312"/>
          <w:b/>
          <w:bCs/>
          <w:sz w:val="30"/>
          <w:szCs w:val="30"/>
        </w:rPr>
      </w:pPr>
    </w:p>
    <w:p>
      <w:pPr>
        <w:snapToGrid w:val="0"/>
        <w:spacing w:line="360" w:lineRule="auto"/>
        <w:jc w:val="center"/>
        <w:outlineLvl w:val="0"/>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一、说 明</w:t>
      </w:r>
      <w:bookmarkEnd w:id="8"/>
      <w:bookmarkEnd w:id="9"/>
      <w:bookmarkEnd w:id="10"/>
      <w:bookmarkEnd w:id="11"/>
      <w:bookmarkEnd w:id="12"/>
      <w:bookmarkEnd w:id="13"/>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14" w:name="_Toc416771322"/>
      <w:bookmarkStart w:id="15" w:name="_Toc410738933"/>
      <w:bookmarkStart w:id="16" w:name="_Toc410736133"/>
      <w:bookmarkStart w:id="17" w:name="_Toc416770212"/>
      <w:r>
        <w:rPr>
          <w:rFonts w:hint="eastAsia" w:ascii="仿宋_GB2312" w:hAnsi="仿宋_GB2312" w:eastAsia="仿宋_GB2312" w:cs="仿宋_GB2312"/>
          <w:b/>
          <w:bCs/>
          <w:sz w:val="24"/>
          <w:szCs w:val="24"/>
        </w:rPr>
        <w:t>适用范围</w:t>
      </w:r>
      <w:bookmarkEnd w:id="14"/>
      <w:bookmarkEnd w:id="15"/>
      <w:bookmarkEnd w:id="16"/>
      <w:bookmarkEnd w:id="17"/>
    </w:p>
    <w:p>
      <w:pPr>
        <w:widowControl w:val="0"/>
        <w:numPr>
          <w:ilvl w:val="1"/>
          <w:numId w:val="4"/>
        </w:numPr>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本竞争性磋商文件适用于本磋商邀请中所述项目的政府采购。</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18" w:name="_Toc416771323"/>
      <w:bookmarkStart w:id="19" w:name="_Toc410738934"/>
      <w:bookmarkStart w:id="20" w:name="_Toc416770213"/>
      <w:bookmarkStart w:id="21" w:name="_Toc410736134"/>
      <w:r>
        <w:rPr>
          <w:rFonts w:hint="eastAsia" w:ascii="仿宋_GB2312" w:hAnsi="仿宋_GB2312" w:eastAsia="仿宋_GB2312" w:cs="仿宋_GB2312"/>
          <w:b/>
          <w:bCs/>
          <w:sz w:val="24"/>
          <w:szCs w:val="24"/>
        </w:rPr>
        <w:t>监管部门及采购单位</w:t>
      </w:r>
      <w:bookmarkEnd w:id="18"/>
      <w:bookmarkEnd w:id="19"/>
      <w:bookmarkEnd w:id="20"/>
      <w:bookmarkEnd w:id="21"/>
    </w:p>
    <w:p>
      <w:pPr>
        <w:widowControl w:val="0"/>
        <w:numPr>
          <w:ilvl w:val="1"/>
          <w:numId w:val="4"/>
        </w:numPr>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监管部门指</w:t>
      </w:r>
      <w:r>
        <w:rPr>
          <w:rFonts w:hint="eastAsia" w:ascii="仿宋_GB2312" w:hAnsi="仿宋_GB2312" w:eastAsia="仿宋_GB2312" w:cs="仿宋_GB2312"/>
          <w:sz w:val="24"/>
          <w:szCs w:val="24"/>
          <w:lang w:eastAsia="zh-TW"/>
        </w:rPr>
        <w:t>同级人民政府财政部门</w:t>
      </w:r>
      <w:r>
        <w:rPr>
          <w:rFonts w:hint="eastAsia" w:ascii="仿宋_GB2312" w:hAnsi="仿宋_GB2312" w:eastAsia="仿宋_GB2312" w:cs="仿宋_GB2312"/>
          <w:sz w:val="24"/>
          <w:szCs w:val="24"/>
        </w:rPr>
        <w:t>。</w:t>
      </w:r>
    </w:p>
    <w:p>
      <w:pPr>
        <w:widowControl w:val="0"/>
        <w:numPr>
          <w:ilvl w:val="1"/>
          <w:numId w:val="4"/>
        </w:numPr>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采购单位指采购人及采购代理机构。</w:t>
      </w:r>
    </w:p>
    <w:p>
      <w:pPr>
        <w:widowControl w:val="0"/>
        <w:numPr>
          <w:ilvl w:val="1"/>
          <w:numId w:val="4"/>
        </w:numPr>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采购人指依法进行政府采购的国家机关、事业单位和团体组织。</w:t>
      </w:r>
      <w:r>
        <w:rPr>
          <w:rFonts w:hint="eastAsia" w:ascii="仿宋_GB2312" w:hAnsi="仿宋_GB2312" w:eastAsia="仿宋_GB2312" w:cs="仿宋_GB2312"/>
          <w:sz w:val="24"/>
          <w:szCs w:val="24"/>
          <w:lang w:eastAsia="zh-TW"/>
        </w:rPr>
        <w:t>本竞争性磋商文件第</w:t>
      </w:r>
      <w:r>
        <w:rPr>
          <w:rFonts w:hint="eastAsia" w:ascii="仿宋_GB2312" w:hAnsi="仿宋_GB2312" w:eastAsia="仿宋_GB2312" w:cs="仿宋_GB2312"/>
          <w:sz w:val="24"/>
          <w:szCs w:val="24"/>
        </w:rPr>
        <w:t>二</w:t>
      </w:r>
      <w:r>
        <w:rPr>
          <w:rFonts w:hint="eastAsia" w:ascii="仿宋_GB2312" w:hAnsi="仿宋_GB2312" w:eastAsia="仿宋_GB2312" w:cs="仿宋_GB2312"/>
          <w:sz w:val="24"/>
          <w:szCs w:val="24"/>
          <w:lang w:eastAsia="zh-TW"/>
        </w:rPr>
        <w:t>章</w:t>
      </w:r>
      <w:r>
        <w:rPr>
          <w:rFonts w:hint="eastAsia" w:ascii="仿宋_GB2312" w:hAnsi="仿宋_GB2312" w:eastAsia="仿宋_GB2312" w:cs="仿宋_GB2312"/>
          <w:b/>
          <w:sz w:val="24"/>
          <w:szCs w:val="24"/>
          <w:lang w:eastAsia="zh-TW"/>
        </w:rPr>
        <w:t>磋商资料表</w:t>
      </w:r>
      <w:r>
        <w:rPr>
          <w:rFonts w:hint="eastAsia" w:ascii="仿宋_GB2312" w:hAnsi="仿宋_GB2312" w:eastAsia="仿宋_GB2312" w:cs="仿宋_GB2312"/>
          <w:sz w:val="24"/>
          <w:szCs w:val="24"/>
          <w:lang w:eastAsia="zh-TW"/>
        </w:rPr>
        <w:t>中所述的采购人已拥有一笔</w:t>
      </w:r>
      <w:r>
        <w:rPr>
          <w:rFonts w:hint="eastAsia" w:ascii="仿宋_GB2312" w:hAnsi="仿宋_GB2312" w:eastAsia="仿宋_GB2312" w:cs="仿宋_GB2312"/>
          <w:sz w:val="24"/>
          <w:szCs w:val="24"/>
        </w:rPr>
        <w:t>财政性</w:t>
      </w:r>
      <w:r>
        <w:rPr>
          <w:rFonts w:hint="eastAsia" w:ascii="仿宋_GB2312" w:hAnsi="仿宋_GB2312" w:eastAsia="仿宋_GB2312" w:cs="仿宋_GB2312"/>
          <w:sz w:val="24"/>
          <w:szCs w:val="24"/>
          <w:lang w:eastAsia="zh-TW"/>
        </w:rPr>
        <w:t>资金</w:t>
      </w:r>
      <w:r>
        <w:rPr>
          <w:rFonts w:hint="eastAsia" w:ascii="仿宋_GB2312" w:hAnsi="仿宋_GB2312" w:eastAsia="仿宋_GB2312" w:cs="仿宋_GB2312"/>
          <w:sz w:val="24"/>
          <w:szCs w:val="24"/>
        </w:rPr>
        <w:t>或资金来源已落实</w:t>
      </w:r>
      <w:r>
        <w:rPr>
          <w:rFonts w:hint="eastAsia" w:ascii="仿宋_GB2312" w:hAnsi="仿宋_GB2312" w:eastAsia="仿宋_GB2312" w:cs="仿宋_GB2312"/>
          <w:sz w:val="24"/>
          <w:szCs w:val="24"/>
          <w:lang w:eastAsia="zh-TW"/>
        </w:rPr>
        <w:t>。采购人计划将一部分</w:t>
      </w:r>
      <w:r>
        <w:rPr>
          <w:rFonts w:hint="eastAsia" w:ascii="仿宋_GB2312" w:hAnsi="仿宋_GB2312" w:eastAsia="仿宋_GB2312" w:cs="仿宋_GB2312"/>
          <w:sz w:val="24"/>
          <w:szCs w:val="24"/>
        </w:rPr>
        <w:t>或全部</w:t>
      </w:r>
      <w:r>
        <w:rPr>
          <w:rFonts w:hint="eastAsia" w:ascii="仿宋_GB2312" w:hAnsi="仿宋_GB2312" w:eastAsia="仿宋_GB2312" w:cs="仿宋_GB2312"/>
          <w:sz w:val="24"/>
          <w:szCs w:val="24"/>
          <w:lang w:eastAsia="zh-TW"/>
        </w:rPr>
        <w:t>资金用于支付本次</w:t>
      </w:r>
      <w:r>
        <w:rPr>
          <w:rFonts w:hint="eastAsia" w:ascii="仿宋_GB2312" w:hAnsi="仿宋_GB2312" w:eastAsia="仿宋_GB2312" w:cs="仿宋_GB2312"/>
          <w:sz w:val="24"/>
          <w:szCs w:val="24"/>
        </w:rPr>
        <w:t>采购</w:t>
      </w:r>
      <w:r>
        <w:rPr>
          <w:rFonts w:hint="eastAsia" w:ascii="仿宋_GB2312" w:hAnsi="仿宋_GB2312" w:eastAsia="仿宋_GB2312" w:cs="仿宋_GB2312"/>
          <w:sz w:val="24"/>
          <w:szCs w:val="24"/>
          <w:lang w:eastAsia="zh-TW"/>
        </w:rPr>
        <w:t>后所签订合同项下的款项</w:t>
      </w:r>
      <w:r>
        <w:rPr>
          <w:rFonts w:hint="eastAsia" w:ascii="仿宋_GB2312" w:hAnsi="仿宋_GB2312" w:eastAsia="仿宋_GB2312" w:cs="仿宋_GB2312"/>
          <w:sz w:val="24"/>
          <w:szCs w:val="24"/>
        </w:rPr>
        <w:t>。</w:t>
      </w:r>
    </w:p>
    <w:p>
      <w:pPr>
        <w:widowControl w:val="0"/>
        <w:numPr>
          <w:ilvl w:val="1"/>
          <w:numId w:val="4"/>
        </w:numPr>
        <w:autoSpaceDE w:val="0"/>
        <w:autoSpaceDN w:val="0"/>
        <w:adjustRightInd w:val="0"/>
        <w:snapToGrid w:val="0"/>
        <w:spacing w:line="360" w:lineRule="auto"/>
        <w:jc w:val="both"/>
        <w:rPr>
          <w:rFonts w:hint="eastAsia" w:ascii="仿宋_GB2312" w:hAnsi="仿宋_GB2312" w:eastAsia="仿宋_GB2312" w:cs="仿宋_GB2312"/>
          <w:sz w:val="24"/>
          <w:szCs w:val="24"/>
        </w:rPr>
      </w:pPr>
      <w:bookmarkStart w:id="22" w:name="_Toc410736135"/>
      <w:bookmarkStart w:id="23" w:name="_Toc410738935"/>
      <w:r>
        <w:rPr>
          <w:rFonts w:hint="eastAsia" w:ascii="仿宋_GB2312" w:hAnsi="仿宋_GB2312" w:eastAsia="仿宋_GB2312" w:cs="仿宋_GB2312"/>
          <w:sz w:val="24"/>
          <w:szCs w:val="24"/>
        </w:rPr>
        <w:t>采购代理机构指按照规定办理注册登记并通过审核的代理机构。本次采购的采购代理机构名称、地址、电话和传真见</w:t>
      </w:r>
      <w:r>
        <w:rPr>
          <w:rFonts w:hint="eastAsia" w:ascii="仿宋_GB2312" w:hAnsi="仿宋_GB2312" w:eastAsia="仿宋_GB2312" w:cs="仿宋_GB2312"/>
          <w:b/>
          <w:sz w:val="24"/>
          <w:szCs w:val="24"/>
          <w:lang w:eastAsia="zh-TW"/>
        </w:rPr>
        <w:t>磋商资料表</w:t>
      </w:r>
      <w:r>
        <w:rPr>
          <w:rFonts w:hint="eastAsia" w:ascii="仿宋_GB2312" w:hAnsi="仿宋_GB2312" w:eastAsia="仿宋_GB2312" w:cs="仿宋_GB2312"/>
          <w:sz w:val="24"/>
          <w:szCs w:val="24"/>
        </w:rPr>
        <w:t>。</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24" w:name="_Toc416771324"/>
      <w:bookmarkStart w:id="25" w:name="_Toc416770214"/>
      <w:r>
        <w:rPr>
          <w:rFonts w:hint="eastAsia" w:ascii="仿宋_GB2312" w:hAnsi="仿宋_GB2312" w:eastAsia="仿宋_GB2312" w:cs="仿宋_GB2312"/>
          <w:b/>
          <w:bCs/>
          <w:sz w:val="24"/>
          <w:szCs w:val="24"/>
        </w:rPr>
        <w:t>关于响应供应商</w:t>
      </w:r>
      <w:bookmarkEnd w:id="22"/>
      <w:bookmarkEnd w:id="23"/>
      <w:r>
        <w:rPr>
          <w:rFonts w:hint="eastAsia" w:ascii="仿宋_GB2312" w:hAnsi="仿宋_GB2312" w:eastAsia="仿宋_GB2312" w:cs="仿宋_GB2312"/>
          <w:b/>
          <w:bCs/>
          <w:sz w:val="24"/>
          <w:szCs w:val="24"/>
        </w:rPr>
        <w:t>及成交供应商</w:t>
      </w:r>
      <w:bookmarkEnd w:id="24"/>
      <w:bookmarkEnd w:id="25"/>
    </w:p>
    <w:p>
      <w:pPr>
        <w:widowControl w:val="0"/>
        <w:numPr>
          <w:ilvl w:val="1"/>
          <w:numId w:val="4"/>
        </w:numPr>
        <w:autoSpaceDE w:val="0"/>
        <w:autoSpaceDN w:val="0"/>
        <w:adjustRightInd w:val="0"/>
        <w:snapToGrid w:val="0"/>
        <w:spacing w:line="360" w:lineRule="auto"/>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rPr>
        <w:t>是响应磋商并且符合竞争性磋商文件规定资格条件和参加磋商竞争的法人、其他组织或者自然人，简称：响应人。</w:t>
      </w:r>
    </w:p>
    <w:p>
      <w:pPr>
        <w:widowControl w:val="0"/>
        <w:numPr>
          <w:ilvl w:val="1"/>
          <w:numId w:val="4"/>
        </w:numPr>
        <w:autoSpaceDE w:val="0"/>
        <w:autoSpaceDN w:val="0"/>
        <w:adjustRightInd w:val="0"/>
        <w:snapToGrid w:val="0"/>
        <w:spacing w:line="360" w:lineRule="auto"/>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rPr>
        <w:t>合格的响应人</w:t>
      </w:r>
    </w:p>
    <w:p>
      <w:pPr>
        <w:widowControl w:val="0"/>
        <w:numPr>
          <w:ilvl w:val="2"/>
          <w:numId w:val="4"/>
        </w:numPr>
        <w:tabs>
          <w:tab w:val="left" w:pos="426"/>
        </w:tabs>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具有独立承担民事责任的能力。</w:t>
      </w:r>
    </w:p>
    <w:p>
      <w:pPr>
        <w:widowControl w:val="0"/>
        <w:numPr>
          <w:ilvl w:val="2"/>
          <w:numId w:val="4"/>
        </w:numPr>
        <w:tabs>
          <w:tab w:val="left" w:pos="426"/>
        </w:tabs>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具有良好的商业信誉和健全的财务会计制度。</w:t>
      </w:r>
    </w:p>
    <w:p>
      <w:pPr>
        <w:widowControl w:val="0"/>
        <w:numPr>
          <w:ilvl w:val="2"/>
          <w:numId w:val="4"/>
        </w:numPr>
        <w:tabs>
          <w:tab w:val="left" w:pos="426"/>
        </w:tabs>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具有履行合同所必需的设备和专业技术能力。</w:t>
      </w:r>
    </w:p>
    <w:p>
      <w:pPr>
        <w:widowControl w:val="0"/>
        <w:numPr>
          <w:ilvl w:val="2"/>
          <w:numId w:val="4"/>
        </w:numPr>
        <w:tabs>
          <w:tab w:val="left" w:pos="426"/>
        </w:tabs>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有依法缴纳税收和社会保障资金的良好记录。</w:t>
      </w:r>
    </w:p>
    <w:p>
      <w:pPr>
        <w:widowControl w:val="0"/>
        <w:numPr>
          <w:ilvl w:val="2"/>
          <w:numId w:val="4"/>
        </w:numPr>
        <w:tabs>
          <w:tab w:val="left" w:pos="426"/>
        </w:tabs>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参加政府采购活动前三年内，在经营活动中没有重大违法记录。</w:t>
      </w:r>
    </w:p>
    <w:p>
      <w:pPr>
        <w:widowControl w:val="0"/>
        <w:numPr>
          <w:ilvl w:val="2"/>
          <w:numId w:val="4"/>
        </w:numPr>
        <w:tabs>
          <w:tab w:val="left" w:pos="426"/>
        </w:tabs>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法律、行政法规规定的其他条件。</w:t>
      </w:r>
    </w:p>
    <w:p>
      <w:pPr>
        <w:widowControl w:val="0"/>
        <w:numPr>
          <w:ilvl w:val="2"/>
          <w:numId w:val="4"/>
        </w:numPr>
        <w:tabs>
          <w:tab w:val="left" w:pos="426"/>
        </w:tabs>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只有在法律上和财务上独立、合法运作并独立于采购人和采购代理机构的响应供货商才能参加磋商。</w:t>
      </w:r>
    </w:p>
    <w:p>
      <w:pPr>
        <w:widowControl w:val="0"/>
        <w:numPr>
          <w:ilvl w:val="2"/>
          <w:numId w:val="4"/>
        </w:numPr>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法定代表人或单位负责人为同一人或者存在直接控股、管理关系的不同单位不得同时参与同一个项目（包组）的竞争。</w:t>
      </w:r>
    </w:p>
    <w:p>
      <w:pPr>
        <w:widowControl w:val="0"/>
        <w:numPr>
          <w:ilvl w:val="2"/>
          <w:numId w:val="4"/>
        </w:numPr>
        <w:tabs>
          <w:tab w:val="left" w:pos="426"/>
        </w:tabs>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符合第一章磋商邀请“供应商资格要求”的特殊条款。</w:t>
      </w:r>
    </w:p>
    <w:p>
      <w:pPr>
        <w:widowControl w:val="0"/>
        <w:numPr>
          <w:ilvl w:val="1"/>
          <w:numId w:val="4"/>
        </w:numPr>
        <w:tabs>
          <w:tab w:val="left" w:pos="567"/>
          <w:tab w:val="clear" w:pos="360"/>
        </w:tabs>
        <w:autoSpaceDE w:val="0"/>
        <w:autoSpaceDN w:val="0"/>
        <w:adjustRightInd w:val="0"/>
        <w:snapToGrid w:val="0"/>
        <w:spacing w:line="360" w:lineRule="auto"/>
        <w:ind w:left="567" w:hanging="56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成交供应商是指经法定程序确定并授予合同的响应人，简称：成交人。</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26" w:name="_Toc381027664"/>
      <w:bookmarkStart w:id="27" w:name="_Toc416770215"/>
      <w:bookmarkStart w:id="28" w:name="_Toc416771325"/>
      <w:r>
        <w:rPr>
          <w:rFonts w:hint="eastAsia" w:ascii="仿宋_GB2312" w:hAnsi="仿宋_GB2312" w:eastAsia="仿宋_GB2312" w:cs="仿宋_GB2312"/>
          <w:b/>
          <w:bCs/>
          <w:sz w:val="24"/>
          <w:szCs w:val="24"/>
        </w:rPr>
        <w:t>合格的货物和服务</w:t>
      </w:r>
      <w:bookmarkEnd w:id="26"/>
      <w:bookmarkEnd w:id="27"/>
      <w:bookmarkEnd w:id="28"/>
    </w:p>
    <w:p>
      <w:pPr>
        <w:widowControl w:val="0"/>
        <w:numPr>
          <w:ilvl w:val="1"/>
          <w:numId w:val="4"/>
        </w:numPr>
        <w:tabs>
          <w:tab w:val="left" w:pos="567"/>
          <w:tab w:val="clear" w:pos="360"/>
        </w:tabs>
        <w:autoSpaceDE w:val="0"/>
        <w:autoSpaceDN w:val="0"/>
        <w:adjustRightInd w:val="0"/>
        <w:snapToGrid w:val="0"/>
        <w:spacing w:line="360" w:lineRule="auto"/>
        <w:ind w:left="567" w:hanging="56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货物”是指响应人制造或组织符合竞争性磋商文件要求的货物等。响应的货物必须是其合法生产、合法来源的符合国家有关标准要求的货物，并满足竞争性磋商文件规定的规格、参数、质量、价格、有效期、售后服务等要求。</w:t>
      </w:r>
    </w:p>
    <w:p>
      <w:pPr>
        <w:widowControl w:val="0"/>
        <w:numPr>
          <w:ilvl w:val="1"/>
          <w:numId w:val="4"/>
        </w:numPr>
        <w:tabs>
          <w:tab w:val="left" w:pos="567"/>
          <w:tab w:val="clear" w:pos="360"/>
        </w:tabs>
        <w:autoSpaceDE w:val="0"/>
        <w:autoSpaceDN w:val="0"/>
        <w:adjustRightInd w:val="0"/>
        <w:snapToGrid w:val="0"/>
        <w:spacing w:line="360" w:lineRule="auto"/>
        <w:ind w:left="567" w:hanging="56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“服务”是指响应人按竞争性磋商文件规定完成的全部服务内容，其中包括完成服务所需的货物，及须承担的技术支持、培训和其它伴随服务。</w:t>
      </w:r>
    </w:p>
    <w:p>
      <w:pPr>
        <w:widowControl w:val="0"/>
        <w:numPr>
          <w:ilvl w:val="1"/>
          <w:numId w:val="4"/>
        </w:numPr>
        <w:tabs>
          <w:tab w:val="left" w:pos="567"/>
          <w:tab w:val="clear" w:pos="360"/>
        </w:tabs>
        <w:autoSpaceDE w:val="0"/>
        <w:autoSpaceDN w:val="0"/>
        <w:adjustRightInd w:val="0"/>
        <w:snapToGrid w:val="0"/>
        <w:spacing w:line="360" w:lineRule="auto"/>
        <w:ind w:left="567" w:hanging="56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响应人提供的所有货物或服务，其质量、技术等特征必须符合国家、行业现行法律、法规的相关标准和《中华人民共和国政府采购法》的有关规定。</w:t>
      </w:r>
    </w:p>
    <w:p>
      <w:pPr>
        <w:widowControl w:val="0"/>
        <w:numPr>
          <w:ilvl w:val="1"/>
          <w:numId w:val="4"/>
        </w:numPr>
        <w:tabs>
          <w:tab w:val="left" w:pos="567"/>
          <w:tab w:val="clear" w:pos="360"/>
        </w:tabs>
        <w:autoSpaceDE w:val="0"/>
        <w:autoSpaceDN w:val="0"/>
        <w:adjustRightInd w:val="0"/>
        <w:snapToGrid w:val="0"/>
        <w:spacing w:line="360" w:lineRule="auto"/>
        <w:ind w:left="567" w:hanging="56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采购人有权拒绝接受任何不合格的服务，由此产生的费用及相关后果均由供应商自行承担。</w:t>
      </w:r>
    </w:p>
    <w:p>
      <w:pPr>
        <w:widowControl w:val="0"/>
        <w:numPr>
          <w:ilvl w:val="1"/>
          <w:numId w:val="4"/>
        </w:numPr>
        <w:tabs>
          <w:tab w:val="left" w:pos="567"/>
          <w:tab w:val="clear" w:pos="360"/>
        </w:tabs>
        <w:autoSpaceDE w:val="0"/>
        <w:autoSpaceDN w:val="0"/>
        <w:adjustRightInd w:val="0"/>
        <w:snapToGrid w:val="0"/>
        <w:spacing w:line="360" w:lineRule="auto"/>
        <w:ind w:left="567" w:hanging="567"/>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应保证本项目的服务或其任何一部分不会产生因第三方提出侵犯其专利权、商标权或其他知识产权而引起的法律和经济纠纷；如果响应人不拥有相应的知识产权，则须在报价中包括合法获取该知识产权的相关费用，并在响应文件中附有相关证明文件。如因第三方提出其专利权、商标权或其他知识产权的侵权之诉，则一切法律责任由响应人承担。</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29" w:name="_Toc410738937"/>
      <w:bookmarkStart w:id="30" w:name="_Toc410736137"/>
      <w:bookmarkStart w:id="31" w:name="_Toc416771326"/>
      <w:bookmarkStart w:id="32" w:name="_Toc416770216"/>
      <w:r>
        <w:rPr>
          <w:rFonts w:hint="eastAsia" w:ascii="仿宋_GB2312" w:hAnsi="仿宋_GB2312" w:eastAsia="仿宋_GB2312" w:cs="仿宋_GB2312"/>
          <w:b/>
          <w:bCs/>
          <w:sz w:val="24"/>
          <w:szCs w:val="24"/>
        </w:rPr>
        <w:t>响应费用</w:t>
      </w:r>
      <w:bookmarkEnd w:id="29"/>
      <w:bookmarkEnd w:id="30"/>
      <w:bookmarkEnd w:id="31"/>
      <w:bookmarkEnd w:id="32"/>
    </w:p>
    <w:p>
      <w:pPr>
        <w:widowControl w:val="0"/>
        <w:numPr>
          <w:ilvl w:val="1"/>
          <w:numId w:val="4"/>
        </w:numPr>
        <w:tabs>
          <w:tab w:val="left" w:pos="567"/>
          <w:tab w:val="clear" w:pos="360"/>
        </w:tabs>
        <w:autoSpaceDE w:val="0"/>
        <w:autoSpaceDN w:val="0"/>
        <w:adjustRightInd w:val="0"/>
        <w:snapToGrid w:val="0"/>
        <w:spacing w:line="360" w:lineRule="auto"/>
        <w:ind w:left="567" w:hanging="56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响应人应承担所有与准备和参加磋商有关的费用</w:t>
      </w:r>
      <w:r>
        <w:rPr>
          <w:rFonts w:hint="eastAsia" w:ascii="仿宋_GB2312" w:hAnsi="仿宋_GB2312" w:eastAsia="仿宋_GB2312" w:cs="仿宋_GB2312"/>
          <w:sz w:val="24"/>
          <w:szCs w:val="24"/>
          <w:lang w:eastAsia="zh-TW"/>
        </w:rPr>
        <w:t>。不论磋商的结果如何</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招标采购单位均无义务和责任承担这些费用</w:t>
      </w:r>
      <w:r>
        <w:rPr>
          <w:rFonts w:hint="eastAsia" w:ascii="仿宋_GB2312" w:hAnsi="仿宋_GB2312" w:eastAsia="仿宋_GB2312" w:cs="仿宋_GB2312"/>
          <w:sz w:val="24"/>
          <w:szCs w:val="24"/>
        </w:rPr>
        <w:t>。</w:t>
      </w:r>
    </w:p>
    <w:p>
      <w:pPr>
        <w:widowControl w:val="0"/>
        <w:numPr>
          <w:ilvl w:val="0"/>
          <w:numId w:val="4"/>
        </w:numPr>
        <w:autoSpaceDE w:val="0"/>
        <w:autoSpaceDN w:val="0"/>
        <w:adjustRightInd w:val="0"/>
        <w:snapToGrid w:val="0"/>
        <w:spacing w:line="360" w:lineRule="auto"/>
        <w:jc w:val="both"/>
        <w:rPr>
          <w:rFonts w:hint="eastAsia" w:ascii="仿宋_GB2312" w:hAnsi="仿宋_GB2312" w:eastAsia="仿宋_GB2312" w:cs="仿宋_GB2312"/>
          <w:b/>
          <w:bCs/>
          <w:sz w:val="24"/>
          <w:szCs w:val="24"/>
        </w:rPr>
      </w:pPr>
      <w:bookmarkStart w:id="33" w:name="_Toc381027666"/>
      <w:r>
        <w:rPr>
          <w:rFonts w:hint="eastAsia" w:ascii="仿宋_GB2312" w:hAnsi="仿宋_GB2312" w:eastAsia="仿宋_GB2312" w:cs="仿宋_GB2312"/>
          <w:b/>
          <w:bCs/>
          <w:sz w:val="24"/>
          <w:szCs w:val="24"/>
        </w:rPr>
        <w:t>政府采购信用担保</w:t>
      </w:r>
      <w:bookmarkEnd w:id="33"/>
    </w:p>
    <w:p>
      <w:pPr>
        <w:widowControl w:val="0"/>
        <w:numPr>
          <w:ilvl w:val="1"/>
          <w:numId w:val="4"/>
        </w:numPr>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根据《财政部关于开展政府采购信用担保试点工作的通知》（财库〔2011〕124号）和广东省政府采购信用担保试点实施方案粤财采购〔2011〕15号的有关精神和要求，除非</w:t>
      </w:r>
      <w:r>
        <w:rPr>
          <w:rFonts w:hint="eastAsia" w:ascii="仿宋_GB2312" w:hAnsi="仿宋_GB2312" w:eastAsia="仿宋_GB2312" w:cs="仿宋_GB2312"/>
          <w:b/>
          <w:sz w:val="24"/>
          <w:szCs w:val="24"/>
        </w:rPr>
        <w:t>磋商资料表</w:t>
      </w:r>
      <w:r>
        <w:rPr>
          <w:rFonts w:hint="eastAsia" w:ascii="仿宋_GB2312" w:hAnsi="仿宋_GB2312" w:eastAsia="仿宋_GB2312" w:cs="仿宋_GB2312"/>
          <w:sz w:val="24"/>
          <w:szCs w:val="24"/>
        </w:rPr>
        <w:t>中另有规定，本项目实施政府采购信用担保。</w:t>
      </w:r>
    </w:p>
    <w:p>
      <w:pPr>
        <w:widowControl w:val="0"/>
        <w:numPr>
          <w:ilvl w:val="1"/>
          <w:numId w:val="4"/>
        </w:numPr>
        <w:autoSpaceDE w:val="0"/>
        <w:autoSpaceDN w:val="0"/>
        <w:adjustRightInd w:val="0"/>
        <w:snapToGrid w:val="0"/>
        <w:spacing w:line="360" w:lineRule="auto"/>
        <w:jc w:val="both"/>
        <w:rPr>
          <w:rFonts w:hint="eastAsia" w:ascii="仿宋_GB2312" w:hAnsi="仿宋_GB2312" w:eastAsia="仿宋_GB2312" w:cs="仿宋_GB2312"/>
          <w:b/>
          <w:bCs/>
          <w:sz w:val="24"/>
          <w:szCs w:val="24"/>
        </w:rPr>
      </w:pPr>
      <w:bookmarkStart w:id="34" w:name="_Toc315793298"/>
      <w:r>
        <w:rPr>
          <w:rFonts w:hint="eastAsia" w:ascii="仿宋_GB2312" w:hAnsi="仿宋_GB2312" w:eastAsia="仿宋_GB2312" w:cs="仿宋_GB2312"/>
          <w:sz w:val="24"/>
          <w:szCs w:val="24"/>
        </w:rPr>
        <w:t>响应担保，是指由专业担保机构为供应商履行支付磋商保证金的义务向采购人或采购代理机构提供的保证担保。供应商在响应有效期内发生的撤回响应文件，或成交后因自身原因不签署政府采购合同等行为而应实际支付保证金的，由专业担保机构按照担保函的约定履行担保责任。供应商可以自愿选择是否采取响应担保函的形式交纳磋商保证金。</w:t>
      </w:r>
      <w:bookmarkEnd w:id="34"/>
    </w:p>
    <w:p>
      <w:pPr>
        <w:widowControl w:val="0"/>
        <w:numPr>
          <w:ilvl w:val="1"/>
          <w:numId w:val="4"/>
        </w:numPr>
        <w:autoSpaceDE w:val="0"/>
        <w:autoSpaceDN w:val="0"/>
        <w:adjustRightInd w:val="0"/>
        <w:snapToGrid w:val="0"/>
        <w:spacing w:line="360" w:lineRule="auto"/>
        <w:jc w:val="both"/>
        <w:rPr>
          <w:rFonts w:hint="eastAsia" w:ascii="仿宋_GB2312" w:hAnsi="仿宋_GB2312" w:eastAsia="仿宋_GB2312" w:cs="仿宋_GB2312"/>
          <w:b/>
          <w:bCs/>
          <w:sz w:val="24"/>
          <w:szCs w:val="24"/>
        </w:rPr>
      </w:pPr>
      <w:bookmarkStart w:id="35" w:name="_Toc315793299"/>
      <w:r>
        <w:rPr>
          <w:rFonts w:hint="eastAsia" w:ascii="仿宋_GB2312" w:hAnsi="仿宋_GB2312" w:eastAsia="仿宋_GB2312" w:cs="仿宋_GB2312"/>
          <w:sz w:val="24"/>
          <w:szCs w:val="24"/>
        </w:rPr>
        <w:t>履约担保，是指由专业担保机构为供应商支付履约保证金的义务向采购人提供的保证担保。成交人未按政府采购合同履行约定义务而应实际支付保证金的，由专业担保机构按照担保函约定履行担保责任。供应商可以自行选择是否采取履约担保函的形式交纳履约保证金。</w:t>
      </w:r>
      <w:bookmarkEnd w:id="35"/>
    </w:p>
    <w:p>
      <w:pPr>
        <w:widowControl w:val="0"/>
        <w:numPr>
          <w:ilvl w:val="1"/>
          <w:numId w:val="4"/>
        </w:numPr>
        <w:autoSpaceDE w:val="0"/>
        <w:autoSpaceDN w:val="0"/>
        <w:adjustRightInd w:val="0"/>
        <w:snapToGrid w:val="0"/>
        <w:spacing w:line="360" w:lineRule="auto"/>
        <w:jc w:val="both"/>
        <w:rPr>
          <w:rFonts w:hint="eastAsia" w:ascii="仿宋_GB2312" w:hAnsi="仿宋_GB2312" w:eastAsia="仿宋_GB2312" w:cs="仿宋_GB2312"/>
          <w:sz w:val="24"/>
          <w:szCs w:val="24"/>
        </w:rPr>
      </w:pPr>
      <w:bookmarkStart w:id="36" w:name="_Toc315793300"/>
      <w:r>
        <w:rPr>
          <w:rFonts w:hint="eastAsia" w:ascii="仿宋_GB2312" w:hAnsi="仿宋_GB2312" w:eastAsia="仿宋_GB2312" w:cs="仿宋_GB2312"/>
          <w:sz w:val="24"/>
          <w:szCs w:val="24"/>
        </w:rPr>
        <w:t>融资担保，是指由专业担保机构为供应商向银行融资提供的保证担保。供应商可以自愿选择是否采取融资担保的形式为政府采购履约进行融资。</w:t>
      </w:r>
      <w:bookmarkEnd w:id="36"/>
    </w:p>
    <w:p>
      <w:pPr>
        <w:widowControl w:val="0"/>
        <w:numPr>
          <w:ilvl w:val="1"/>
          <w:numId w:val="4"/>
        </w:numPr>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专业担保机构的选择。除非</w:t>
      </w:r>
      <w:r>
        <w:rPr>
          <w:rFonts w:hint="eastAsia" w:ascii="仿宋_GB2312" w:hAnsi="仿宋_GB2312" w:eastAsia="仿宋_GB2312" w:cs="仿宋_GB2312"/>
          <w:b/>
          <w:sz w:val="24"/>
          <w:szCs w:val="24"/>
        </w:rPr>
        <w:t>磋商资料表</w:t>
      </w:r>
      <w:r>
        <w:rPr>
          <w:rFonts w:hint="eastAsia" w:ascii="仿宋_GB2312" w:hAnsi="仿宋_GB2312" w:eastAsia="仿宋_GB2312" w:cs="仿宋_GB2312"/>
          <w:sz w:val="24"/>
          <w:szCs w:val="24"/>
        </w:rPr>
        <w:t>中另有规定，响应人必须选定中国投资担保有限公司、广东省融资再担保公司、东莞市金鼎融资担保公司任一家作为专业担保机构。</w:t>
      </w:r>
    </w:p>
    <w:p>
      <w:pPr>
        <w:widowControl w:val="0"/>
        <w:numPr>
          <w:ilvl w:val="1"/>
          <w:numId w:val="4"/>
        </w:numPr>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供应商可以响应担保函的形式交纳磋商保证金，并以《政府采购投标担保函》作为响应文件的附件。</w:t>
      </w:r>
    </w:p>
    <w:p>
      <w:pPr>
        <w:widowControl w:val="0"/>
        <w:numPr>
          <w:ilvl w:val="1"/>
          <w:numId w:val="4"/>
        </w:numPr>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供应商可以以履约担保函的形式交纳履约保证金。</w:t>
      </w:r>
    </w:p>
    <w:p>
      <w:pPr>
        <w:widowControl w:val="0"/>
        <w:numPr>
          <w:ilvl w:val="0"/>
          <w:numId w:val="4"/>
        </w:numPr>
        <w:autoSpaceDE w:val="0"/>
        <w:autoSpaceDN w:val="0"/>
        <w:adjustRightInd w:val="0"/>
        <w:snapToGrid w:val="0"/>
        <w:spacing w:line="360" w:lineRule="auto"/>
        <w:jc w:val="both"/>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其他</w:t>
      </w:r>
    </w:p>
    <w:p>
      <w:pPr>
        <w:widowControl w:val="0"/>
        <w:numPr>
          <w:ilvl w:val="1"/>
          <w:numId w:val="4"/>
        </w:numPr>
        <w:autoSpaceDE w:val="0"/>
        <w:autoSpaceDN w:val="0"/>
        <w:adjustRightInd w:val="0"/>
        <w:snapToGrid w:val="0"/>
        <w:spacing w:line="360" w:lineRule="auto"/>
        <w:jc w:val="both"/>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所有时间均为24小时制北京时间，所有货币单位均为人民币元，所使用的计量单位均以《中华人民共和国法定计量单位》为准（特别注明除外）</w:t>
      </w:r>
      <w:r>
        <w:rPr>
          <w:rFonts w:hint="eastAsia" w:ascii="仿宋_GB2312" w:hAnsi="仿宋_GB2312" w:eastAsia="仿宋_GB2312" w:cs="仿宋_GB2312"/>
          <w:sz w:val="24"/>
          <w:szCs w:val="24"/>
        </w:rPr>
        <w:t>。</w:t>
      </w:r>
    </w:p>
    <w:p>
      <w:pPr>
        <w:snapToGrid w:val="0"/>
        <w:spacing w:before="312" w:beforeLines="100" w:after="312" w:afterLines="100" w:line="360" w:lineRule="auto"/>
        <w:jc w:val="center"/>
        <w:outlineLvl w:val="0"/>
        <w:rPr>
          <w:rFonts w:hint="eastAsia" w:ascii="仿宋_GB2312" w:hAnsi="仿宋_GB2312" w:eastAsia="仿宋_GB2312" w:cs="仿宋_GB2312"/>
          <w:b/>
          <w:sz w:val="30"/>
          <w:szCs w:val="30"/>
          <w:lang w:eastAsia="zh-TW"/>
        </w:rPr>
      </w:pPr>
      <w:bookmarkStart w:id="37" w:name="_Toc410736139"/>
      <w:bookmarkStart w:id="38" w:name="_Toc416771327"/>
      <w:bookmarkStart w:id="39" w:name="_Toc416770217"/>
      <w:bookmarkStart w:id="40" w:name="_Toc410738939"/>
      <w:bookmarkStart w:id="41" w:name="_Toc296"/>
      <w:r>
        <w:rPr>
          <w:rFonts w:hint="eastAsia" w:ascii="仿宋_GB2312" w:hAnsi="仿宋_GB2312" w:eastAsia="仿宋_GB2312" w:cs="仿宋_GB2312"/>
          <w:b/>
          <w:sz w:val="30"/>
          <w:szCs w:val="30"/>
          <w:lang w:eastAsia="zh-TW"/>
        </w:rPr>
        <w:t>二、竞争性磋商文件</w:t>
      </w:r>
      <w:bookmarkEnd w:id="37"/>
      <w:bookmarkEnd w:id="38"/>
      <w:bookmarkEnd w:id="39"/>
      <w:bookmarkEnd w:id="40"/>
      <w:bookmarkEnd w:id="41"/>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42" w:name="_Toc416771328"/>
      <w:bookmarkStart w:id="43" w:name="_Toc416770218"/>
      <w:bookmarkStart w:id="44" w:name="_Toc410736140"/>
      <w:bookmarkStart w:id="45" w:name="_Toc410738940"/>
      <w:r>
        <w:rPr>
          <w:rFonts w:hint="eastAsia" w:ascii="仿宋_GB2312" w:hAnsi="仿宋_GB2312" w:eastAsia="仿宋_GB2312" w:cs="仿宋_GB2312"/>
          <w:b/>
          <w:bCs/>
          <w:sz w:val="24"/>
          <w:szCs w:val="24"/>
        </w:rPr>
        <w:t>竞争性磋商文件的编制依据与构成</w:t>
      </w:r>
      <w:bookmarkEnd w:id="42"/>
      <w:bookmarkEnd w:id="43"/>
      <w:bookmarkEnd w:id="44"/>
      <w:bookmarkEnd w:id="45"/>
    </w:p>
    <w:p>
      <w:pPr>
        <w:widowControl w:val="0"/>
        <w:numPr>
          <w:ilvl w:val="1"/>
          <w:numId w:val="4"/>
        </w:numPr>
        <w:tabs>
          <w:tab w:val="left" w:pos="567"/>
          <w:tab w:val="clear" w:pos="360"/>
        </w:tabs>
        <w:autoSpaceDE w:val="0"/>
        <w:autoSpaceDN w:val="0"/>
        <w:adjustRightInd w:val="0"/>
        <w:snapToGrid w:val="0"/>
        <w:spacing w:line="360" w:lineRule="auto"/>
        <w:ind w:left="567" w:hanging="56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本竞争性磋商文件的编制依据《中华人民共和国政府采购法》及其实施条例、《政府采购竞争性磋商采购方式管理暂行办法》及其配套的法规、规章、政策。</w:t>
      </w:r>
    </w:p>
    <w:p>
      <w:pPr>
        <w:widowControl w:val="0"/>
        <w:numPr>
          <w:ilvl w:val="1"/>
          <w:numId w:val="4"/>
        </w:numPr>
        <w:tabs>
          <w:tab w:val="left" w:pos="567"/>
          <w:tab w:val="clear" w:pos="360"/>
        </w:tabs>
        <w:autoSpaceDE w:val="0"/>
        <w:autoSpaceDN w:val="0"/>
        <w:adjustRightInd w:val="0"/>
        <w:snapToGrid w:val="0"/>
        <w:spacing w:line="360" w:lineRule="auto"/>
        <w:ind w:left="567" w:hanging="56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要求提供的货物或服务</w:t>
      </w:r>
      <w:r>
        <w:rPr>
          <w:rFonts w:hint="eastAsia" w:ascii="仿宋_GB2312" w:hAnsi="仿宋_GB2312" w:eastAsia="仿宋_GB2312" w:cs="仿宋_GB2312"/>
          <w:sz w:val="24"/>
          <w:szCs w:val="24"/>
          <w:lang w:eastAsia="zh-TW"/>
        </w:rPr>
        <w:t>、</w:t>
      </w:r>
      <w:r>
        <w:rPr>
          <w:rFonts w:hint="eastAsia" w:ascii="仿宋_GB2312" w:hAnsi="仿宋_GB2312" w:eastAsia="仿宋_GB2312" w:cs="仿宋_GB2312"/>
          <w:sz w:val="24"/>
          <w:szCs w:val="24"/>
        </w:rPr>
        <w:t>采购</w:t>
      </w:r>
      <w:r>
        <w:rPr>
          <w:rFonts w:hint="eastAsia" w:ascii="仿宋_GB2312" w:hAnsi="仿宋_GB2312" w:eastAsia="仿宋_GB2312" w:cs="仿宋_GB2312"/>
          <w:sz w:val="24"/>
          <w:szCs w:val="24"/>
          <w:lang w:eastAsia="zh-TW"/>
        </w:rPr>
        <w:t>过程和合同条件在竞争性磋商文件中均有说明。竞争性磋商文件以中文文字编写。</w:t>
      </w:r>
    </w:p>
    <w:p>
      <w:pPr>
        <w:snapToGrid w:val="0"/>
        <w:spacing w:line="360" w:lineRule="auto"/>
        <w:ind w:left="567" w:hanging="1"/>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竞争性磋商文件共</w:t>
      </w:r>
      <w:r>
        <w:rPr>
          <w:rFonts w:hint="eastAsia" w:ascii="仿宋_GB2312" w:hAnsi="仿宋_GB2312" w:eastAsia="仿宋_GB2312" w:cs="仿宋_GB2312"/>
          <w:sz w:val="24"/>
          <w:szCs w:val="24"/>
        </w:rPr>
        <w:t>六</w:t>
      </w:r>
      <w:r>
        <w:rPr>
          <w:rFonts w:hint="eastAsia" w:ascii="仿宋_GB2312" w:hAnsi="仿宋_GB2312" w:eastAsia="仿宋_GB2312" w:cs="仿宋_GB2312"/>
          <w:sz w:val="24"/>
          <w:szCs w:val="24"/>
          <w:lang w:eastAsia="zh-TW"/>
        </w:rPr>
        <w:t>章</w:t>
      </w:r>
      <w:r>
        <w:rPr>
          <w:rFonts w:hint="eastAsia" w:ascii="仿宋_GB2312" w:hAnsi="仿宋_GB2312" w:eastAsia="仿宋_GB2312" w:cs="仿宋_GB2312"/>
          <w:sz w:val="24"/>
          <w:szCs w:val="24"/>
        </w:rPr>
        <w:t>，由下列文件以及在采购过程中发出的澄清、修改和补充文件组成，</w:t>
      </w:r>
      <w:r>
        <w:rPr>
          <w:rFonts w:hint="eastAsia" w:ascii="仿宋_GB2312" w:hAnsi="仿宋_GB2312" w:eastAsia="仿宋_GB2312" w:cs="仿宋_GB2312"/>
          <w:sz w:val="24"/>
          <w:szCs w:val="24"/>
          <w:lang w:eastAsia="zh-TW"/>
        </w:rPr>
        <w:t>内容如下</w:t>
      </w:r>
      <w:r>
        <w:rPr>
          <w:rFonts w:hint="eastAsia" w:ascii="仿宋_GB2312" w:hAnsi="仿宋_GB2312" w:eastAsia="仿宋_GB2312" w:cs="仿宋_GB2312"/>
          <w:sz w:val="24"/>
          <w:szCs w:val="24"/>
        </w:rPr>
        <w:t>：</w:t>
      </w:r>
    </w:p>
    <w:p>
      <w:pPr>
        <w:snapToGrid w:val="0"/>
        <w:spacing w:line="360" w:lineRule="auto"/>
        <w:ind w:firstLine="638" w:firstLineChars="266"/>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第一章 </w:t>
      </w:r>
      <w:r>
        <w:rPr>
          <w:rFonts w:hint="eastAsia" w:ascii="仿宋_GB2312" w:hAnsi="仿宋_GB2312" w:eastAsia="仿宋_GB2312" w:cs="仿宋_GB2312"/>
          <w:sz w:val="24"/>
          <w:szCs w:val="24"/>
          <w:lang w:eastAsia="zh-TW"/>
        </w:rPr>
        <w:t>磋商邀请</w:t>
      </w:r>
    </w:p>
    <w:p>
      <w:pPr>
        <w:snapToGrid w:val="0"/>
        <w:spacing w:line="360" w:lineRule="auto"/>
        <w:ind w:firstLine="638" w:firstLineChars="266"/>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第二章 </w:t>
      </w:r>
      <w:r>
        <w:rPr>
          <w:rFonts w:hint="eastAsia" w:ascii="仿宋_GB2312" w:hAnsi="仿宋_GB2312" w:eastAsia="仿宋_GB2312" w:cs="仿宋_GB2312"/>
          <w:sz w:val="24"/>
          <w:szCs w:val="24"/>
          <w:lang w:eastAsia="zh-TW"/>
        </w:rPr>
        <w:t>磋商资料表</w:t>
      </w:r>
    </w:p>
    <w:p>
      <w:pPr>
        <w:snapToGrid w:val="0"/>
        <w:spacing w:line="360" w:lineRule="auto"/>
        <w:ind w:firstLine="638" w:firstLineChars="266"/>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第三章 响应人须知</w:t>
      </w:r>
    </w:p>
    <w:p>
      <w:pPr>
        <w:pStyle w:val="23"/>
        <w:ind w:firstLine="638" w:firstLineChars="266"/>
        <w:rPr>
          <w:rFonts w:hint="eastAsia" w:ascii="仿宋_GB2312" w:hAnsi="仿宋_GB2312" w:eastAsia="仿宋_GB2312" w:cs="仿宋_GB2312"/>
        </w:rPr>
      </w:pPr>
      <w:r>
        <w:rPr>
          <w:rFonts w:hint="eastAsia" w:ascii="仿宋_GB2312" w:hAnsi="仿宋_GB2312" w:eastAsia="仿宋_GB2312" w:cs="仿宋_GB2312"/>
          <w:sz w:val="24"/>
          <w:szCs w:val="24"/>
        </w:rPr>
        <w:t>第四章 合同资料表</w:t>
      </w:r>
    </w:p>
    <w:p>
      <w:pPr>
        <w:snapToGrid w:val="0"/>
        <w:spacing w:line="360" w:lineRule="auto"/>
        <w:ind w:firstLine="638" w:firstLineChars="266"/>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第五章 </w:t>
      </w:r>
      <w:r>
        <w:rPr>
          <w:rFonts w:hint="eastAsia" w:ascii="仿宋_GB2312" w:hAnsi="仿宋_GB2312" w:eastAsia="仿宋_GB2312" w:cs="仿宋_GB2312"/>
          <w:sz w:val="24"/>
          <w:szCs w:val="24"/>
          <w:lang w:eastAsia="zh-TW"/>
        </w:rPr>
        <w:t>用户需求书</w:t>
      </w:r>
    </w:p>
    <w:p>
      <w:pPr>
        <w:snapToGrid w:val="0"/>
        <w:spacing w:line="360" w:lineRule="auto"/>
        <w:ind w:firstLine="638" w:firstLineChars="266"/>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第六章 </w:t>
      </w:r>
      <w:r>
        <w:rPr>
          <w:rFonts w:hint="eastAsia" w:ascii="仿宋_GB2312" w:hAnsi="仿宋_GB2312" w:eastAsia="仿宋_GB2312" w:cs="仿宋_GB2312"/>
          <w:sz w:val="24"/>
          <w:szCs w:val="24"/>
          <w:lang w:eastAsia="zh-TW"/>
        </w:rPr>
        <w:t>合同条款</w:t>
      </w:r>
    </w:p>
    <w:p>
      <w:pPr>
        <w:snapToGrid w:val="0"/>
        <w:spacing w:line="360" w:lineRule="auto"/>
        <w:ind w:firstLine="638" w:firstLineChars="266"/>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第</w:t>
      </w:r>
      <w:r>
        <w:rPr>
          <w:rFonts w:hint="eastAsia" w:ascii="仿宋_GB2312" w:hAnsi="仿宋_GB2312" w:eastAsia="仿宋_GB2312" w:cs="仿宋_GB2312"/>
          <w:sz w:val="24"/>
          <w:szCs w:val="24"/>
        </w:rPr>
        <w:t>七</w:t>
      </w:r>
      <w:r>
        <w:rPr>
          <w:rFonts w:hint="eastAsia" w:ascii="仿宋_GB2312" w:hAnsi="仿宋_GB2312" w:eastAsia="仿宋_GB2312" w:cs="仿宋_GB2312"/>
          <w:sz w:val="24"/>
          <w:szCs w:val="24"/>
          <w:lang w:eastAsia="zh-TW"/>
        </w:rPr>
        <w:t>章</w:t>
      </w:r>
      <w:r>
        <w:rPr>
          <w:rFonts w:hint="eastAsia" w:ascii="仿宋_GB2312" w:hAnsi="仿宋_GB2312" w:eastAsia="仿宋_GB2312" w:cs="仿宋_GB2312"/>
          <w:sz w:val="24"/>
          <w:szCs w:val="24"/>
        </w:rPr>
        <w:t xml:space="preserve"> 响应文件格式</w:t>
      </w:r>
    </w:p>
    <w:p>
      <w:pPr>
        <w:widowControl w:val="0"/>
        <w:numPr>
          <w:ilvl w:val="1"/>
          <w:numId w:val="4"/>
        </w:numPr>
        <w:tabs>
          <w:tab w:val="left" w:pos="567"/>
          <w:tab w:val="clear" w:pos="360"/>
        </w:tabs>
        <w:autoSpaceDE w:val="0"/>
        <w:autoSpaceDN w:val="0"/>
        <w:adjustRightInd w:val="0"/>
        <w:snapToGrid w:val="0"/>
        <w:spacing w:line="360" w:lineRule="auto"/>
        <w:ind w:left="567" w:hanging="56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应认真阅读</w:t>
      </w:r>
      <w:r>
        <w:rPr>
          <w:rFonts w:hint="eastAsia" w:ascii="仿宋_GB2312" w:hAnsi="仿宋_GB2312" w:eastAsia="仿宋_GB2312" w:cs="仿宋_GB2312"/>
          <w:sz w:val="24"/>
          <w:szCs w:val="24"/>
        </w:rPr>
        <w:t>、并充分理解竞争性磋商文件的全部内容（包括所有的补充、修改内容、重要事项、格式、条款和技术规范、参数及要求等）。响应人没有按照竞争性磋商文件要求提交全部资料，或者响应文件没有对竞争性磋商文件在各方面都作出实质性响应是响应人的风险，有可能导致其磋商响应被拒绝，或被认定为无效响应或被确定为响应无效。</w:t>
      </w:r>
    </w:p>
    <w:p>
      <w:pPr>
        <w:widowControl w:val="0"/>
        <w:numPr>
          <w:ilvl w:val="1"/>
          <w:numId w:val="4"/>
        </w:numPr>
        <w:tabs>
          <w:tab w:val="left" w:pos="567"/>
          <w:tab w:val="clear" w:pos="360"/>
        </w:tabs>
        <w:autoSpaceDE w:val="0"/>
        <w:autoSpaceDN w:val="0"/>
        <w:adjustRightInd w:val="0"/>
        <w:snapToGrid w:val="0"/>
        <w:spacing w:line="360" w:lineRule="auto"/>
        <w:ind w:left="567" w:hanging="567"/>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本竞争性磋商文件的解释权归“</w:t>
      </w:r>
      <w:r>
        <w:rPr>
          <w:rFonts w:hint="eastAsia" w:ascii="仿宋_GB2312" w:hAnsi="仿宋_GB2312" w:eastAsia="仿宋_GB2312" w:cs="仿宋_GB2312"/>
          <w:sz w:val="24"/>
          <w:szCs w:val="24"/>
        </w:rPr>
        <w:t>横琴粤澳深度合作区城市规划和建设局</w:t>
      </w:r>
      <w:r>
        <w:rPr>
          <w:rFonts w:hint="eastAsia" w:ascii="仿宋_GB2312" w:hAnsi="仿宋_GB2312" w:eastAsia="仿宋_GB2312" w:cs="仿宋_GB2312"/>
          <w:sz w:val="24"/>
          <w:szCs w:val="24"/>
          <w:lang w:eastAsia="zh-TW"/>
        </w:rPr>
        <w:t>及珠海华信达工程顾问有限公司”所有。</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46" w:name="_Toc410738941"/>
      <w:bookmarkStart w:id="47" w:name="_Toc410736141"/>
      <w:bookmarkStart w:id="48" w:name="_Toc416770219"/>
      <w:bookmarkStart w:id="49" w:name="_Toc416771329"/>
      <w:r>
        <w:rPr>
          <w:rFonts w:hint="eastAsia" w:ascii="仿宋_GB2312" w:hAnsi="仿宋_GB2312" w:eastAsia="仿宋_GB2312" w:cs="仿宋_GB2312"/>
          <w:b/>
          <w:bCs/>
          <w:sz w:val="24"/>
          <w:szCs w:val="24"/>
        </w:rPr>
        <w:t>竞争性磋商文件的澄清</w:t>
      </w:r>
      <w:bookmarkEnd w:id="46"/>
      <w:bookmarkEnd w:id="47"/>
      <w:r>
        <w:rPr>
          <w:rFonts w:hint="eastAsia" w:ascii="仿宋_GB2312" w:hAnsi="仿宋_GB2312" w:eastAsia="仿宋_GB2312" w:cs="仿宋_GB2312"/>
          <w:b/>
          <w:bCs/>
          <w:sz w:val="24"/>
          <w:szCs w:val="24"/>
        </w:rPr>
        <w:t>及修改</w:t>
      </w:r>
      <w:bookmarkEnd w:id="48"/>
      <w:bookmarkEnd w:id="49"/>
    </w:p>
    <w:p>
      <w:pPr>
        <w:widowControl w:val="0"/>
        <w:numPr>
          <w:ilvl w:val="1"/>
          <w:numId w:val="4"/>
        </w:numPr>
        <w:autoSpaceDE w:val="0"/>
        <w:autoSpaceDN w:val="0"/>
        <w:adjustRightInd w:val="0"/>
        <w:snapToGrid w:val="0"/>
        <w:spacing w:line="360" w:lineRule="auto"/>
        <w:jc w:val="both"/>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无论出于何种原因</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招标采购单位可以主动地或在解答</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提出的疑问时对已发出的竞争性磋商文件进行必要的澄清或修改（更正）的，在提交首次响应文件截止时间至少5日前在指定媒体上发布公告，并通知所有报名及购买竞争性磋商文件的</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，报名及购买竞争性磋商文件的</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在收到澄清或修改（更正）通知后应按要求以书面形式（传真有效）予以确认，如在24小时之内无书面回函则视为同意修改内容，并有责任履行相应的义务。澄清或修改（更正）不足5日的，</w:t>
      </w:r>
      <w:r>
        <w:rPr>
          <w:rFonts w:hint="eastAsia" w:ascii="仿宋_GB2312" w:hAnsi="仿宋_GB2312" w:eastAsia="仿宋_GB2312" w:cs="仿宋_GB2312"/>
          <w:sz w:val="24"/>
          <w:szCs w:val="24"/>
        </w:rPr>
        <w:t>但可能不影响响应文件编制的，</w:t>
      </w:r>
      <w:r>
        <w:rPr>
          <w:rFonts w:hint="eastAsia" w:ascii="仿宋_GB2312" w:hAnsi="仿宋_GB2312" w:eastAsia="仿宋_GB2312" w:cs="仿宋_GB2312"/>
          <w:sz w:val="24"/>
          <w:szCs w:val="24"/>
          <w:lang w:eastAsia="zh-TW"/>
        </w:rPr>
        <w:t>招标采购单位在征得当时已报名及购买竞争性磋商文件的</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同意并书面确认（传真有效）后，可不改</w:t>
      </w:r>
      <w:r>
        <w:rPr>
          <w:rFonts w:hint="eastAsia" w:ascii="仿宋_GB2312" w:hAnsi="仿宋_GB2312" w:eastAsia="仿宋_GB2312" w:cs="仿宋_GB2312"/>
          <w:sz w:val="24"/>
          <w:szCs w:val="24"/>
        </w:rPr>
        <w:t>变响应截止时间。</w:t>
      </w:r>
    </w:p>
    <w:p>
      <w:pPr>
        <w:widowControl w:val="0"/>
        <w:numPr>
          <w:ilvl w:val="1"/>
          <w:numId w:val="4"/>
        </w:numPr>
        <w:autoSpaceDE w:val="0"/>
        <w:autoSpaceDN w:val="0"/>
        <w:adjustRightInd w:val="0"/>
        <w:snapToGrid w:val="0"/>
        <w:spacing w:line="360" w:lineRule="auto"/>
        <w:jc w:val="both"/>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招标采购单位</w:t>
      </w:r>
      <w:r>
        <w:rPr>
          <w:rFonts w:hint="eastAsia" w:ascii="仿宋_GB2312" w:hAnsi="仿宋_GB2312" w:eastAsia="仿宋_GB2312" w:cs="仿宋_GB2312"/>
          <w:sz w:val="24"/>
          <w:szCs w:val="24"/>
        </w:rPr>
        <w:t>发出的澄清或修改（更正）的内容为竞争性磋商文件的组成部分，</w:t>
      </w:r>
      <w:r>
        <w:rPr>
          <w:rFonts w:hint="eastAsia" w:ascii="仿宋_GB2312" w:hAnsi="仿宋_GB2312" w:eastAsia="仿宋_GB2312" w:cs="仿宋_GB2312"/>
          <w:sz w:val="24"/>
          <w:szCs w:val="24"/>
          <w:lang w:eastAsia="zh-TW"/>
        </w:rPr>
        <w:t>并对潜在</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具有约束力</w:t>
      </w:r>
      <w:r>
        <w:rPr>
          <w:rFonts w:hint="eastAsia" w:ascii="仿宋_GB2312" w:hAnsi="仿宋_GB2312" w:eastAsia="仿宋_GB2312" w:cs="仿宋_GB2312"/>
          <w:sz w:val="24"/>
          <w:szCs w:val="24"/>
        </w:rPr>
        <w:t>。</w:t>
      </w:r>
    </w:p>
    <w:p>
      <w:pPr>
        <w:widowControl w:val="0"/>
        <w:numPr>
          <w:ilvl w:val="1"/>
          <w:numId w:val="4"/>
        </w:numPr>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在规定的时间内未对竞争性磋商文件澄清或提出疑问的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招标采购单位将视其为无异议。对竞争性磋商文件中描述有歧意或前后不一致的地方，</w:t>
      </w:r>
      <w:r>
        <w:rPr>
          <w:rFonts w:hint="eastAsia" w:ascii="仿宋_GB2312" w:hAnsi="仿宋_GB2312" w:eastAsia="仿宋_GB2312" w:cs="仿宋_GB2312"/>
          <w:sz w:val="24"/>
          <w:szCs w:val="24"/>
        </w:rPr>
        <w:t>磋商小组</w:t>
      </w:r>
      <w:r>
        <w:rPr>
          <w:rFonts w:hint="eastAsia" w:ascii="仿宋_GB2312" w:hAnsi="仿宋_GB2312" w:eastAsia="仿宋_GB2312" w:cs="仿宋_GB2312"/>
          <w:sz w:val="24"/>
          <w:szCs w:val="24"/>
          <w:lang w:eastAsia="zh-TW"/>
        </w:rPr>
        <w:t>有权进行评判，但对同一条款的评判应适用于每个</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50" w:name="_Toc434343657"/>
      <w:bookmarkStart w:id="51" w:name="_Toc433127757"/>
      <w:r>
        <w:rPr>
          <w:rFonts w:hint="eastAsia" w:ascii="仿宋_GB2312" w:hAnsi="仿宋_GB2312" w:eastAsia="仿宋_GB2312" w:cs="仿宋_GB2312"/>
          <w:b/>
          <w:bCs/>
          <w:sz w:val="24"/>
          <w:szCs w:val="24"/>
        </w:rPr>
        <w:t>竞争性磋商文件的答疑或现场考察</w:t>
      </w:r>
      <w:bookmarkEnd w:id="50"/>
      <w:bookmarkEnd w:id="51"/>
    </w:p>
    <w:p>
      <w:pPr>
        <w:widowControl w:val="0"/>
        <w:numPr>
          <w:ilvl w:val="1"/>
          <w:numId w:val="4"/>
        </w:numPr>
        <w:tabs>
          <w:tab w:val="left" w:pos="567"/>
          <w:tab w:val="clear" w:pos="360"/>
        </w:tabs>
        <w:autoSpaceDE w:val="0"/>
        <w:autoSpaceDN w:val="0"/>
        <w:adjustRightInd w:val="0"/>
        <w:snapToGrid w:val="0"/>
        <w:spacing w:line="360" w:lineRule="auto"/>
        <w:ind w:left="567" w:hanging="567"/>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除非依本须知</w:t>
      </w:r>
      <w:r>
        <w:rPr>
          <w:rFonts w:hint="eastAsia" w:ascii="仿宋_GB2312" w:hAnsi="仿宋_GB2312" w:eastAsia="仿宋_GB2312" w:cs="仿宋_GB2312"/>
          <w:sz w:val="24"/>
          <w:szCs w:val="24"/>
        </w:rPr>
        <w:t>9.1规定的有</w:t>
      </w:r>
      <w:r>
        <w:rPr>
          <w:rFonts w:hint="eastAsia" w:ascii="仿宋_GB2312" w:hAnsi="仿宋_GB2312" w:eastAsia="仿宋_GB2312" w:cs="仿宋_GB2312"/>
          <w:sz w:val="24"/>
          <w:szCs w:val="24"/>
          <w:lang w:eastAsia="zh-TW"/>
        </w:rPr>
        <w:t>必要时</w:t>
      </w:r>
      <w:r>
        <w:rPr>
          <w:rFonts w:hint="eastAsia" w:ascii="仿宋_GB2312" w:hAnsi="仿宋_GB2312" w:eastAsia="仿宋_GB2312" w:cs="仿宋_GB2312"/>
          <w:sz w:val="24"/>
          <w:szCs w:val="24"/>
        </w:rPr>
        <w:t>或</w:t>
      </w:r>
      <w:r>
        <w:rPr>
          <w:rFonts w:hint="eastAsia" w:ascii="仿宋_GB2312" w:hAnsi="仿宋_GB2312" w:eastAsia="仿宋_GB2312" w:cs="仿宋_GB2312"/>
          <w:b/>
          <w:sz w:val="24"/>
          <w:szCs w:val="24"/>
        </w:rPr>
        <w:t>磋商资料表</w:t>
      </w:r>
      <w:r>
        <w:rPr>
          <w:rFonts w:hint="eastAsia" w:ascii="仿宋_GB2312" w:hAnsi="仿宋_GB2312" w:eastAsia="仿宋_GB2312" w:cs="仿宋_GB2312"/>
          <w:sz w:val="24"/>
          <w:szCs w:val="24"/>
        </w:rPr>
        <w:t>中另有规定，不举行项目集中答疑会或现场考察，如举行集中答疑会或现场考察的，则按以下规定：</w:t>
      </w:r>
    </w:p>
    <w:p>
      <w:pPr>
        <w:widowControl w:val="0"/>
        <w:numPr>
          <w:ilvl w:val="2"/>
          <w:numId w:val="4"/>
        </w:numPr>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在</w:t>
      </w:r>
      <w:r>
        <w:rPr>
          <w:rFonts w:hint="eastAsia" w:ascii="仿宋_GB2312" w:hAnsi="仿宋_GB2312" w:eastAsia="仿宋_GB2312" w:cs="仿宋_GB2312"/>
          <w:b/>
          <w:sz w:val="24"/>
          <w:szCs w:val="24"/>
          <w:lang w:eastAsia="zh-TW"/>
        </w:rPr>
        <w:t>磋商资料表</w:t>
      </w:r>
      <w:r>
        <w:rPr>
          <w:rFonts w:hint="eastAsia" w:ascii="仿宋_GB2312" w:hAnsi="仿宋_GB2312" w:eastAsia="仿宋_GB2312" w:cs="仿宋_GB2312"/>
          <w:sz w:val="24"/>
          <w:szCs w:val="24"/>
        </w:rPr>
        <w:t>中规定的日期、时间和地点组织公开答疑会或现场考察；</w:t>
      </w:r>
    </w:p>
    <w:p>
      <w:pPr>
        <w:widowControl w:val="0"/>
        <w:numPr>
          <w:ilvl w:val="2"/>
          <w:numId w:val="4"/>
        </w:numPr>
        <w:autoSpaceDE w:val="0"/>
        <w:autoSpaceDN w:val="0"/>
        <w:adjustRightInd w:val="0"/>
        <w:snapToGrid w:val="0"/>
        <w:spacing w:line="360" w:lineRule="auto"/>
        <w:jc w:val="both"/>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供应商对本项目提出的疑问，需在答疑会</w:t>
      </w:r>
      <w:r>
        <w:rPr>
          <w:rFonts w:hint="eastAsia" w:ascii="仿宋_GB2312" w:hAnsi="仿宋_GB2312" w:eastAsia="仿宋_GB2312" w:cs="仿宋_GB2312"/>
          <w:sz w:val="24"/>
          <w:szCs w:val="24"/>
        </w:rPr>
        <w:t>或现场考察</w:t>
      </w:r>
      <w:r>
        <w:rPr>
          <w:rFonts w:hint="eastAsia" w:ascii="仿宋_GB2312" w:hAnsi="仿宋_GB2312" w:eastAsia="仿宋_GB2312" w:cs="仿宋_GB2312"/>
          <w:sz w:val="24"/>
          <w:szCs w:val="24"/>
          <w:lang w:eastAsia="zh-TW"/>
        </w:rPr>
        <w:t>召开日前至少一个工作日将问题清单以书面形式（加盖公章）提交至采购代理机构，供应商代表于上述的时间和地点出席答疑会</w:t>
      </w:r>
      <w:r>
        <w:rPr>
          <w:rFonts w:hint="eastAsia" w:ascii="仿宋_GB2312" w:hAnsi="仿宋_GB2312" w:eastAsia="仿宋_GB2312" w:cs="仿宋_GB2312"/>
          <w:sz w:val="24"/>
          <w:szCs w:val="24"/>
        </w:rPr>
        <w:t>或现场考察</w:t>
      </w:r>
      <w:r>
        <w:rPr>
          <w:rFonts w:hint="eastAsia" w:ascii="仿宋_GB2312" w:hAnsi="仿宋_GB2312" w:eastAsia="仿宋_GB2312" w:cs="仿宋_GB2312"/>
          <w:sz w:val="24"/>
          <w:szCs w:val="24"/>
          <w:lang w:eastAsia="zh-TW"/>
        </w:rPr>
        <w:t>；</w:t>
      </w:r>
    </w:p>
    <w:p>
      <w:pPr>
        <w:widowControl w:val="0"/>
        <w:numPr>
          <w:ilvl w:val="2"/>
          <w:numId w:val="4"/>
        </w:numPr>
        <w:autoSpaceDE w:val="0"/>
        <w:autoSpaceDN w:val="0"/>
        <w:adjustRightInd w:val="0"/>
        <w:snapToGrid w:val="0"/>
        <w:spacing w:line="360" w:lineRule="auto"/>
        <w:jc w:val="both"/>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已购买竞争性磋商文件的</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如不出席答疑会</w:t>
      </w:r>
      <w:r>
        <w:rPr>
          <w:rFonts w:hint="eastAsia" w:ascii="仿宋_GB2312" w:hAnsi="仿宋_GB2312" w:eastAsia="仿宋_GB2312" w:cs="仿宋_GB2312"/>
          <w:sz w:val="24"/>
          <w:szCs w:val="24"/>
        </w:rPr>
        <w:t>或现场考察</w:t>
      </w:r>
      <w:r>
        <w:rPr>
          <w:rFonts w:hint="eastAsia" w:ascii="仿宋_GB2312" w:hAnsi="仿宋_GB2312" w:eastAsia="仿宋_GB2312" w:cs="仿宋_GB2312"/>
          <w:sz w:val="24"/>
          <w:szCs w:val="24"/>
          <w:lang w:eastAsia="zh-TW"/>
        </w:rPr>
        <w:t>视为对竞争性磋商文件所有内容无任何异议。</w:t>
      </w:r>
    </w:p>
    <w:p>
      <w:pPr>
        <w:snapToGrid w:val="0"/>
        <w:spacing w:before="312" w:beforeLines="100" w:after="312" w:afterLines="100" w:line="360" w:lineRule="auto"/>
        <w:jc w:val="center"/>
        <w:outlineLvl w:val="0"/>
        <w:rPr>
          <w:rFonts w:hint="eastAsia" w:ascii="仿宋_GB2312" w:hAnsi="仿宋_GB2312" w:eastAsia="仿宋_GB2312" w:cs="仿宋_GB2312"/>
          <w:b/>
          <w:sz w:val="30"/>
          <w:szCs w:val="30"/>
          <w:lang w:eastAsia="zh-TW"/>
        </w:rPr>
      </w:pPr>
      <w:bookmarkStart w:id="52" w:name="_Toc410738943"/>
      <w:bookmarkStart w:id="53" w:name="_Toc416771330"/>
      <w:bookmarkStart w:id="54" w:name="_Toc17743"/>
      <w:bookmarkStart w:id="55" w:name="_Toc410736143"/>
      <w:bookmarkStart w:id="56" w:name="_Toc416770220"/>
      <w:r>
        <w:rPr>
          <w:rFonts w:hint="eastAsia" w:ascii="仿宋_GB2312" w:hAnsi="仿宋_GB2312" w:eastAsia="仿宋_GB2312" w:cs="仿宋_GB2312"/>
          <w:b/>
          <w:sz w:val="30"/>
          <w:szCs w:val="30"/>
          <w:lang w:eastAsia="zh-TW"/>
        </w:rPr>
        <w:t>三、响应文件的编制</w:t>
      </w:r>
      <w:bookmarkEnd w:id="52"/>
      <w:bookmarkEnd w:id="53"/>
      <w:bookmarkEnd w:id="54"/>
      <w:bookmarkEnd w:id="55"/>
      <w:bookmarkEnd w:id="56"/>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57" w:name="_Toc410736144"/>
      <w:bookmarkStart w:id="58" w:name="_Toc410738944"/>
      <w:bookmarkStart w:id="59" w:name="_Toc416770221"/>
      <w:bookmarkStart w:id="60" w:name="_Toc416771331"/>
      <w:r>
        <w:rPr>
          <w:rFonts w:hint="eastAsia" w:ascii="仿宋_GB2312" w:hAnsi="仿宋_GB2312" w:eastAsia="仿宋_GB2312" w:cs="仿宋_GB2312"/>
          <w:b/>
          <w:bCs/>
          <w:sz w:val="24"/>
          <w:szCs w:val="24"/>
        </w:rPr>
        <w:t>磋商的语言</w:t>
      </w:r>
      <w:bookmarkEnd w:id="57"/>
      <w:bookmarkEnd w:id="58"/>
      <w:bookmarkEnd w:id="59"/>
      <w:bookmarkEnd w:id="60"/>
    </w:p>
    <w:p>
      <w:pPr>
        <w:widowControl w:val="0"/>
        <w:numPr>
          <w:ilvl w:val="1"/>
          <w:numId w:val="4"/>
        </w:numPr>
        <w:tabs>
          <w:tab w:val="left" w:pos="567"/>
          <w:tab w:val="clear" w:pos="360"/>
        </w:tabs>
        <w:autoSpaceDE w:val="0"/>
        <w:autoSpaceDN w:val="0"/>
        <w:adjustRightInd w:val="0"/>
        <w:snapToGrid w:val="0"/>
        <w:spacing w:line="360" w:lineRule="auto"/>
        <w:ind w:left="567" w:hanging="567"/>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提交的响应文件以及</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与招标采购单位就有关磋商的所有来往函电均</w:t>
      </w:r>
      <w:r>
        <w:rPr>
          <w:rFonts w:hint="eastAsia" w:ascii="仿宋_GB2312" w:hAnsi="仿宋_GB2312" w:eastAsia="仿宋_GB2312" w:cs="仿宋_GB2312"/>
          <w:sz w:val="24"/>
          <w:szCs w:val="24"/>
        </w:rPr>
        <w:t>应</w:t>
      </w:r>
      <w:r>
        <w:rPr>
          <w:rFonts w:hint="eastAsia" w:ascii="仿宋_GB2312" w:hAnsi="仿宋_GB2312" w:eastAsia="仿宋_GB2312" w:cs="仿宋_GB2312"/>
          <w:sz w:val="24"/>
          <w:szCs w:val="24"/>
          <w:lang w:eastAsia="zh-TW"/>
        </w:rPr>
        <w:t>使用中文书写。</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提交的支持资料和</w:t>
      </w:r>
      <w:r>
        <w:rPr>
          <w:rFonts w:hint="eastAsia" w:ascii="仿宋_GB2312" w:hAnsi="仿宋_GB2312" w:eastAsia="仿宋_GB2312" w:cs="仿宋_GB2312"/>
          <w:sz w:val="24"/>
          <w:szCs w:val="24"/>
        </w:rPr>
        <w:t>已</w:t>
      </w:r>
      <w:r>
        <w:rPr>
          <w:rFonts w:hint="eastAsia" w:ascii="仿宋_GB2312" w:hAnsi="仿宋_GB2312" w:eastAsia="仿宋_GB2312" w:cs="仿宋_GB2312"/>
          <w:sz w:val="24"/>
          <w:szCs w:val="24"/>
          <w:lang w:eastAsia="zh-TW"/>
        </w:rPr>
        <w:t>印刷的文献可以用另一种语言</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但相应内容应附有中文翻译本，在解释响应文件的修改内容时以中文翻译本为准。对中文翻译有异议的，以权威机构的译本为准。</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61" w:name="_Toc410736145"/>
      <w:bookmarkStart w:id="62" w:name="_Toc416770222"/>
      <w:bookmarkStart w:id="63" w:name="_Toc410738945"/>
      <w:bookmarkStart w:id="64" w:name="_Toc416771332"/>
      <w:r>
        <w:rPr>
          <w:rFonts w:hint="eastAsia" w:ascii="仿宋_GB2312" w:hAnsi="仿宋_GB2312" w:eastAsia="仿宋_GB2312" w:cs="仿宋_GB2312"/>
          <w:b/>
          <w:bCs/>
          <w:sz w:val="24"/>
          <w:szCs w:val="24"/>
        </w:rPr>
        <w:t>响应文件的构成</w:t>
      </w:r>
      <w:bookmarkEnd w:id="61"/>
      <w:bookmarkEnd w:id="62"/>
      <w:bookmarkEnd w:id="63"/>
      <w:bookmarkEnd w:id="64"/>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编写的响应文件应包括初审文件、技术文件、商务文件，编排顺序参见响应文件格式。</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响应文件的构成应符合法律法规及竞争性磋商文件的要求。</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65" w:name="_Toc416771333"/>
      <w:bookmarkStart w:id="66" w:name="_Toc410738946"/>
      <w:bookmarkStart w:id="67" w:name="_Toc410736146"/>
      <w:bookmarkStart w:id="68" w:name="_Toc416770223"/>
      <w:r>
        <w:rPr>
          <w:rFonts w:hint="eastAsia" w:ascii="仿宋_GB2312" w:hAnsi="仿宋_GB2312" w:eastAsia="仿宋_GB2312" w:cs="仿宋_GB2312"/>
          <w:b/>
          <w:bCs/>
          <w:sz w:val="24"/>
          <w:szCs w:val="24"/>
        </w:rPr>
        <w:t>响应文件的编写</w:t>
      </w:r>
      <w:bookmarkEnd w:id="65"/>
      <w:bookmarkEnd w:id="66"/>
      <w:bookmarkEnd w:id="67"/>
      <w:bookmarkEnd w:id="68"/>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应完整</w:t>
      </w:r>
      <w:r>
        <w:rPr>
          <w:rFonts w:hint="eastAsia" w:ascii="仿宋_GB2312" w:hAnsi="仿宋_GB2312" w:eastAsia="仿宋_GB2312" w:cs="仿宋_GB2312"/>
          <w:sz w:val="24"/>
          <w:szCs w:val="24"/>
        </w:rPr>
        <w:t>、真实、准确</w:t>
      </w:r>
      <w:r>
        <w:rPr>
          <w:rFonts w:hint="eastAsia" w:ascii="仿宋_GB2312" w:hAnsi="仿宋_GB2312" w:eastAsia="仿宋_GB2312" w:cs="仿宋_GB2312"/>
          <w:sz w:val="24"/>
          <w:szCs w:val="24"/>
          <w:lang w:eastAsia="zh-TW"/>
        </w:rPr>
        <w:t>地填写竞争性磋商文件中提供的磋商函、报价表以及竞争性磋商文件中规定的其它</w:t>
      </w:r>
      <w:r>
        <w:rPr>
          <w:rFonts w:hint="eastAsia" w:ascii="仿宋_GB2312" w:hAnsi="仿宋_GB2312" w:eastAsia="仿宋_GB2312" w:cs="仿宋_GB2312"/>
          <w:sz w:val="24"/>
          <w:szCs w:val="24"/>
        </w:rPr>
        <w:t>所有</w:t>
      </w:r>
      <w:r>
        <w:rPr>
          <w:rFonts w:hint="eastAsia" w:ascii="仿宋_GB2312" w:hAnsi="仿宋_GB2312" w:eastAsia="仿宋_GB2312" w:cs="仿宋_GB2312"/>
          <w:sz w:val="24"/>
          <w:szCs w:val="24"/>
          <w:lang w:eastAsia="zh-TW"/>
        </w:rPr>
        <w:t>内容。</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对竞争性磋商文件中多个包组进行磋商的，其响应文件的编制</w:t>
      </w:r>
      <w:r>
        <w:rPr>
          <w:rFonts w:hint="eastAsia" w:ascii="仿宋_GB2312" w:hAnsi="仿宋_GB2312" w:eastAsia="仿宋_GB2312" w:cs="仿宋_GB2312"/>
          <w:sz w:val="24"/>
          <w:szCs w:val="24"/>
        </w:rPr>
        <w:t>可按</w:t>
      </w:r>
      <w:r>
        <w:rPr>
          <w:rFonts w:hint="eastAsia" w:ascii="仿宋_GB2312" w:hAnsi="仿宋_GB2312" w:eastAsia="仿宋_GB2312" w:cs="仿宋_GB2312"/>
          <w:sz w:val="24"/>
          <w:szCs w:val="24"/>
          <w:lang w:eastAsia="zh-TW"/>
        </w:rPr>
        <w:t>每个包组的要求分别装订和封装。</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应当对响应文件进行装订，对未经装订的响应文件可能发生的文件散落或缺损，由此造成的后果</w:t>
      </w:r>
      <w:r>
        <w:rPr>
          <w:rFonts w:hint="eastAsia" w:ascii="仿宋_GB2312" w:hAnsi="仿宋_GB2312" w:eastAsia="仿宋_GB2312" w:cs="仿宋_GB2312"/>
          <w:sz w:val="24"/>
          <w:szCs w:val="24"/>
        </w:rPr>
        <w:t>和</w:t>
      </w:r>
      <w:r>
        <w:rPr>
          <w:rFonts w:hint="eastAsia" w:ascii="仿宋_GB2312" w:hAnsi="仿宋_GB2312" w:eastAsia="仿宋_GB2312" w:cs="仿宋_GB2312"/>
          <w:sz w:val="24"/>
          <w:szCs w:val="24"/>
          <w:lang w:eastAsia="zh-TW"/>
        </w:rPr>
        <w:t>责任由</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承担</w:t>
      </w:r>
      <w:r>
        <w:rPr>
          <w:rFonts w:hint="eastAsia" w:ascii="仿宋_GB2312" w:hAnsi="仿宋_GB2312" w:eastAsia="仿宋_GB2312" w:cs="仿宋_GB2312"/>
          <w:sz w:val="24"/>
          <w:szCs w:val="24"/>
        </w:rPr>
        <w:t>。</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必须对响应文件所提供的全部资料的真实性承担法律责任，并无条件接受招标采购单位及政府采购监督管理部门等对其中任何资料进行核实的要求。</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如果因为</w:t>
      </w:r>
      <w:r>
        <w:rPr>
          <w:rFonts w:hint="eastAsia" w:ascii="仿宋_GB2312" w:hAnsi="仿宋_GB2312" w:eastAsia="仿宋_GB2312" w:cs="仿宋_GB2312"/>
          <w:sz w:val="24"/>
          <w:szCs w:val="24"/>
        </w:rPr>
        <w:t>响应人的响应文件</w:t>
      </w:r>
      <w:r>
        <w:rPr>
          <w:rFonts w:hint="eastAsia" w:ascii="仿宋_GB2312" w:hAnsi="仿宋_GB2312" w:eastAsia="仿宋_GB2312" w:cs="仿宋_GB2312"/>
          <w:sz w:val="24"/>
          <w:szCs w:val="24"/>
          <w:lang w:eastAsia="zh-TW"/>
        </w:rPr>
        <w:t>只填写和提供了本</w:t>
      </w:r>
      <w:r>
        <w:rPr>
          <w:rFonts w:hint="eastAsia" w:ascii="仿宋_GB2312" w:hAnsi="仿宋_GB2312" w:eastAsia="仿宋_GB2312" w:cs="仿宋_GB2312"/>
          <w:sz w:val="24"/>
          <w:szCs w:val="24"/>
        </w:rPr>
        <w:t>竞争性磋商文件</w:t>
      </w:r>
      <w:r>
        <w:rPr>
          <w:rFonts w:hint="eastAsia" w:ascii="仿宋_GB2312" w:hAnsi="仿宋_GB2312" w:eastAsia="仿宋_GB2312" w:cs="仿宋_GB2312"/>
          <w:sz w:val="24"/>
          <w:szCs w:val="24"/>
          <w:lang w:eastAsia="zh-TW"/>
        </w:rPr>
        <w:t>要求的部分内容和附件，或没有提供竞争性磋商文件中所要求的全部资料及数据，而给磋商造成困难的，其可能导致的结果和责任由</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自行承担。</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69" w:name="_Toc410736147"/>
      <w:bookmarkStart w:id="70" w:name="_Toc416770224"/>
      <w:bookmarkStart w:id="71" w:name="_Toc416771334"/>
      <w:bookmarkStart w:id="72" w:name="_Toc410738947"/>
      <w:r>
        <w:rPr>
          <w:rFonts w:hint="eastAsia" w:ascii="仿宋_GB2312" w:hAnsi="仿宋_GB2312" w:eastAsia="仿宋_GB2312" w:cs="仿宋_GB2312"/>
          <w:b/>
          <w:bCs/>
          <w:sz w:val="24"/>
          <w:szCs w:val="24"/>
        </w:rPr>
        <w:t>磋商报价</w:t>
      </w:r>
      <w:bookmarkEnd w:id="69"/>
      <w:bookmarkEnd w:id="70"/>
      <w:bookmarkEnd w:id="71"/>
      <w:bookmarkEnd w:id="72"/>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应按照“第</w:t>
      </w:r>
      <w:r>
        <w:rPr>
          <w:rFonts w:hint="eastAsia" w:ascii="仿宋_GB2312" w:hAnsi="仿宋_GB2312" w:eastAsia="仿宋_GB2312" w:cs="仿宋_GB2312"/>
          <w:sz w:val="24"/>
          <w:szCs w:val="24"/>
        </w:rPr>
        <w:t>四</w:t>
      </w:r>
      <w:r>
        <w:rPr>
          <w:rFonts w:hint="eastAsia" w:ascii="仿宋_GB2312" w:hAnsi="仿宋_GB2312" w:eastAsia="仿宋_GB2312" w:cs="仿宋_GB2312"/>
          <w:sz w:val="24"/>
          <w:szCs w:val="24"/>
          <w:lang w:eastAsia="zh-TW"/>
        </w:rPr>
        <w:t>章　用户需求书”</w:t>
      </w:r>
      <w:r>
        <w:rPr>
          <w:rFonts w:hint="eastAsia" w:ascii="仿宋_GB2312" w:hAnsi="仿宋_GB2312" w:eastAsia="仿宋_GB2312" w:cs="仿宋_GB2312"/>
          <w:sz w:val="24"/>
          <w:szCs w:val="24"/>
        </w:rPr>
        <w:t>中</w:t>
      </w:r>
      <w:r>
        <w:rPr>
          <w:rFonts w:hint="eastAsia" w:ascii="仿宋_GB2312" w:hAnsi="仿宋_GB2312" w:eastAsia="仿宋_GB2312" w:cs="仿宋_GB2312"/>
          <w:sz w:val="24"/>
          <w:szCs w:val="24"/>
          <w:lang w:eastAsia="zh-TW"/>
        </w:rPr>
        <w:t>采购项目技术或服务要求规定的内容、责任范围进行报价。并按报价表的</w:t>
      </w:r>
      <w:r>
        <w:rPr>
          <w:rFonts w:hint="eastAsia" w:ascii="仿宋_GB2312" w:hAnsi="仿宋_GB2312" w:eastAsia="仿宋_GB2312" w:cs="仿宋_GB2312"/>
          <w:sz w:val="24"/>
          <w:szCs w:val="24"/>
        </w:rPr>
        <w:t>要求</w:t>
      </w:r>
      <w:r>
        <w:rPr>
          <w:rFonts w:hint="eastAsia" w:ascii="仿宋_GB2312" w:hAnsi="仿宋_GB2312" w:eastAsia="仿宋_GB2312" w:cs="仿宋_GB2312"/>
          <w:sz w:val="24"/>
          <w:szCs w:val="24"/>
          <w:lang w:eastAsia="zh-TW"/>
        </w:rPr>
        <w:t>报出价格。</w:t>
      </w:r>
      <w:r>
        <w:rPr>
          <w:rFonts w:hint="eastAsia" w:ascii="仿宋_GB2312" w:hAnsi="仿宋_GB2312" w:eastAsia="仿宋_GB2312" w:cs="仿宋_GB2312"/>
          <w:sz w:val="24"/>
          <w:szCs w:val="24"/>
        </w:rPr>
        <w:t>报价</w:t>
      </w:r>
      <w:r>
        <w:rPr>
          <w:rFonts w:hint="eastAsia" w:ascii="仿宋_GB2312" w:hAnsi="仿宋_GB2312" w:eastAsia="仿宋_GB2312" w:cs="仿宋_GB2312"/>
          <w:sz w:val="24"/>
          <w:szCs w:val="24"/>
          <w:lang w:eastAsia="zh-TW"/>
        </w:rPr>
        <w:t>总价中不得包含</w:t>
      </w:r>
      <w:r>
        <w:rPr>
          <w:rFonts w:hint="eastAsia" w:ascii="仿宋_GB2312" w:hAnsi="仿宋_GB2312" w:eastAsia="仿宋_GB2312" w:cs="仿宋_GB2312"/>
          <w:sz w:val="24"/>
          <w:szCs w:val="24"/>
        </w:rPr>
        <w:t>竞争性磋商文件</w:t>
      </w:r>
      <w:r>
        <w:rPr>
          <w:rFonts w:hint="eastAsia" w:ascii="仿宋_GB2312" w:hAnsi="仿宋_GB2312" w:eastAsia="仿宋_GB2312" w:cs="仿宋_GB2312"/>
          <w:sz w:val="24"/>
          <w:szCs w:val="24"/>
          <w:lang w:eastAsia="zh-TW"/>
        </w:rPr>
        <w:t>要求以外的内容，否则，在评</w:t>
      </w:r>
      <w:r>
        <w:rPr>
          <w:rFonts w:hint="eastAsia" w:ascii="仿宋_GB2312" w:hAnsi="仿宋_GB2312" w:eastAsia="仿宋_GB2312" w:cs="仿宋_GB2312"/>
          <w:sz w:val="24"/>
          <w:szCs w:val="24"/>
        </w:rPr>
        <w:t>审</w:t>
      </w:r>
      <w:r>
        <w:rPr>
          <w:rFonts w:hint="eastAsia" w:ascii="仿宋_GB2312" w:hAnsi="仿宋_GB2312" w:eastAsia="仿宋_GB2312" w:cs="仿宋_GB2312"/>
          <w:sz w:val="24"/>
          <w:szCs w:val="24"/>
          <w:lang w:eastAsia="zh-TW"/>
        </w:rPr>
        <w:t>时不予核减。</w:t>
      </w:r>
      <w:r>
        <w:rPr>
          <w:rFonts w:hint="eastAsia" w:ascii="仿宋_GB2312" w:hAnsi="仿宋_GB2312" w:eastAsia="仿宋_GB2312" w:cs="仿宋_GB2312"/>
          <w:sz w:val="24"/>
          <w:szCs w:val="24"/>
        </w:rPr>
        <w:t>报价</w:t>
      </w:r>
      <w:r>
        <w:rPr>
          <w:rFonts w:hint="eastAsia" w:ascii="仿宋_GB2312" w:hAnsi="仿宋_GB2312" w:eastAsia="仿宋_GB2312" w:cs="仿宋_GB2312"/>
          <w:sz w:val="24"/>
          <w:szCs w:val="24"/>
          <w:lang w:eastAsia="zh-TW"/>
        </w:rPr>
        <w:t>总价中不得缺漏</w:t>
      </w:r>
      <w:r>
        <w:rPr>
          <w:rFonts w:hint="eastAsia" w:ascii="仿宋_GB2312" w:hAnsi="仿宋_GB2312" w:eastAsia="仿宋_GB2312" w:cs="仿宋_GB2312"/>
          <w:sz w:val="24"/>
          <w:szCs w:val="24"/>
        </w:rPr>
        <w:t>竞争性磋商文件</w:t>
      </w:r>
      <w:r>
        <w:rPr>
          <w:rFonts w:hint="eastAsia" w:ascii="仿宋_GB2312" w:hAnsi="仿宋_GB2312" w:eastAsia="仿宋_GB2312" w:cs="仿宋_GB2312"/>
          <w:sz w:val="24"/>
          <w:szCs w:val="24"/>
          <w:lang w:eastAsia="zh-TW"/>
        </w:rPr>
        <w:t>所要求的内容，否则，被视为</w:t>
      </w:r>
      <w:r>
        <w:rPr>
          <w:rFonts w:hint="eastAsia" w:ascii="仿宋_GB2312" w:hAnsi="仿宋_GB2312" w:eastAsia="仿宋_GB2312" w:cs="仿宋_GB2312"/>
          <w:sz w:val="24"/>
          <w:szCs w:val="24"/>
        </w:rPr>
        <w:t>包含在报价总价中</w:t>
      </w:r>
      <w:r>
        <w:rPr>
          <w:rFonts w:hint="eastAsia" w:ascii="仿宋_GB2312" w:hAnsi="仿宋_GB2312" w:eastAsia="仿宋_GB2312" w:cs="仿宋_GB2312"/>
          <w:sz w:val="24"/>
          <w:szCs w:val="24"/>
          <w:lang w:eastAsia="zh-TW"/>
        </w:rPr>
        <w:t>。</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在磋商过程中，磋商小组发现响应人的报价明显低于其他响应人报价，使得其响应报价可能低于其个别成本的，应当要求该响应人作出书面说明并提供相关证明材料。响应人不能合理说明或者不能提供相关证明材料的，由磋商小组认定该响应人以低于成本报价，应当否决其响应。</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w:t>
      </w:r>
      <w:r>
        <w:rPr>
          <w:rFonts w:hint="eastAsia" w:ascii="仿宋_GB2312" w:hAnsi="仿宋_GB2312" w:eastAsia="仿宋_GB2312" w:cs="仿宋_GB2312"/>
          <w:sz w:val="24"/>
          <w:szCs w:val="24"/>
          <w:lang w:eastAsia="zh-TW"/>
        </w:rPr>
        <w:t>分项报价表</w:t>
      </w:r>
      <w:r>
        <w:rPr>
          <w:rFonts w:hint="eastAsia" w:ascii="仿宋_GB2312" w:hAnsi="仿宋_GB2312" w:eastAsia="仿宋_GB2312" w:cs="仿宋_GB2312"/>
          <w:sz w:val="24"/>
          <w:szCs w:val="24"/>
        </w:rPr>
        <w:t>内容应包含：（适用货物类项目）</w:t>
      </w:r>
    </w:p>
    <w:p>
      <w:pPr>
        <w:widowControl w:val="0"/>
        <w:numPr>
          <w:ilvl w:val="2"/>
          <w:numId w:val="4"/>
        </w:numPr>
        <w:autoSpaceDE w:val="0"/>
        <w:autoSpaceDN w:val="0"/>
        <w:adjustRightInd w:val="0"/>
        <w:snapToGrid w:val="0"/>
        <w:spacing w:line="360" w:lineRule="auto"/>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从中华人民共和国境内提供的货物须包含：</w:t>
      </w:r>
    </w:p>
    <w:p>
      <w:pPr>
        <w:widowControl w:val="0"/>
        <w:tabs>
          <w:tab w:val="left" w:pos="360"/>
          <w:tab w:val="left" w:pos="720"/>
        </w:tabs>
        <w:autoSpaceDE w:val="0"/>
        <w:autoSpaceDN w:val="0"/>
        <w:adjustRightInd w:val="0"/>
        <w:snapToGrid w:val="0"/>
        <w:spacing w:line="360" w:lineRule="auto"/>
        <w:rPr>
          <w:rFonts w:hint="eastAsia" w:ascii="仿宋_GB2312" w:hAnsi="仿宋_GB2312" w:eastAsia="仿宋_GB2312" w:cs="仿宋_GB2312"/>
          <w:sz w:val="24"/>
          <w:szCs w:val="24"/>
          <w:lang w:eastAsia="zh-TW"/>
        </w:rPr>
      </w:pPr>
      <w:r>
        <w:rPr>
          <w:rFonts w:hint="eastAsia" w:ascii="仿宋_GB2312" w:hAnsi="仿宋_GB2312" w:eastAsia="仿宋_GB2312" w:cs="仿宋_GB2312"/>
          <w:szCs w:val="21"/>
        </w:rPr>
        <w:t xml:space="preserve">14.3.1.1 </w:t>
      </w:r>
      <w:r>
        <w:rPr>
          <w:rFonts w:hint="eastAsia" w:ascii="仿宋_GB2312" w:hAnsi="仿宋_GB2312" w:eastAsia="仿宋_GB2312" w:cs="仿宋_GB2312"/>
          <w:sz w:val="24"/>
          <w:szCs w:val="24"/>
        </w:rPr>
        <w:t>响应产品</w:t>
      </w:r>
      <w:r>
        <w:rPr>
          <w:rFonts w:hint="eastAsia" w:ascii="仿宋_GB2312" w:hAnsi="仿宋_GB2312" w:eastAsia="仿宋_GB2312" w:cs="仿宋_GB2312"/>
          <w:sz w:val="24"/>
          <w:szCs w:val="24"/>
          <w:lang w:eastAsia="zh-TW"/>
        </w:rPr>
        <w:t>价；</w:t>
      </w:r>
    </w:p>
    <w:p>
      <w:pPr>
        <w:widowControl w:val="0"/>
        <w:tabs>
          <w:tab w:val="left" w:pos="360"/>
          <w:tab w:val="left" w:pos="720"/>
        </w:tabs>
        <w:autoSpaceDE w:val="0"/>
        <w:autoSpaceDN w:val="0"/>
        <w:adjustRightInd w:val="0"/>
        <w:snapToGrid w:val="0"/>
        <w:spacing w:line="360" w:lineRule="auto"/>
        <w:ind w:left="420" w:hanging="420" w:hangingChars="200"/>
        <w:rPr>
          <w:rFonts w:hint="eastAsia" w:ascii="仿宋_GB2312" w:hAnsi="仿宋_GB2312" w:eastAsia="仿宋_GB2312" w:cs="仿宋_GB2312"/>
          <w:sz w:val="24"/>
          <w:szCs w:val="24"/>
          <w:lang w:eastAsia="zh-TW"/>
        </w:rPr>
      </w:pPr>
      <w:r>
        <w:rPr>
          <w:rFonts w:hint="eastAsia" w:ascii="仿宋_GB2312" w:hAnsi="仿宋_GB2312" w:eastAsia="仿宋_GB2312" w:cs="仿宋_GB2312"/>
          <w:szCs w:val="21"/>
        </w:rPr>
        <w:t xml:space="preserve">14.3.1.2 </w:t>
      </w:r>
      <w:r>
        <w:rPr>
          <w:rFonts w:hint="eastAsia" w:ascii="仿宋_GB2312" w:hAnsi="仿宋_GB2312" w:eastAsia="仿宋_GB2312" w:cs="仿宋_GB2312"/>
          <w:sz w:val="24"/>
          <w:szCs w:val="24"/>
          <w:lang w:eastAsia="zh-TW"/>
        </w:rPr>
        <w:t>除应包括要向中华人民共和国政府缴纳的增值税和其它税，还应包括对以下①、②两项已缴纳或应缴纳的全部关税、增值税和其它税：</w:t>
      </w:r>
    </w:p>
    <w:p>
      <w:pPr>
        <w:tabs>
          <w:tab w:val="left" w:pos="567"/>
          <w:tab w:val="left" w:pos="676"/>
          <w:tab w:val="left" w:pos="8931"/>
        </w:tabs>
        <w:snapToGrid w:val="0"/>
        <w:spacing w:line="360" w:lineRule="auto"/>
        <w:ind w:left="1364" w:leftChars="421" w:hanging="480" w:hangingChars="200"/>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① 报价的货物在制造或组装时使用的部件和原材料是从境外进口的；或</w:t>
      </w:r>
    </w:p>
    <w:p>
      <w:pPr>
        <w:tabs>
          <w:tab w:val="left" w:pos="567"/>
          <w:tab w:val="left" w:pos="676"/>
          <w:tab w:val="left" w:pos="8931"/>
        </w:tabs>
        <w:snapToGrid w:val="0"/>
        <w:spacing w:line="360" w:lineRule="auto"/>
        <w:ind w:left="1364" w:leftChars="421" w:hanging="480" w:hangingChars="200"/>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② 报货架交货价的货物是从境外进口的。</w:t>
      </w:r>
    </w:p>
    <w:p>
      <w:pPr>
        <w:widowControl w:val="0"/>
        <w:tabs>
          <w:tab w:val="left" w:pos="360"/>
          <w:tab w:val="left" w:pos="720"/>
        </w:tabs>
        <w:autoSpaceDE w:val="0"/>
        <w:autoSpaceDN w:val="0"/>
        <w:adjustRightInd w:val="0"/>
        <w:snapToGrid w:val="0"/>
        <w:spacing w:line="360" w:lineRule="auto"/>
        <w:ind w:left="420" w:hanging="420" w:hangingChars="200"/>
        <w:rPr>
          <w:rFonts w:hint="eastAsia" w:ascii="仿宋_GB2312" w:hAnsi="仿宋_GB2312" w:eastAsia="仿宋_GB2312" w:cs="仿宋_GB2312"/>
          <w:sz w:val="24"/>
          <w:szCs w:val="24"/>
          <w:lang w:eastAsia="zh-TW"/>
        </w:rPr>
      </w:pPr>
      <w:r>
        <w:rPr>
          <w:rFonts w:hint="eastAsia" w:ascii="仿宋_GB2312" w:hAnsi="仿宋_GB2312" w:eastAsia="仿宋_GB2312" w:cs="仿宋_GB2312"/>
          <w:szCs w:val="21"/>
        </w:rPr>
        <w:t xml:space="preserve">14.3.1.3 </w:t>
      </w:r>
      <w:r>
        <w:rPr>
          <w:rFonts w:hint="eastAsia" w:ascii="仿宋_GB2312" w:hAnsi="仿宋_GB2312" w:eastAsia="仿宋_GB2312" w:cs="仿宋_GB2312"/>
          <w:sz w:val="24"/>
          <w:szCs w:val="24"/>
          <w:lang w:eastAsia="zh-TW"/>
        </w:rPr>
        <w:t>报</w:t>
      </w:r>
      <w:r>
        <w:rPr>
          <w:rFonts w:hint="eastAsia" w:ascii="仿宋_GB2312" w:hAnsi="仿宋_GB2312" w:eastAsia="仿宋_GB2312" w:cs="仿宋_GB2312"/>
          <w:b/>
          <w:sz w:val="24"/>
          <w:szCs w:val="24"/>
          <w:lang w:eastAsia="zh-TW"/>
        </w:rPr>
        <w:t>磋商资料表</w:t>
      </w:r>
      <w:r>
        <w:rPr>
          <w:rFonts w:hint="eastAsia" w:ascii="仿宋_GB2312" w:hAnsi="仿宋_GB2312" w:eastAsia="仿宋_GB2312" w:cs="仿宋_GB2312"/>
          <w:sz w:val="24"/>
          <w:szCs w:val="24"/>
          <w:lang w:eastAsia="zh-TW"/>
        </w:rPr>
        <w:t>中列出的其他伴随服务的费用和标准附件价、备品备件及专用工具价(如有)。</w:t>
      </w:r>
    </w:p>
    <w:p>
      <w:pPr>
        <w:widowControl w:val="0"/>
        <w:numPr>
          <w:ilvl w:val="2"/>
          <w:numId w:val="4"/>
        </w:numPr>
        <w:tabs>
          <w:tab w:val="left" w:pos="567"/>
          <w:tab w:val="clear" w:pos="720"/>
        </w:tabs>
        <w:autoSpaceDE w:val="0"/>
        <w:autoSpaceDN w:val="0"/>
        <w:adjustRightInd w:val="0"/>
        <w:snapToGrid w:val="0"/>
        <w:spacing w:line="360" w:lineRule="auto"/>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从中华人民共和国境外提供的货物须包含：</w:t>
      </w:r>
    </w:p>
    <w:p>
      <w:pPr>
        <w:widowControl w:val="0"/>
        <w:numPr>
          <w:ilvl w:val="3"/>
          <w:numId w:val="4"/>
        </w:numPr>
        <w:autoSpaceDE w:val="0"/>
        <w:autoSpaceDN w:val="0"/>
        <w:adjustRightInd w:val="0"/>
        <w:snapToGrid w:val="0"/>
        <w:spacing w:line="360" w:lineRule="auto"/>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rPr>
        <w:t>响应产品</w:t>
      </w:r>
      <w:r>
        <w:rPr>
          <w:rFonts w:hint="eastAsia" w:ascii="仿宋_GB2312" w:hAnsi="仿宋_GB2312" w:eastAsia="仿宋_GB2312" w:cs="仿宋_GB2312"/>
          <w:sz w:val="24"/>
          <w:szCs w:val="24"/>
          <w:lang w:eastAsia="zh-TW"/>
        </w:rPr>
        <w:t>价；</w:t>
      </w:r>
    </w:p>
    <w:p>
      <w:pPr>
        <w:widowControl w:val="0"/>
        <w:numPr>
          <w:ilvl w:val="3"/>
          <w:numId w:val="4"/>
        </w:numPr>
        <w:autoSpaceDE w:val="0"/>
        <w:autoSpaceDN w:val="0"/>
        <w:adjustRightInd w:val="0"/>
        <w:snapToGrid w:val="0"/>
        <w:spacing w:line="360" w:lineRule="auto"/>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除应包括要向中华人民共和国政府缴纳的增值税和其它税，如果</w:t>
      </w:r>
      <w:r>
        <w:rPr>
          <w:rFonts w:hint="eastAsia" w:ascii="仿宋_GB2312" w:hAnsi="仿宋_GB2312" w:eastAsia="仿宋_GB2312" w:cs="仿宋_GB2312"/>
          <w:b/>
          <w:sz w:val="24"/>
          <w:szCs w:val="24"/>
          <w:lang w:eastAsia="zh-TW"/>
        </w:rPr>
        <w:t>磋商资料表</w:t>
      </w:r>
      <w:r>
        <w:rPr>
          <w:rFonts w:hint="eastAsia" w:ascii="仿宋_GB2312" w:hAnsi="仿宋_GB2312" w:eastAsia="仿宋_GB2312" w:cs="仿宋_GB2312"/>
          <w:sz w:val="24"/>
          <w:szCs w:val="24"/>
          <w:lang w:eastAsia="zh-TW"/>
        </w:rPr>
        <w:t>中另有规定，还应包括货物从境外进口己缴纳或应缴纳的全部关税、增值税和其它税；</w:t>
      </w:r>
    </w:p>
    <w:p>
      <w:pPr>
        <w:widowControl w:val="0"/>
        <w:numPr>
          <w:ilvl w:val="3"/>
          <w:numId w:val="4"/>
        </w:numPr>
        <w:autoSpaceDE w:val="0"/>
        <w:autoSpaceDN w:val="0"/>
        <w:adjustRightInd w:val="0"/>
        <w:snapToGrid w:val="0"/>
        <w:spacing w:line="360" w:lineRule="auto"/>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报货物境外离岸价格、国外运输费、国外运输保险费；</w:t>
      </w:r>
    </w:p>
    <w:p>
      <w:pPr>
        <w:widowControl w:val="0"/>
        <w:numPr>
          <w:ilvl w:val="3"/>
          <w:numId w:val="4"/>
        </w:numPr>
        <w:autoSpaceDE w:val="0"/>
        <w:autoSpaceDN w:val="0"/>
        <w:adjustRightInd w:val="0"/>
        <w:snapToGrid w:val="0"/>
        <w:spacing w:line="360" w:lineRule="auto"/>
        <w:rPr>
          <w:rFonts w:hint="eastAsia" w:ascii="仿宋_GB2312" w:hAnsi="仿宋_GB2312" w:eastAsia="仿宋_GB2312" w:cs="仿宋_GB2312"/>
          <w:sz w:val="24"/>
          <w:szCs w:val="24"/>
          <w:lang w:eastAsia="zh-TW"/>
        </w:rPr>
      </w:pPr>
      <w:r>
        <w:rPr>
          <w:rFonts w:hint="eastAsia" w:ascii="仿宋_GB2312" w:hAnsi="仿宋_GB2312" w:eastAsia="仿宋_GB2312" w:cs="仿宋_GB2312"/>
          <w:b/>
          <w:sz w:val="24"/>
          <w:szCs w:val="24"/>
          <w:lang w:eastAsia="zh-TW"/>
        </w:rPr>
        <w:t>磋商资料表</w:t>
      </w:r>
      <w:r>
        <w:rPr>
          <w:rFonts w:hint="eastAsia" w:ascii="仿宋_GB2312" w:hAnsi="仿宋_GB2312" w:eastAsia="仿宋_GB2312" w:cs="仿宋_GB2312"/>
          <w:sz w:val="24"/>
          <w:szCs w:val="24"/>
          <w:lang w:eastAsia="zh-TW"/>
        </w:rPr>
        <w:t>中列出的其他伴随服务费用和标准附件价、备品备件及专用工具价(如有)。</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报价表</w:t>
      </w:r>
      <w:r>
        <w:rPr>
          <w:rFonts w:hint="eastAsia" w:ascii="仿宋_GB2312" w:hAnsi="仿宋_GB2312" w:eastAsia="仿宋_GB2312" w:cs="仿宋_GB2312"/>
          <w:sz w:val="24"/>
          <w:szCs w:val="24"/>
        </w:rPr>
        <w:t>内容应包含：（适用服务类项目）</w:t>
      </w:r>
    </w:p>
    <w:p>
      <w:pPr>
        <w:widowControl w:val="0"/>
        <w:numPr>
          <w:ilvl w:val="2"/>
          <w:numId w:val="4"/>
        </w:numPr>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竞争性磋商文件要求完成全部服务所需的费用；</w:t>
      </w:r>
    </w:p>
    <w:p>
      <w:pPr>
        <w:widowControl w:val="0"/>
        <w:numPr>
          <w:ilvl w:val="2"/>
          <w:numId w:val="4"/>
        </w:numPr>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磋商报价包含履行合同所有相关服务所需的费用；</w:t>
      </w:r>
    </w:p>
    <w:p>
      <w:pPr>
        <w:widowControl w:val="0"/>
        <w:numPr>
          <w:ilvl w:val="2"/>
          <w:numId w:val="4"/>
        </w:numPr>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磋商报价均应包含所有的税费；</w:t>
      </w:r>
    </w:p>
    <w:p>
      <w:pPr>
        <w:widowControl w:val="0"/>
        <w:numPr>
          <w:ilvl w:val="2"/>
          <w:numId w:val="4"/>
        </w:numPr>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其他一切隐含及不可预见的费用；</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rPr>
        <w:t>响应报价为本次磋商内容的费用，即为合同价款，不得在成交后提出任何增加费用要求，响应人在响应时应充分考虑相关风险性因素。</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rPr>
        <w:t>响应人在成交并签署合同后，服务期限内出现的任何遗漏，均由成交人负责，采购人将不再支付任何费用。</w:t>
      </w:r>
    </w:p>
    <w:p>
      <w:pPr>
        <w:widowControl w:val="0"/>
        <w:numPr>
          <w:ilvl w:val="1"/>
          <w:numId w:val="4"/>
        </w:numPr>
        <w:tabs>
          <w:tab w:val="left" w:pos="709"/>
          <w:tab w:val="clear" w:pos="360"/>
        </w:tabs>
        <w:autoSpaceDE w:val="0"/>
        <w:autoSpaceDN w:val="0"/>
        <w:adjustRightInd w:val="0"/>
        <w:snapToGrid w:val="0"/>
        <w:spacing w:line="360" w:lineRule="auto"/>
        <w:ind w:left="709" w:hanging="709"/>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未报价或报价为零的视为</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已包含在</w:t>
      </w:r>
      <w:r>
        <w:rPr>
          <w:rFonts w:hint="eastAsia" w:ascii="仿宋_GB2312" w:hAnsi="仿宋_GB2312" w:eastAsia="仿宋_GB2312" w:cs="仿宋_GB2312"/>
          <w:sz w:val="24"/>
          <w:szCs w:val="24"/>
        </w:rPr>
        <w:t>响应报价</w:t>
      </w:r>
      <w:r>
        <w:rPr>
          <w:rFonts w:hint="eastAsia" w:ascii="仿宋_GB2312" w:hAnsi="仿宋_GB2312" w:eastAsia="仿宋_GB2312" w:cs="仿宋_GB2312"/>
          <w:sz w:val="24"/>
          <w:szCs w:val="24"/>
          <w:lang w:eastAsia="zh-TW"/>
        </w:rPr>
        <w:t>总价中。</w:t>
      </w:r>
    </w:p>
    <w:p>
      <w:pPr>
        <w:widowControl w:val="0"/>
        <w:numPr>
          <w:ilvl w:val="1"/>
          <w:numId w:val="4"/>
        </w:numPr>
        <w:tabs>
          <w:tab w:val="left" w:pos="709"/>
          <w:tab w:val="clear" w:pos="360"/>
        </w:tabs>
        <w:autoSpaceDE w:val="0"/>
        <w:autoSpaceDN w:val="0"/>
        <w:adjustRightInd w:val="0"/>
        <w:snapToGrid w:val="0"/>
        <w:spacing w:line="360" w:lineRule="auto"/>
        <w:ind w:left="709" w:hanging="709"/>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根据本须知</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报价表</w:t>
      </w:r>
      <w:r>
        <w:rPr>
          <w:rFonts w:hint="eastAsia" w:ascii="仿宋_GB2312" w:hAnsi="仿宋_GB2312" w:eastAsia="仿宋_GB2312" w:cs="仿宋_GB2312"/>
          <w:sz w:val="24"/>
          <w:szCs w:val="24"/>
        </w:rPr>
        <w:t>内容应包含”</w:t>
      </w:r>
      <w:r>
        <w:rPr>
          <w:rFonts w:hint="eastAsia" w:ascii="仿宋_GB2312" w:hAnsi="仿宋_GB2312" w:eastAsia="仿宋_GB2312" w:cs="仿宋_GB2312"/>
          <w:sz w:val="24"/>
          <w:szCs w:val="24"/>
          <w:lang w:eastAsia="zh-TW"/>
        </w:rPr>
        <w:t>规定将</w:t>
      </w:r>
      <w:r>
        <w:rPr>
          <w:rFonts w:hint="eastAsia" w:ascii="仿宋_GB2312" w:hAnsi="仿宋_GB2312" w:eastAsia="仿宋_GB2312" w:cs="仿宋_GB2312"/>
          <w:sz w:val="24"/>
          <w:szCs w:val="24"/>
        </w:rPr>
        <w:t>报</w:t>
      </w:r>
      <w:r>
        <w:rPr>
          <w:rFonts w:hint="eastAsia" w:ascii="仿宋_GB2312" w:hAnsi="仿宋_GB2312" w:eastAsia="仿宋_GB2312" w:cs="仿宋_GB2312"/>
          <w:sz w:val="24"/>
          <w:szCs w:val="24"/>
          <w:lang w:eastAsia="zh-TW"/>
        </w:rPr>
        <w:t>价分成几部分</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只是为了方便对响应文件</w:t>
      </w:r>
      <w:r>
        <w:rPr>
          <w:rFonts w:hint="eastAsia" w:ascii="仿宋_GB2312" w:hAnsi="仿宋_GB2312" w:eastAsia="仿宋_GB2312" w:cs="仿宋_GB2312"/>
          <w:sz w:val="24"/>
          <w:szCs w:val="24"/>
        </w:rPr>
        <w:t>进行比较，</w:t>
      </w:r>
      <w:r>
        <w:rPr>
          <w:rFonts w:hint="eastAsia" w:ascii="仿宋_GB2312" w:hAnsi="仿宋_GB2312" w:eastAsia="仿宋_GB2312" w:cs="仿宋_GB2312"/>
          <w:sz w:val="24"/>
          <w:szCs w:val="24"/>
          <w:lang w:eastAsia="zh-TW"/>
        </w:rPr>
        <w:t>并不限制采购人以上述任何条件订立合同的权力。</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除</w:t>
      </w:r>
      <w:r>
        <w:rPr>
          <w:rFonts w:hint="eastAsia" w:ascii="仿宋_GB2312" w:hAnsi="仿宋_GB2312" w:eastAsia="仿宋_GB2312" w:cs="仿宋_GB2312"/>
          <w:b/>
          <w:sz w:val="24"/>
          <w:szCs w:val="24"/>
        </w:rPr>
        <w:t>磋商资料表</w:t>
      </w:r>
      <w:r>
        <w:rPr>
          <w:rFonts w:hint="eastAsia" w:ascii="仿宋_GB2312" w:hAnsi="仿宋_GB2312" w:eastAsia="仿宋_GB2312" w:cs="仿宋_GB2312"/>
          <w:sz w:val="24"/>
          <w:szCs w:val="24"/>
        </w:rPr>
        <w:t>中另有规定，响应人</w:t>
      </w:r>
      <w:r>
        <w:rPr>
          <w:rFonts w:hint="eastAsia" w:ascii="仿宋_GB2312" w:hAnsi="仿宋_GB2312" w:eastAsia="仿宋_GB2312" w:cs="仿宋_GB2312"/>
          <w:sz w:val="24"/>
          <w:szCs w:val="24"/>
          <w:lang w:eastAsia="zh-TW"/>
        </w:rPr>
        <w:t>所报的磋商价在合同执行过程中是固定不变的</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不得以任何理由予以变更。任何包含价格调整要求的磋商被认为是非实质性响应磋商而予以拒绝。</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除</w:t>
      </w:r>
      <w:r>
        <w:rPr>
          <w:rFonts w:hint="eastAsia" w:ascii="仿宋_GB2312" w:hAnsi="仿宋_GB2312" w:eastAsia="仿宋_GB2312" w:cs="仿宋_GB2312"/>
          <w:b/>
          <w:sz w:val="24"/>
          <w:szCs w:val="24"/>
        </w:rPr>
        <w:t>磋商资料表</w:t>
      </w:r>
      <w:r>
        <w:rPr>
          <w:rFonts w:hint="eastAsia" w:ascii="仿宋_GB2312" w:hAnsi="仿宋_GB2312" w:eastAsia="仿宋_GB2312" w:cs="仿宋_GB2312"/>
          <w:sz w:val="24"/>
          <w:szCs w:val="24"/>
        </w:rPr>
        <w:t>中允许有备选方案外，本次磋商不接受选择性报价，否则将被视为无效报价。</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除</w:t>
      </w:r>
      <w:r>
        <w:rPr>
          <w:rFonts w:hint="eastAsia" w:ascii="仿宋_GB2312" w:hAnsi="仿宋_GB2312" w:eastAsia="仿宋_GB2312" w:cs="仿宋_GB2312"/>
          <w:b/>
          <w:sz w:val="24"/>
          <w:szCs w:val="24"/>
        </w:rPr>
        <w:t>磋商资料表</w:t>
      </w:r>
      <w:r>
        <w:rPr>
          <w:rFonts w:hint="eastAsia" w:ascii="仿宋_GB2312" w:hAnsi="仿宋_GB2312" w:eastAsia="仿宋_GB2312" w:cs="仿宋_GB2312"/>
          <w:sz w:val="24"/>
          <w:szCs w:val="24"/>
        </w:rPr>
        <w:t>另有规定外，本次磋商不接受具有附加条件的报价，否则将被视为无效报价。</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73" w:name="_Toc410736148"/>
      <w:bookmarkStart w:id="74" w:name="_Toc416770225"/>
      <w:bookmarkStart w:id="75" w:name="_Toc416771335"/>
      <w:bookmarkStart w:id="76" w:name="_Toc410738948"/>
      <w:r>
        <w:rPr>
          <w:rFonts w:hint="eastAsia" w:ascii="仿宋_GB2312" w:hAnsi="仿宋_GB2312" w:eastAsia="仿宋_GB2312" w:cs="仿宋_GB2312"/>
          <w:b/>
          <w:bCs/>
          <w:sz w:val="24"/>
          <w:szCs w:val="24"/>
        </w:rPr>
        <w:t>响应货币</w:t>
      </w:r>
      <w:bookmarkEnd w:id="73"/>
      <w:bookmarkEnd w:id="74"/>
      <w:bookmarkEnd w:id="75"/>
      <w:bookmarkEnd w:id="76"/>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响应人所提供的货物或服务均应以人民币报价。 </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77" w:name="_Toc416771336"/>
      <w:bookmarkStart w:id="78" w:name="_Toc416770226"/>
      <w:r>
        <w:rPr>
          <w:rFonts w:hint="eastAsia" w:ascii="仿宋_GB2312" w:hAnsi="仿宋_GB2312" w:eastAsia="仿宋_GB2312" w:cs="仿宋_GB2312"/>
          <w:b/>
          <w:bCs/>
          <w:sz w:val="24"/>
          <w:szCs w:val="24"/>
        </w:rPr>
        <w:t>联合体</w:t>
      </w:r>
      <w:bookmarkEnd w:id="77"/>
      <w:bookmarkEnd w:id="78"/>
      <w:r>
        <w:rPr>
          <w:rFonts w:hint="eastAsia" w:ascii="仿宋_GB2312" w:hAnsi="仿宋_GB2312" w:eastAsia="仿宋_GB2312" w:cs="仿宋_GB2312"/>
          <w:b/>
          <w:bCs/>
          <w:sz w:val="24"/>
          <w:szCs w:val="24"/>
        </w:rPr>
        <w:t>响应</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除非</w:t>
      </w:r>
      <w:r>
        <w:rPr>
          <w:rFonts w:hint="eastAsia" w:ascii="仿宋_GB2312" w:hAnsi="仿宋_GB2312" w:eastAsia="仿宋_GB2312" w:cs="仿宋_GB2312"/>
          <w:b/>
          <w:sz w:val="24"/>
          <w:szCs w:val="24"/>
        </w:rPr>
        <w:t>磋商邀请</w:t>
      </w:r>
      <w:r>
        <w:rPr>
          <w:rFonts w:hint="eastAsia" w:ascii="仿宋_GB2312" w:hAnsi="仿宋_GB2312" w:eastAsia="仿宋_GB2312" w:cs="仿宋_GB2312"/>
          <w:sz w:val="24"/>
          <w:szCs w:val="24"/>
        </w:rPr>
        <w:t>中另有规定，不接受联合体响应。如果磋商邀请中规定允许联合体响应的，则必须满足：</w:t>
      </w:r>
    </w:p>
    <w:p>
      <w:pPr>
        <w:widowControl w:val="0"/>
        <w:numPr>
          <w:ilvl w:val="2"/>
          <w:numId w:val="4"/>
        </w:numPr>
        <w:tabs>
          <w:tab w:val="left" w:pos="851"/>
          <w:tab w:val="clear" w:pos="720"/>
        </w:tabs>
        <w:autoSpaceDE w:val="0"/>
        <w:autoSpaceDN w:val="0"/>
        <w:adjustRightInd w:val="0"/>
        <w:snapToGrid w:val="0"/>
        <w:spacing w:line="360" w:lineRule="auto"/>
        <w:ind w:left="851" w:hanging="851"/>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以联合体形式参加磋商的</w:t>
      </w:r>
      <w:r>
        <w:rPr>
          <w:rFonts w:hint="eastAsia" w:ascii="仿宋_GB2312" w:hAnsi="仿宋_GB2312" w:eastAsia="仿宋_GB2312" w:cs="仿宋_GB2312"/>
          <w:sz w:val="24"/>
          <w:szCs w:val="24"/>
        </w:rPr>
        <w:t>，联合体各方均必须符合本须知“合格的响应人”的一般规定，并至少有一方符合满足“合格的响应人”的特殊条款要求；</w:t>
      </w:r>
    </w:p>
    <w:p>
      <w:pPr>
        <w:widowControl w:val="0"/>
        <w:numPr>
          <w:ilvl w:val="2"/>
          <w:numId w:val="4"/>
        </w:numPr>
        <w:tabs>
          <w:tab w:val="left" w:pos="851"/>
          <w:tab w:val="clear" w:pos="720"/>
        </w:tabs>
        <w:autoSpaceDE w:val="0"/>
        <w:autoSpaceDN w:val="0"/>
        <w:adjustRightInd w:val="0"/>
        <w:snapToGrid w:val="0"/>
        <w:spacing w:line="360" w:lineRule="auto"/>
        <w:ind w:left="851" w:hanging="851"/>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以联合体形式参加政府采购活动的，联合体各方不得再单独参加或者与其他供应商另外组成联合体参加同一合同项下的政府采购活动。</w:t>
      </w:r>
    </w:p>
    <w:p>
      <w:pPr>
        <w:widowControl w:val="0"/>
        <w:numPr>
          <w:ilvl w:val="2"/>
          <w:numId w:val="4"/>
        </w:numPr>
        <w:tabs>
          <w:tab w:val="left" w:pos="851"/>
          <w:tab w:val="clear" w:pos="720"/>
        </w:tabs>
        <w:autoSpaceDE w:val="0"/>
        <w:autoSpaceDN w:val="0"/>
        <w:adjustRightInd w:val="0"/>
        <w:snapToGrid w:val="0"/>
        <w:spacing w:line="360" w:lineRule="auto"/>
        <w:ind w:left="851" w:hanging="851"/>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联合体响应的，</w:t>
      </w:r>
      <w:r>
        <w:rPr>
          <w:rFonts w:hint="eastAsia" w:ascii="仿宋_GB2312" w:hAnsi="仿宋_GB2312" w:eastAsia="仿宋_GB2312" w:cs="仿宋_GB2312"/>
          <w:sz w:val="24"/>
          <w:szCs w:val="24"/>
          <w:lang w:eastAsia="zh-TW"/>
        </w:rPr>
        <w:t>必须提供各方签订的共同联合体协议</w:t>
      </w:r>
      <w:r>
        <w:rPr>
          <w:rFonts w:hint="eastAsia" w:ascii="仿宋_GB2312" w:hAnsi="仿宋_GB2312" w:eastAsia="仿宋_GB2312" w:cs="仿宋_GB2312"/>
          <w:sz w:val="24"/>
          <w:szCs w:val="24"/>
        </w:rPr>
        <w:t>，明确约定各方承担的工作和相应的责任。联合体各方签订共同联合体协议后，不得再以自己名义单独在同一项目（或包组）中磋商，也不得组成新的联合体参加同一项目（或包组）磋商；</w:t>
      </w:r>
    </w:p>
    <w:p>
      <w:pPr>
        <w:widowControl w:val="0"/>
        <w:numPr>
          <w:ilvl w:val="2"/>
          <w:numId w:val="4"/>
        </w:numPr>
        <w:tabs>
          <w:tab w:val="left" w:pos="851"/>
          <w:tab w:val="clear" w:pos="720"/>
        </w:tabs>
        <w:autoSpaceDE w:val="0"/>
        <w:autoSpaceDN w:val="0"/>
        <w:adjustRightInd w:val="0"/>
        <w:snapToGrid w:val="0"/>
        <w:spacing w:line="360" w:lineRule="auto"/>
        <w:ind w:left="851" w:hanging="851"/>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联合体中有同类资质的响应人按照联合体分工承担相同工作的，应当按照资质等级较低的响应人确定资质等级。</w:t>
      </w:r>
    </w:p>
    <w:p>
      <w:pPr>
        <w:widowControl w:val="0"/>
        <w:numPr>
          <w:ilvl w:val="2"/>
          <w:numId w:val="4"/>
        </w:numPr>
        <w:tabs>
          <w:tab w:val="left" w:pos="851"/>
          <w:tab w:val="clear" w:pos="720"/>
        </w:tabs>
        <w:autoSpaceDE w:val="0"/>
        <w:autoSpaceDN w:val="0"/>
        <w:adjustRightInd w:val="0"/>
        <w:snapToGrid w:val="0"/>
        <w:spacing w:line="360" w:lineRule="auto"/>
        <w:ind w:left="851" w:hanging="851"/>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联合体响应的，可以由联合体中的一方或者共同提交磋商保证金，以一方名义提交磋商保证金的，对联合体各方均具有约束力。</w:t>
      </w:r>
    </w:p>
    <w:p>
      <w:pPr>
        <w:widowControl w:val="0"/>
        <w:numPr>
          <w:ilvl w:val="2"/>
          <w:numId w:val="4"/>
        </w:numPr>
        <w:tabs>
          <w:tab w:val="left" w:pos="851"/>
          <w:tab w:val="clear" w:pos="720"/>
        </w:tabs>
        <w:autoSpaceDE w:val="0"/>
        <w:autoSpaceDN w:val="0"/>
        <w:adjustRightInd w:val="0"/>
        <w:snapToGrid w:val="0"/>
        <w:spacing w:line="360" w:lineRule="auto"/>
        <w:ind w:left="851" w:hanging="851"/>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联合体成交的，联合体各方应当共同与采购人签订合同。</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79" w:name="_Toc416771337"/>
      <w:bookmarkStart w:id="80" w:name="_Toc410736150"/>
      <w:bookmarkStart w:id="81" w:name="_Toc416770227"/>
      <w:bookmarkStart w:id="82" w:name="_Toc410738950"/>
      <w:r>
        <w:rPr>
          <w:rFonts w:hint="eastAsia" w:ascii="仿宋_GB2312" w:hAnsi="仿宋_GB2312" w:eastAsia="仿宋_GB2312" w:cs="仿宋_GB2312"/>
          <w:b/>
          <w:bCs/>
          <w:sz w:val="24"/>
          <w:szCs w:val="24"/>
        </w:rPr>
        <w:t>证明响应人合格和资格的文件</w:t>
      </w:r>
      <w:bookmarkEnd w:id="79"/>
      <w:bookmarkEnd w:id="80"/>
      <w:bookmarkEnd w:id="81"/>
      <w:bookmarkEnd w:id="82"/>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响应人应提交证明其有资格参加磋商和成交后有能力履行合同的文件，</w:t>
      </w:r>
      <w:r>
        <w:rPr>
          <w:rFonts w:hint="eastAsia" w:ascii="仿宋_GB2312" w:hAnsi="仿宋_GB2312" w:eastAsia="仿宋_GB2312" w:cs="仿宋_GB2312"/>
          <w:sz w:val="24"/>
          <w:szCs w:val="24"/>
          <w:lang w:eastAsia="zh-TW"/>
        </w:rPr>
        <w:t>并作为其响应文件的一部分。如果</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为联合体</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应提交联合体各方的资格证明文件、</w:t>
      </w:r>
      <w:r>
        <w:rPr>
          <w:rFonts w:hint="eastAsia" w:ascii="仿宋_GB2312" w:hAnsi="仿宋_GB2312" w:eastAsia="仿宋_GB2312" w:cs="仿宋_GB2312"/>
          <w:sz w:val="24"/>
          <w:szCs w:val="24"/>
        </w:rPr>
        <w:t>共同联合体协议</w:t>
      </w:r>
      <w:r>
        <w:rPr>
          <w:rFonts w:hint="eastAsia" w:ascii="仿宋_GB2312" w:hAnsi="仿宋_GB2312" w:eastAsia="仿宋_GB2312" w:cs="仿宋_GB2312"/>
          <w:sz w:val="24"/>
          <w:szCs w:val="24"/>
          <w:lang w:eastAsia="zh-TW"/>
        </w:rPr>
        <w:t>并注明主体方</w:t>
      </w:r>
      <w:r>
        <w:rPr>
          <w:rFonts w:hint="eastAsia" w:ascii="仿宋_GB2312" w:hAnsi="仿宋_GB2312" w:eastAsia="仿宋_GB2312" w:cs="仿宋_GB2312"/>
          <w:sz w:val="24"/>
          <w:szCs w:val="24"/>
        </w:rPr>
        <w:t>及各方拟承担的工作和责任。</w:t>
      </w:r>
      <w:r>
        <w:rPr>
          <w:rFonts w:hint="eastAsia" w:ascii="仿宋_GB2312" w:hAnsi="仿宋_GB2312" w:eastAsia="仿宋_GB2312" w:cs="仿宋_GB2312"/>
          <w:sz w:val="24"/>
          <w:szCs w:val="24"/>
          <w:lang w:eastAsia="zh-TW"/>
        </w:rPr>
        <w:t>否则</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将导致其磋商</w:t>
      </w:r>
      <w:r>
        <w:rPr>
          <w:rFonts w:hint="eastAsia" w:ascii="仿宋_GB2312" w:hAnsi="仿宋_GB2312" w:eastAsia="仿宋_GB2312" w:cs="仿宋_GB2312"/>
          <w:sz w:val="24"/>
          <w:szCs w:val="24"/>
        </w:rPr>
        <w:t>报价无效。</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响应人提交的资格证明文件应证明其满足本须知</w:t>
      </w:r>
      <w:r>
        <w:rPr>
          <w:rFonts w:hint="eastAsia" w:ascii="仿宋_GB2312" w:hAnsi="仿宋_GB2312" w:eastAsia="仿宋_GB2312" w:cs="仿宋_GB2312"/>
          <w:sz w:val="24"/>
          <w:szCs w:val="24"/>
          <w:lang w:eastAsia="zh-TW"/>
        </w:rPr>
        <w:t>定义的合格</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83" w:name="_Toc416770228"/>
      <w:bookmarkStart w:id="84" w:name="_Toc416771338"/>
      <w:bookmarkStart w:id="85" w:name="_Toc410738951"/>
      <w:bookmarkStart w:id="86" w:name="_Toc410736151"/>
      <w:r>
        <w:rPr>
          <w:rFonts w:hint="eastAsia" w:ascii="仿宋_GB2312" w:hAnsi="仿宋_GB2312" w:eastAsia="仿宋_GB2312" w:cs="仿宋_GB2312"/>
          <w:b/>
          <w:bCs/>
          <w:sz w:val="24"/>
          <w:szCs w:val="24"/>
        </w:rPr>
        <w:t>证明货物或服务的合格性和符合竞争性磋商文件规定的文件</w:t>
      </w:r>
      <w:bookmarkEnd w:id="83"/>
      <w:bookmarkEnd w:id="84"/>
      <w:bookmarkEnd w:id="85"/>
      <w:bookmarkEnd w:id="86"/>
    </w:p>
    <w:p>
      <w:pPr>
        <w:widowControl w:val="0"/>
        <w:numPr>
          <w:ilvl w:val="1"/>
          <w:numId w:val="4"/>
        </w:numPr>
        <w:tabs>
          <w:tab w:val="left" w:pos="798"/>
          <w:tab w:val="clear" w:pos="360"/>
        </w:tabs>
        <w:autoSpaceDE w:val="0"/>
        <w:autoSpaceDN w:val="0"/>
        <w:adjustRightInd w:val="0"/>
        <w:snapToGrid w:val="0"/>
        <w:spacing w:line="360" w:lineRule="auto"/>
        <w:ind w:left="798" w:hanging="798"/>
        <w:rPr>
          <w:rFonts w:hint="eastAsia" w:ascii="仿宋_GB2312" w:hAnsi="仿宋_GB2312" w:eastAsia="仿宋_GB2312" w:cs="仿宋_GB2312"/>
          <w:bCs/>
          <w:sz w:val="24"/>
          <w:szCs w:val="24"/>
        </w:rPr>
      </w:pP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应提交证明文件</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证明其</w:t>
      </w:r>
      <w:r>
        <w:rPr>
          <w:rFonts w:hint="eastAsia" w:ascii="仿宋_GB2312" w:hAnsi="仿宋_GB2312" w:eastAsia="仿宋_GB2312" w:cs="仿宋_GB2312"/>
          <w:sz w:val="24"/>
          <w:szCs w:val="24"/>
        </w:rPr>
        <w:t>磋商</w:t>
      </w:r>
      <w:r>
        <w:rPr>
          <w:rFonts w:hint="eastAsia" w:ascii="仿宋_GB2312" w:hAnsi="仿宋_GB2312" w:eastAsia="仿宋_GB2312" w:cs="仿宋_GB2312"/>
          <w:sz w:val="24"/>
          <w:szCs w:val="24"/>
          <w:lang w:eastAsia="zh-TW"/>
        </w:rPr>
        <w:t>的</w:t>
      </w:r>
      <w:r>
        <w:rPr>
          <w:rFonts w:hint="eastAsia" w:ascii="仿宋_GB2312" w:hAnsi="仿宋_GB2312" w:eastAsia="仿宋_GB2312" w:cs="仿宋_GB2312"/>
          <w:sz w:val="24"/>
          <w:szCs w:val="24"/>
        </w:rPr>
        <w:t>货物或</w:t>
      </w:r>
      <w:r>
        <w:rPr>
          <w:rFonts w:hint="eastAsia" w:ascii="仿宋_GB2312" w:hAnsi="仿宋_GB2312" w:eastAsia="仿宋_GB2312" w:cs="仿宋_GB2312"/>
          <w:sz w:val="24"/>
          <w:szCs w:val="24"/>
          <w:lang w:eastAsia="zh-TW"/>
        </w:rPr>
        <w:t>服务的合格性符合竞争性磋商文件规定。该证明文件作为响应文件的一部分。</w:t>
      </w:r>
    </w:p>
    <w:p>
      <w:pPr>
        <w:widowControl w:val="0"/>
        <w:numPr>
          <w:ilvl w:val="1"/>
          <w:numId w:val="4"/>
        </w:numPr>
        <w:tabs>
          <w:tab w:val="left" w:pos="798"/>
          <w:tab w:val="clear" w:pos="360"/>
        </w:tabs>
        <w:autoSpaceDE w:val="0"/>
        <w:autoSpaceDN w:val="0"/>
        <w:adjustRightInd w:val="0"/>
        <w:snapToGrid w:val="0"/>
        <w:spacing w:line="360" w:lineRule="auto"/>
        <w:ind w:left="798" w:hanging="798"/>
        <w:rPr>
          <w:rFonts w:hint="eastAsia" w:ascii="仿宋_GB2312" w:hAnsi="仿宋_GB2312" w:eastAsia="仿宋_GB2312" w:cs="仿宋_GB2312"/>
          <w:bCs/>
          <w:sz w:val="24"/>
          <w:szCs w:val="24"/>
        </w:rPr>
      </w:pPr>
      <w:r>
        <w:rPr>
          <w:rFonts w:hint="eastAsia" w:ascii="仿宋_GB2312" w:hAnsi="仿宋_GB2312" w:eastAsia="仿宋_GB2312" w:cs="仿宋_GB2312"/>
          <w:sz w:val="24"/>
          <w:szCs w:val="24"/>
          <w:lang w:eastAsia="zh-TW"/>
        </w:rPr>
        <w:t>证明</w:t>
      </w:r>
      <w:r>
        <w:rPr>
          <w:rFonts w:hint="eastAsia" w:ascii="仿宋_GB2312" w:hAnsi="仿宋_GB2312" w:eastAsia="仿宋_GB2312" w:cs="仿宋_GB2312"/>
          <w:sz w:val="24"/>
          <w:szCs w:val="24"/>
        </w:rPr>
        <w:t>货物或</w:t>
      </w:r>
      <w:r>
        <w:rPr>
          <w:rFonts w:hint="eastAsia" w:ascii="仿宋_GB2312" w:hAnsi="仿宋_GB2312" w:eastAsia="仿宋_GB2312" w:cs="仿宋_GB2312"/>
          <w:sz w:val="24"/>
          <w:szCs w:val="24"/>
          <w:lang w:eastAsia="zh-TW"/>
        </w:rPr>
        <w:t>服务与竞争性磋商文件的要求相一致的文件，可以是文字资料、图纸和数据，它包括：</w:t>
      </w:r>
    </w:p>
    <w:p>
      <w:pPr>
        <w:widowControl w:val="0"/>
        <w:numPr>
          <w:ilvl w:val="2"/>
          <w:numId w:val="4"/>
        </w:numPr>
        <w:tabs>
          <w:tab w:val="left" w:pos="851"/>
        </w:tabs>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货物主要技术指标和性能的详细说明</w:t>
      </w:r>
      <w:r>
        <w:rPr>
          <w:rFonts w:hint="eastAsia" w:ascii="仿宋_GB2312" w:hAnsi="仿宋_GB2312" w:eastAsia="仿宋_GB2312" w:cs="仿宋_GB2312"/>
          <w:sz w:val="24"/>
          <w:szCs w:val="24"/>
        </w:rPr>
        <w:t>；服务</w:t>
      </w:r>
      <w:r>
        <w:rPr>
          <w:rFonts w:hint="eastAsia" w:ascii="仿宋_GB2312" w:hAnsi="仿宋_GB2312" w:eastAsia="仿宋_GB2312" w:cs="仿宋_GB2312"/>
          <w:sz w:val="24"/>
          <w:szCs w:val="24"/>
          <w:lang w:eastAsia="zh-TW"/>
        </w:rPr>
        <w:t>主要</w:t>
      </w:r>
      <w:r>
        <w:rPr>
          <w:rFonts w:hint="eastAsia" w:ascii="仿宋_GB2312" w:hAnsi="仿宋_GB2312" w:eastAsia="仿宋_GB2312" w:cs="仿宋_GB2312"/>
          <w:sz w:val="24"/>
          <w:szCs w:val="24"/>
        </w:rPr>
        <w:t>内容、方案、质量、标准</w:t>
      </w:r>
      <w:r>
        <w:rPr>
          <w:rFonts w:hint="eastAsia" w:ascii="仿宋_GB2312" w:hAnsi="仿宋_GB2312" w:eastAsia="仿宋_GB2312" w:cs="仿宋_GB2312"/>
          <w:sz w:val="24"/>
          <w:szCs w:val="24"/>
          <w:lang w:eastAsia="zh-TW"/>
        </w:rPr>
        <w:t>指标</w:t>
      </w:r>
      <w:r>
        <w:rPr>
          <w:rFonts w:hint="eastAsia" w:ascii="仿宋_GB2312" w:hAnsi="仿宋_GB2312" w:eastAsia="仿宋_GB2312" w:cs="仿宋_GB2312"/>
          <w:sz w:val="24"/>
          <w:szCs w:val="24"/>
        </w:rPr>
        <w:t>等</w:t>
      </w:r>
      <w:r>
        <w:rPr>
          <w:rFonts w:hint="eastAsia" w:ascii="仿宋_GB2312" w:hAnsi="仿宋_GB2312" w:eastAsia="仿宋_GB2312" w:cs="仿宋_GB2312"/>
          <w:sz w:val="24"/>
          <w:szCs w:val="24"/>
          <w:lang w:eastAsia="zh-TW"/>
        </w:rPr>
        <w:t>的详细说明</w:t>
      </w:r>
      <w:r>
        <w:rPr>
          <w:rFonts w:hint="eastAsia" w:ascii="仿宋_GB2312" w:hAnsi="仿宋_GB2312" w:eastAsia="仿宋_GB2312" w:cs="仿宋_GB2312"/>
          <w:sz w:val="24"/>
          <w:szCs w:val="24"/>
        </w:rPr>
        <w:t>；</w:t>
      </w:r>
    </w:p>
    <w:p>
      <w:pPr>
        <w:widowControl w:val="0"/>
        <w:numPr>
          <w:ilvl w:val="2"/>
          <w:numId w:val="4"/>
        </w:numPr>
        <w:tabs>
          <w:tab w:val="left" w:pos="851"/>
        </w:tabs>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货物正常使用所必须的备件和专用工具清单</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包括备件和专用工具的货源及现行价格</w:t>
      </w:r>
      <w:r>
        <w:rPr>
          <w:rFonts w:hint="eastAsia" w:ascii="仿宋_GB2312" w:hAnsi="仿宋_GB2312" w:eastAsia="仿宋_GB2312" w:cs="仿宋_GB2312"/>
          <w:sz w:val="24"/>
          <w:szCs w:val="24"/>
        </w:rPr>
        <w:t>；（适用货物类项目）</w:t>
      </w:r>
    </w:p>
    <w:p>
      <w:pPr>
        <w:widowControl w:val="0"/>
        <w:numPr>
          <w:ilvl w:val="2"/>
          <w:numId w:val="4"/>
        </w:numPr>
        <w:tabs>
          <w:tab w:val="left" w:pos="851"/>
        </w:tabs>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对照竞争性磋商文件</w:t>
      </w:r>
      <w:r>
        <w:rPr>
          <w:rFonts w:hint="eastAsia" w:ascii="仿宋_GB2312" w:hAnsi="仿宋_GB2312" w:eastAsia="仿宋_GB2312" w:cs="仿宋_GB2312"/>
          <w:sz w:val="24"/>
          <w:szCs w:val="24"/>
        </w:rPr>
        <w:t>货物或服务内容与要求</w:t>
      </w:r>
      <w:r>
        <w:rPr>
          <w:rFonts w:hint="eastAsia" w:ascii="仿宋_GB2312" w:hAnsi="仿宋_GB2312" w:eastAsia="仿宋_GB2312" w:cs="仿宋_GB2312"/>
          <w:sz w:val="24"/>
          <w:szCs w:val="24"/>
          <w:lang w:eastAsia="zh-TW"/>
        </w:rPr>
        <w:t>，逐条说明所提供</w:t>
      </w:r>
      <w:r>
        <w:rPr>
          <w:rFonts w:hint="eastAsia" w:ascii="仿宋_GB2312" w:hAnsi="仿宋_GB2312" w:eastAsia="仿宋_GB2312" w:cs="仿宋_GB2312"/>
          <w:sz w:val="24"/>
          <w:szCs w:val="24"/>
        </w:rPr>
        <w:t>货物或</w:t>
      </w:r>
      <w:r>
        <w:rPr>
          <w:rFonts w:hint="eastAsia" w:ascii="仿宋_GB2312" w:hAnsi="仿宋_GB2312" w:eastAsia="仿宋_GB2312" w:cs="仿宋_GB2312"/>
          <w:sz w:val="24"/>
          <w:szCs w:val="24"/>
          <w:lang w:eastAsia="zh-TW"/>
        </w:rPr>
        <w:t>服务已对竞争性磋商文件的</w:t>
      </w:r>
      <w:r>
        <w:rPr>
          <w:rFonts w:hint="eastAsia" w:ascii="仿宋_GB2312" w:hAnsi="仿宋_GB2312" w:eastAsia="仿宋_GB2312" w:cs="仿宋_GB2312"/>
          <w:sz w:val="24"/>
          <w:szCs w:val="24"/>
        </w:rPr>
        <w:t>采购内容与要求</w:t>
      </w:r>
      <w:r>
        <w:rPr>
          <w:rFonts w:hint="eastAsia" w:ascii="仿宋_GB2312" w:hAnsi="仿宋_GB2312" w:eastAsia="仿宋_GB2312" w:cs="仿宋_GB2312"/>
          <w:sz w:val="24"/>
          <w:szCs w:val="24"/>
          <w:lang w:eastAsia="zh-TW"/>
        </w:rPr>
        <w:t>作出了实质性的响应</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并申明与</w:t>
      </w:r>
      <w:r>
        <w:rPr>
          <w:rFonts w:hint="eastAsia" w:ascii="仿宋_GB2312" w:hAnsi="仿宋_GB2312" w:eastAsia="仿宋_GB2312" w:cs="仿宋_GB2312"/>
          <w:sz w:val="24"/>
          <w:szCs w:val="24"/>
        </w:rPr>
        <w:t>采购内容与要求</w:t>
      </w:r>
      <w:r>
        <w:rPr>
          <w:rFonts w:hint="eastAsia" w:ascii="仿宋_GB2312" w:hAnsi="仿宋_GB2312" w:eastAsia="仿宋_GB2312" w:cs="仿宋_GB2312"/>
          <w:sz w:val="24"/>
          <w:szCs w:val="24"/>
          <w:lang w:eastAsia="zh-TW"/>
        </w:rPr>
        <w:t>条文的偏差和例外。特别对有具体参数要求的指标</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须提供所投</w:t>
      </w:r>
      <w:r>
        <w:rPr>
          <w:rFonts w:hint="eastAsia" w:ascii="仿宋_GB2312" w:hAnsi="仿宋_GB2312" w:eastAsia="仿宋_GB2312" w:cs="仿宋_GB2312"/>
          <w:sz w:val="24"/>
          <w:szCs w:val="24"/>
        </w:rPr>
        <w:t>服务</w:t>
      </w:r>
      <w:r>
        <w:rPr>
          <w:rFonts w:hint="eastAsia" w:ascii="仿宋_GB2312" w:hAnsi="仿宋_GB2312" w:eastAsia="仿宋_GB2312" w:cs="仿宋_GB2312"/>
          <w:sz w:val="24"/>
          <w:szCs w:val="24"/>
          <w:lang w:eastAsia="zh-TW"/>
        </w:rPr>
        <w:t>的具体参数值。</w:t>
      </w:r>
      <w:r>
        <w:rPr>
          <w:rFonts w:hint="eastAsia" w:ascii="仿宋_GB2312" w:hAnsi="仿宋_GB2312" w:eastAsia="仿宋_GB2312" w:cs="仿宋_GB2312"/>
          <w:sz w:val="24"/>
          <w:szCs w:val="24"/>
        </w:rPr>
        <w:t>响应人在阐述</w:t>
      </w:r>
      <w:r>
        <w:rPr>
          <w:rFonts w:hint="eastAsia" w:ascii="仿宋_GB2312" w:hAnsi="仿宋_GB2312" w:eastAsia="仿宋_GB2312" w:cs="仿宋_GB2312"/>
          <w:sz w:val="24"/>
          <w:szCs w:val="24"/>
          <w:lang w:eastAsia="zh-TW"/>
        </w:rPr>
        <w:t>时应注意竞争性磋商文件的</w:t>
      </w:r>
      <w:r>
        <w:rPr>
          <w:rFonts w:hint="eastAsia" w:ascii="仿宋_GB2312" w:hAnsi="仿宋_GB2312" w:eastAsia="仿宋_GB2312" w:cs="仿宋_GB2312"/>
          <w:sz w:val="24"/>
          <w:szCs w:val="24"/>
        </w:rPr>
        <w:t>采购内容、要求和</w:t>
      </w:r>
      <w:r>
        <w:rPr>
          <w:rFonts w:hint="eastAsia" w:ascii="仿宋_GB2312" w:hAnsi="仿宋_GB2312" w:eastAsia="仿宋_GB2312" w:cs="仿宋_GB2312"/>
          <w:sz w:val="24"/>
          <w:szCs w:val="24"/>
          <w:lang w:eastAsia="zh-TW"/>
        </w:rPr>
        <w:t>标准</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在磋商中要实质上满足或</w:t>
      </w:r>
      <w:r>
        <w:rPr>
          <w:rFonts w:hint="eastAsia" w:ascii="仿宋_GB2312" w:hAnsi="仿宋_GB2312" w:eastAsia="仿宋_GB2312" w:cs="仿宋_GB2312"/>
          <w:sz w:val="24"/>
          <w:szCs w:val="24"/>
        </w:rPr>
        <w:t>优于</w:t>
      </w:r>
      <w:r>
        <w:rPr>
          <w:rFonts w:hint="eastAsia" w:ascii="仿宋_GB2312" w:hAnsi="仿宋_GB2312" w:eastAsia="仿宋_GB2312" w:cs="仿宋_GB2312"/>
          <w:sz w:val="24"/>
          <w:szCs w:val="24"/>
          <w:lang w:eastAsia="zh-TW"/>
        </w:rPr>
        <w:t>竞争性磋商文件的要求。</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87" w:name="_Toc416771339"/>
      <w:bookmarkStart w:id="88" w:name="_Toc416770229"/>
      <w:r>
        <w:rPr>
          <w:rFonts w:hint="eastAsia" w:ascii="仿宋_GB2312" w:hAnsi="仿宋_GB2312" w:eastAsia="仿宋_GB2312" w:cs="仿宋_GB2312"/>
          <w:b/>
          <w:bCs/>
          <w:sz w:val="24"/>
          <w:szCs w:val="24"/>
        </w:rPr>
        <w:t>磋商保证金</w:t>
      </w:r>
      <w:bookmarkEnd w:id="87"/>
      <w:bookmarkEnd w:id="88"/>
    </w:p>
    <w:p>
      <w:pPr>
        <w:widowControl w:val="0"/>
        <w:numPr>
          <w:ilvl w:val="1"/>
          <w:numId w:val="4"/>
        </w:numPr>
        <w:tabs>
          <w:tab w:val="left" w:pos="709"/>
          <w:tab w:val="clear" w:pos="360"/>
        </w:tabs>
        <w:autoSpaceDE w:val="0"/>
        <w:autoSpaceDN w:val="0"/>
        <w:adjustRightInd w:val="0"/>
        <w:snapToGrid w:val="0"/>
        <w:spacing w:line="360" w:lineRule="auto"/>
        <w:ind w:left="709" w:hanging="709"/>
        <w:jc w:val="both"/>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rPr>
        <w:t>响应人应按</w:t>
      </w:r>
      <w:r>
        <w:rPr>
          <w:rFonts w:hint="eastAsia" w:ascii="仿宋_GB2312" w:hAnsi="仿宋_GB2312" w:eastAsia="仿宋_GB2312" w:cs="仿宋_GB2312"/>
          <w:b/>
          <w:sz w:val="24"/>
          <w:szCs w:val="24"/>
        </w:rPr>
        <w:t>磋商资料表</w:t>
      </w:r>
      <w:r>
        <w:rPr>
          <w:rFonts w:hint="eastAsia" w:ascii="仿宋_GB2312" w:hAnsi="仿宋_GB2312" w:eastAsia="仿宋_GB2312" w:cs="仿宋_GB2312"/>
          <w:sz w:val="24"/>
          <w:szCs w:val="24"/>
        </w:rPr>
        <w:t>中规定的金额、期限缴纳磋商保证金，</w:t>
      </w:r>
      <w:r>
        <w:rPr>
          <w:rFonts w:hint="eastAsia" w:ascii="仿宋_GB2312" w:hAnsi="仿宋_GB2312" w:eastAsia="仿宋_GB2312" w:cs="仿宋_GB2312"/>
          <w:sz w:val="24"/>
          <w:szCs w:val="24"/>
          <w:lang w:eastAsia="zh-TW"/>
        </w:rPr>
        <w:t>并作为其</w:t>
      </w:r>
      <w:r>
        <w:rPr>
          <w:rFonts w:hint="eastAsia" w:ascii="仿宋_GB2312" w:hAnsi="仿宋_GB2312" w:eastAsia="仿宋_GB2312" w:cs="仿宋_GB2312"/>
          <w:sz w:val="24"/>
          <w:szCs w:val="24"/>
        </w:rPr>
        <w:t>响应文件的组成</w:t>
      </w:r>
      <w:r>
        <w:rPr>
          <w:rFonts w:hint="eastAsia" w:ascii="仿宋_GB2312" w:hAnsi="仿宋_GB2312" w:eastAsia="仿宋_GB2312" w:cs="仿宋_GB2312"/>
          <w:sz w:val="24"/>
          <w:szCs w:val="24"/>
          <w:lang w:eastAsia="zh-TW"/>
        </w:rPr>
        <w:t>部分。</w:t>
      </w:r>
    </w:p>
    <w:p>
      <w:pPr>
        <w:widowControl w:val="0"/>
        <w:numPr>
          <w:ilvl w:val="1"/>
          <w:numId w:val="4"/>
        </w:numPr>
        <w:tabs>
          <w:tab w:val="left" w:pos="709"/>
          <w:tab w:val="clear" w:pos="360"/>
        </w:tabs>
        <w:autoSpaceDE w:val="0"/>
        <w:autoSpaceDN w:val="0"/>
        <w:adjustRightInd w:val="0"/>
        <w:snapToGrid w:val="0"/>
        <w:spacing w:line="360" w:lineRule="auto"/>
        <w:ind w:left="709" w:hanging="709"/>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如无质疑或投诉</w:t>
      </w:r>
      <w:r>
        <w:rPr>
          <w:rFonts w:hint="eastAsia" w:ascii="仿宋_GB2312" w:hAnsi="仿宋_GB2312" w:eastAsia="仿宋_GB2312" w:cs="仿宋_GB2312"/>
          <w:sz w:val="24"/>
          <w:szCs w:val="24"/>
          <w:lang w:eastAsia="zh-TW"/>
        </w:rPr>
        <w:t>，未成交的</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保证金，在成交通知书发出后五个工作日内不计利息原额退还；如有质疑或投诉，招标采购单位将在质疑和投诉处理完毕后不计利息原额退还</w:t>
      </w:r>
      <w:r>
        <w:rPr>
          <w:rFonts w:hint="eastAsia" w:ascii="仿宋_GB2312" w:hAnsi="仿宋_GB2312" w:eastAsia="仿宋_GB2312" w:cs="仿宋_GB2312"/>
          <w:sz w:val="24"/>
          <w:szCs w:val="24"/>
        </w:rPr>
        <w:t>，因供应商自身原因导致无法及时退还的除外</w:t>
      </w:r>
      <w:r>
        <w:rPr>
          <w:rFonts w:hint="eastAsia" w:ascii="仿宋_GB2312" w:hAnsi="仿宋_GB2312" w:eastAsia="仿宋_GB2312" w:cs="仿宋_GB2312"/>
          <w:sz w:val="24"/>
          <w:szCs w:val="24"/>
          <w:lang w:eastAsia="zh-TW"/>
        </w:rPr>
        <w:t>。</w:t>
      </w:r>
    </w:p>
    <w:p>
      <w:pPr>
        <w:widowControl w:val="0"/>
        <w:numPr>
          <w:ilvl w:val="1"/>
          <w:numId w:val="4"/>
        </w:numPr>
        <w:tabs>
          <w:tab w:val="left" w:pos="709"/>
          <w:tab w:val="clear" w:pos="360"/>
        </w:tabs>
        <w:autoSpaceDE w:val="0"/>
        <w:autoSpaceDN w:val="0"/>
        <w:adjustRightInd w:val="0"/>
        <w:snapToGrid w:val="0"/>
        <w:spacing w:line="360" w:lineRule="auto"/>
        <w:ind w:left="709" w:hanging="709"/>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成交人的磋商保证金，</w:t>
      </w:r>
      <w:r>
        <w:rPr>
          <w:rFonts w:hint="eastAsia" w:ascii="仿宋_GB2312" w:hAnsi="仿宋_GB2312" w:eastAsia="仿宋_GB2312" w:cs="仿宋_GB2312"/>
          <w:sz w:val="24"/>
          <w:szCs w:val="24"/>
          <w:lang w:eastAsia="zh-TW"/>
        </w:rPr>
        <w:t>在</w:t>
      </w:r>
      <w:r>
        <w:rPr>
          <w:rFonts w:hint="eastAsia" w:ascii="仿宋_GB2312" w:hAnsi="仿宋_GB2312" w:eastAsia="仿宋_GB2312" w:cs="仿宋_GB2312"/>
          <w:sz w:val="24"/>
          <w:szCs w:val="24"/>
        </w:rPr>
        <w:t>成交人</w:t>
      </w:r>
      <w:r>
        <w:rPr>
          <w:rFonts w:hint="eastAsia" w:ascii="仿宋_GB2312" w:hAnsi="仿宋_GB2312" w:eastAsia="仿宋_GB2312" w:cs="仿宋_GB2312"/>
          <w:sz w:val="24"/>
          <w:szCs w:val="24"/>
          <w:lang w:eastAsia="zh-TW"/>
        </w:rPr>
        <w:t>与采购人签订采购合同后五个工作日内不计利息原额退还</w:t>
      </w:r>
      <w:r>
        <w:rPr>
          <w:rFonts w:hint="eastAsia" w:ascii="仿宋_GB2312" w:hAnsi="仿宋_GB2312" w:eastAsia="仿宋_GB2312" w:cs="仿宋_GB2312"/>
          <w:sz w:val="24"/>
          <w:szCs w:val="24"/>
        </w:rPr>
        <w:t>，因供应商自身原因导致无法及时退还的除外</w:t>
      </w:r>
      <w:r>
        <w:rPr>
          <w:rFonts w:hint="eastAsia" w:ascii="仿宋_GB2312" w:hAnsi="仿宋_GB2312" w:eastAsia="仿宋_GB2312" w:cs="仿宋_GB2312"/>
          <w:sz w:val="24"/>
          <w:szCs w:val="24"/>
          <w:lang w:eastAsia="zh-TW"/>
        </w:rPr>
        <w:t>。</w:t>
      </w:r>
    </w:p>
    <w:p>
      <w:pPr>
        <w:widowControl w:val="0"/>
        <w:numPr>
          <w:ilvl w:val="1"/>
          <w:numId w:val="4"/>
        </w:numPr>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有下列情形之一的，磋商保证金不予退还：</w:t>
      </w:r>
    </w:p>
    <w:p>
      <w:pPr>
        <w:widowControl w:val="0"/>
        <w:numPr>
          <w:ilvl w:val="2"/>
          <w:numId w:val="4"/>
        </w:numPr>
        <w:tabs>
          <w:tab w:val="left" w:pos="851"/>
        </w:tabs>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供应商在提交响应文件截止时间后撤回响应文件的；</w:t>
      </w:r>
    </w:p>
    <w:p>
      <w:pPr>
        <w:widowControl w:val="0"/>
        <w:numPr>
          <w:ilvl w:val="2"/>
          <w:numId w:val="4"/>
        </w:numPr>
        <w:tabs>
          <w:tab w:val="left" w:pos="851"/>
        </w:tabs>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供应商在响应文件中提供虚假材料的；</w:t>
      </w:r>
    </w:p>
    <w:p>
      <w:pPr>
        <w:widowControl w:val="0"/>
        <w:numPr>
          <w:ilvl w:val="2"/>
          <w:numId w:val="4"/>
        </w:numPr>
        <w:tabs>
          <w:tab w:val="left" w:pos="851"/>
        </w:tabs>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除因不可抗力或竞争性磋商文件认可的情形以外，成交人不与采购人签订合同的；</w:t>
      </w:r>
    </w:p>
    <w:p>
      <w:pPr>
        <w:widowControl w:val="0"/>
        <w:numPr>
          <w:ilvl w:val="2"/>
          <w:numId w:val="4"/>
        </w:numPr>
        <w:tabs>
          <w:tab w:val="left" w:pos="851"/>
        </w:tabs>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供应商与采购人、其他供应商或者采购代理机构恶意串通的；</w:t>
      </w:r>
    </w:p>
    <w:p>
      <w:pPr>
        <w:widowControl w:val="0"/>
        <w:numPr>
          <w:ilvl w:val="2"/>
          <w:numId w:val="4"/>
        </w:numPr>
        <w:tabs>
          <w:tab w:val="left" w:pos="851"/>
        </w:tabs>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成交人未按本须知规定缴纳采购代理服务费；</w:t>
      </w:r>
    </w:p>
    <w:p>
      <w:pPr>
        <w:widowControl w:val="0"/>
        <w:numPr>
          <w:ilvl w:val="2"/>
          <w:numId w:val="4"/>
        </w:numPr>
        <w:tabs>
          <w:tab w:val="left" w:pos="851"/>
        </w:tabs>
        <w:autoSpaceDE w:val="0"/>
        <w:autoSpaceDN w:val="0"/>
        <w:adjustRightInd w:val="0"/>
        <w:snapToGrid w:val="0"/>
        <w:spacing w:line="360" w:lineRule="auto"/>
        <w:jc w:val="both"/>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rPr>
        <w:t>依法取消成交资格；</w:t>
      </w:r>
    </w:p>
    <w:p>
      <w:pPr>
        <w:widowControl w:val="0"/>
        <w:numPr>
          <w:ilvl w:val="2"/>
          <w:numId w:val="4"/>
        </w:numPr>
        <w:tabs>
          <w:tab w:val="left" w:pos="851"/>
        </w:tabs>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将成交项目转让给他人，或者在竞争性磋商文件中未说明，且未经采购人同意，违反竞争性磋商文件规定，将成交项目分包给他人的；</w:t>
      </w:r>
    </w:p>
    <w:p>
      <w:pPr>
        <w:widowControl w:val="0"/>
        <w:numPr>
          <w:ilvl w:val="2"/>
          <w:numId w:val="4"/>
        </w:numPr>
        <w:tabs>
          <w:tab w:val="left" w:pos="851"/>
        </w:tabs>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竞争性磋商文件规定的其他情形。</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89" w:name="_Toc410738953"/>
      <w:bookmarkStart w:id="90" w:name="_Toc416771340"/>
      <w:bookmarkStart w:id="91" w:name="_Toc416770230"/>
      <w:bookmarkStart w:id="92" w:name="_Toc410736153"/>
      <w:r>
        <w:rPr>
          <w:rFonts w:hint="eastAsia" w:ascii="仿宋_GB2312" w:hAnsi="仿宋_GB2312" w:eastAsia="仿宋_GB2312" w:cs="仿宋_GB2312"/>
          <w:b/>
          <w:bCs/>
          <w:sz w:val="24"/>
          <w:szCs w:val="24"/>
        </w:rPr>
        <w:t>磋商有效期</w:t>
      </w:r>
      <w:bookmarkEnd w:id="89"/>
      <w:bookmarkEnd w:id="90"/>
      <w:bookmarkEnd w:id="91"/>
      <w:bookmarkEnd w:id="92"/>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磋商应自</w:t>
      </w:r>
      <w:r>
        <w:rPr>
          <w:rFonts w:hint="eastAsia" w:ascii="仿宋_GB2312" w:hAnsi="仿宋_GB2312" w:eastAsia="仿宋_GB2312" w:cs="仿宋_GB2312"/>
          <w:b/>
          <w:sz w:val="24"/>
          <w:szCs w:val="24"/>
        </w:rPr>
        <w:t>磋商资料表</w:t>
      </w:r>
      <w:r>
        <w:rPr>
          <w:rFonts w:hint="eastAsia" w:ascii="仿宋_GB2312" w:hAnsi="仿宋_GB2312" w:eastAsia="仿宋_GB2312" w:cs="仿宋_GB2312"/>
          <w:sz w:val="24"/>
          <w:szCs w:val="24"/>
        </w:rPr>
        <w:t>中规定的响应文件递交截止时间起，</w:t>
      </w:r>
      <w:r>
        <w:rPr>
          <w:rFonts w:hint="eastAsia" w:ascii="仿宋_GB2312" w:hAnsi="仿宋_GB2312" w:eastAsia="仿宋_GB2312" w:cs="仿宋_GB2312"/>
          <w:sz w:val="24"/>
          <w:szCs w:val="24"/>
          <w:lang w:eastAsia="zh-TW"/>
        </w:rPr>
        <w:t>并在</w:t>
      </w:r>
      <w:r>
        <w:rPr>
          <w:rFonts w:hint="eastAsia" w:ascii="仿宋_GB2312" w:hAnsi="仿宋_GB2312" w:eastAsia="仿宋_GB2312" w:cs="仿宋_GB2312"/>
          <w:b/>
          <w:sz w:val="24"/>
          <w:szCs w:val="24"/>
          <w:lang w:eastAsia="zh-TW"/>
        </w:rPr>
        <w:t>磋商资料表</w:t>
      </w:r>
      <w:r>
        <w:rPr>
          <w:rFonts w:hint="eastAsia" w:ascii="仿宋_GB2312" w:hAnsi="仿宋_GB2312" w:eastAsia="仿宋_GB2312" w:cs="仿宋_GB2312"/>
          <w:sz w:val="24"/>
          <w:szCs w:val="24"/>
          <w:lang w:eastAsia="zh-TW"/>
        </w:rPr>
        <w:t>中所述期限内保持有效。磋商有效期不足的磋商将被视为非实质性响应</w:t>
      </w:r>
      <w:r>
        <w:rPr>
          <w:rFonts w:hint="eastAsia" w:ascii="仿宋_GB2312" w:hAnsi="仿宋_GB2312" w:eastAsia="仿宋_GB2312" w:cs="仿宋_GB2312"/>
          <w:sz w:val="24"/>
          <w:szCs w:val="24"/>
        </w:rPr>
        <w:t>，视为无效响应</w:t>
      </w:r>
      <w:r>
        <w:rPr>
          <w:rFonts w:hint="eastAsia" w:ascii="仿宋_GB2312" w:hAnsi="仿宋_GB2312" w:eastAsia="仿宋_GB2312" w:cs="仿宋_GB2312"/>
          <w:sz w:val="24"/>
          <w:szCs w:val="24"/>
          <w:lang w:eastAsia="zh-TW"/>
        </w:rPr>
        <w:t>。</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特殊情况下</w:t>
      </w:r>
      <w:r>
        <w:rPr>
          <w:rFonts w:hint="eastAsia" w:ascii="仿宋_GB2312" w:hAnsi="仿宋_GB2312" w:eastAsia="仿宋_GB2312" w:cs="仿宋_GB2312"/>
          <w:sz w:val="24"/>
          <w:szCs w:val="24"/>
        </w:rPr>
        <w:t>，在原磋商有效期截止之前，</w:t>
      </w:r>
      <w:r>
        <w:rPr>
          <w:rFonts w:hint="eastAsia" w:ascii="仿宋_GB2312" w:hAnsi="仿宋_GB2312" w:eastAsia="仿宋_GB2312" w:cs="仿宋_GB2312"/>
          <w:sz w:val="24"/>
          <w:szCs w:val="24"/>
          <w:lang w:eastAsia="zh-TW"/>
        </w:rPr>
        <w:t>采购代理机构可要求</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延长磋商有效期。这种要求与答复均应以书面形式提交。</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可拒绝采购代理机构的这种要求</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其</w:t>
      </w:r>
      <w:r>
        <w:rPr>
          <w:rFonts w:hint="eastAsia" w:ascii="仿宋_GB2312" w:hAnsi="仿宋_GB2312" w:eastAsia="仿宋_GB2312" w:cs="仿宋_GB2312"/>
          <w:sz w:val="24"/>
          <w:szCs w:val="24"/>
        </w:rPr>
        <w:t>磋商保证金</w:t>
      </w:r>
      <w:r>
        <w:rPr>
          <w:rFonts w:hint="eastAsia" w:ascii="仿宋_GB2312" w:hAnsi="仿宋_GB2312" w:eastAsia="仿宋_GB2312" w:cs="仿宋_GB2312"/>
          <w:sz w:val="24"/>
          <w:szCs w:val="24"/>
          <w:lang w:eastAsia="zh-TW"/>
        </w:rPr>
        <w:t>将</w:t>
      </w:r>
      <w:r>
        <w:rPr>
          <w:rFonts w:hint="eastAsia" w:ascii="仿宋_GB2312" w:hAnsi="仿宋_GB2312" w:eastAsia="仿宋_GB2312" w:cs="仿宋_GB2312"/>
          <w:sz w:val="24"/>
          <w:szCs w:val="24"/>
        </w:rPr>
        <w:t>予以退还，</w:t>
      </w:r>
      <w:r>
        <w:rPr>
          <w:rFonts w:hint="eastAsia" w:ascii="仿宋_GB2312" w:hAnsi="仿宋_GB2312" w:eastAsia="仿宋_GB2312" w:cs="仿宋_GB2312"/>
          <w:sz w:val="24"/>
          <w:szCs w:val="24"/>
          <w:lang w:eastAsia="zh-TW"/>
        </w:rPr>
        <w:t>但其磋商在原磋商有效期期满后将不再有效。同意延长磋商有效期的</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将不会被要求和允许修正其磋商</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而只会被要求相应地延长其</w:t>
      </w:r>
      <w:r>
        <w:rPr>
          <w:rFonts w:hint="eastAsia" w:ascii="仿宋_GB2312" w:hAnsi="仿宋_GB2312" w:eastAsia="仿宋_GB2312" w:cs="仿宋_GB2312"/>
          <w:sz w:val="24"/>
          <w:szCs w:val="24"/>
        </w:rPr>
        <w:t>磋商保证金</w:t>
      </w:r>
      <w:r>
        <w:rPr>
          <w:rFonts w:hint="eastAsia" w:ascii="仿宋_GB2312" w:hAnsi="仿宋_GB2312" w:eastAsia="仿宋_GB2312" w:cs="仿宋_GB2312"/>
          <w:sz w:val="24"/>
          <w:szCs w:val="24"/>
          <w:lang w:eastAsia="zh-TW"/>
        </w:rPr>
        <w:t>的有效期。在这种情况下</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本须知有关</w:t>
      </w:r>
      <w:r>
        <w:rPr>
          <w:rFonts w:hint="eastAsia" w:ascii="仿宋_GB2312" w:hAnsi="仿宋_GB2312" w:eastAsia="仿宋_GB2312" w:cs="仿宋_GB2312"/>
          <w:sz w:val="24"/>
          <w:szCs w:val="24"/>
        </w:rPr>
        <w:t>磋商保证金</w:t>
      </w:r>
      <w:r>
        <w:rPr>
          <w:rFonts w:hint="eastAsia" w:ascii="仿宋_GB2312" w:hAnsi="仿宋_GB2312" w:eastAsia="仿宋_GB2312" w:cs="仿宋_GB2312"/>
          <w:sz w:val="24"/>
          <w:szCs w:val="24"/>
          <w:lang w:eastAsia="zh-TW"/>
        </w:rPr>
        <w:t>的退还和</w:t>
      </w:r>
      <w:r>
        <w:rPr>
          <w:rFonts w:hint="eastAsia" w:ascii="仿宋_GB2312" w:hAnsi="仿宋_GB2312" w:eastAsia="仿宋_GB2312" w:cs="仿宋_GB2312"/>
          <w:sz w:val="24"/>
          <w:szCs w:val="24"/>
        </w:rPr>
        <w:t>不予退还</w:t>
      </w:r>
      <w:r>
        <w:rPr>
          <w:rFonts w:hint="eastAsia" w:ascii="仿宋_GB2312" w:hAnsi="仿宋_GB2312" w:eastAsia="仿宋_GB2312" w:cs="仿宋_GB2312"/>
          <w:sz w:val="24"/>
          <w:szCs w:val="24"/>
          <w:lang w:eastAsia="zh-TW"/>
        </w:rPr>
        <w:t>的规定将在延长了的有效期内继续有效。</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93" w:name="_Toc416770231"/>
      <w:bookmarkStart w:id="94" w:name="_Toc416771341"/>
      <w:bookmarkStart w:id="95" w:name="_Toc410738954"/>
      <w:bookmarkStart w:id="96" w:name="_Toc410736154"/>
      <w:r>
        <w:rPr>
          <w:rFonts w:hint="eastAsia" w:ascii="仿宋_GB2312" w:hAnsi="仿宋_GB2312" w:eastAsia="仿宋_GB2312" w:cs="仿宋_GB2312"/>
          <w:b/>
          <w:bCs/>
          <w:sz w:val="24"/>
          <w:szCs w:val="24"/>
        </w:rPr>
        <w:t>响应文件的式样和签署</w:t>
      </w:r>
      <w:bookmarkEnd w:id="93"/>
      <w:bookmarkEnd w:id="94"/>
      <w:bookmarkEnd w:id="95"/>
      <w:bookmarkEnd w:id="96"/>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应准备一份响应文件正本</w:t>
      </w:r>
      <w:r>
        <w:rPr>
          <w:rFonts w:hint="eastAsia" w:ascii="仿宋_GB2312" w:hAnsi="仿宋_GB2312" w:eastAsia="仿宋_GB2312" w:cs="仿宋_GB2312"/>
          <w:sz w:val="24"/>
          <w:szCs w:val="24"/>
        </w:rPr>
        <w:t>、电子文件</w:t>
      </w:r>
      <w:r>
        <w:rPr>
          <w:rFonts w:hint="eastAsia" w:ascii="仿宋_GB2312" w:hAnsi="仿宋_GB2312" w:eastAsia="仿宋_GB2312" w:cs="仿宋_GB2312"/>
          <w:sz w:val="24"/>
          <w:szCs w:val="24"/>
          <w:lang w:eastAsia="zh-TW"/>
        </w:rPr>
        <w:t>和</w:t>
      </w:r>
      <w:r>
        <w:rPr>
          <w:rFonts w:hint="eastAsia" w:ascii="仿宋_GB2312" w:hAnsi="仿宋_GB2312" w:eastAsia="仿宋_GB2312" w:cs="仿宋_GB2312"/>
          <w:b/>
          <w:sz w:val="24"/>
          <w:szCs w:val="24"/>
          <w:lang w:eastAsia="zh-TW"/>
        </w:rPr>
        <w:t>磋商资料表</w:t>
      </w:r>
      <w:r>
        <w:rPr>
          <w:rFonts w:hint="eastAsia" w:ascii="仿宋_GB2312" w:hAnsi="仿宋_GB2312" w:eastAsia="仿宋_GB2312" w:cs="仿宋_GB2312"/>
          <w:sz w:val="24"/>
          <w:szCs w:val="24"/>
          <w:lang w:eastAsia="zh-TW"/>
        </w:rPr>
        <w:t>中规定数目的副本</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响应文件的副本可采用正本的复印件。每套响应文件须清楚地标明“正本”或</w:t>
      </w:r>
      <w:r>
        <w:rPr>
          <w:rFonts w:hint="eastAsia" w:ascii="仿宋_GB2312" w:hAnsi="仿宋_GB2312" w:eastAsia="仿宋_GB2312" w:cs="仿宋_GB2312"/>
          <w:sz w:val="24"/>
          <w:szCs w:val="24"/>
        </w:rPr>
        <w:t>“副</w:t>
      </w:r>
      <w:r>
        <w:rPr>
          <w:rFonts w:hint="eastAsia" w:ascii="仿宋_GB2312" w:hAnsi="仿宋_GB2312" w:eastAsia="仿宋_GB2312" w:cs="仿宋_GB2312"/>
          <w:sz w:val="24"/>
          <w:szCs w:val="24"/>
          <w:lang w:eastAsia="zh-TW"/>
        </w:rPr>
        <w:t>本</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。若副本与正本不符</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以正本为准。</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响应文件</w:t>
      </w:r>
      <w:r>
        <w:rPr>
          <w:rFonts w:hint="eastAsia" w:ascii="仿宋_GB2312" w:hAnsi="仿宋_GB2312" w:eastAsia="仿宋_GB2312" w:cs="仿宋_GB2312"/>
          <w:sz w:val="24"/>
          <w:szCs w:val="24"/>
        </w:rPr>
        <w:t>的签署</w:t>
      </w:r>
    </w:p>
    <w:p>
      <w:pPr>
        <w:widowControl w:val="0"/>
        <w:numPr>
          <w:ilvl w:val="2"/>
          <w:numId w:val="4"/>
        </w:numPr>
        <w:tabs>
          <w:tab w:val="left" w:pos="851"/>
          <w:tab w:val="clear" w:pos="720"/>
        </w:tabs>
        <w:autoSpaceDE w:val="0"/>
        <w:autoSpaceDN w:val="0"/>
        <w:adjustRightInd w:val="0"/>
        <w:snapToGrid w:val="0"/>
        <w:spacing w:line="360" w:lineRule="auto"/>
        <w:ind w:left="851" w:hanging="851"/>
        <w:jc w:val="both"/>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响应文件的正本需打印或用不褪色墨水书写</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竞争性磋商文件</w:t>
      </w:r>
      <w:r>
        <w:rPr>
          <w:rFonts w:hint="eastAsia" w:ascii="仿宋_GB2312" w:hAnsi="仿宋_GB2312" w:eastAsia="仿宋_GB2312" w:cs="仿宋_GB2312"/>
          <w:sz w:val="24"/>
          <w:szCs w:val="24"/>
        </w:rPr>
        <w:t>要求签名的</w:t>
      </w:r>
      <w:r>
        <w:rPr>
          <w:rFonts w:hint="eastAsia" w:ascii="仿宋_GB2312" w:hAnsi="仿宋_GB2312" w:eastAsia="仿宋_GB2312" w:cs="仿宋_GB2312"/>
          <w:sz w:val="24"/>
          <w:szCs w:val="24"/>
          <w:lang w:eastAsia="zh-TW"/>
        </w:rPr>
        <w:t>由</w:t>
      </w:r>
      <w:r>
        <w:rPr>
          <w:rFonts w:hint="eastAsia" w:ascii="仿宋_GB2312" w:hAnsi="仿宋_GB2312" w:eastAsia="仿宋_GB2312" w:cs="仿宋_GB2312"/>
          <w:sz w:val="24"/>
          <w:szCs w:val="24"/>
        </w:rPr>
        <w:t>法定</w:t>
      </w:r>
      <w:r>
        <w:rPr>
          <w:rFonts w:hint="eastAsia" w:ascii="仿宋_GB2312" w:hAnsi="仿宋_GB2312" w:eastAsia="仿宋_GB2312" w:cs="仿宋_GB2312"/>
          <w:sz w:val="24"/>
          <w:szCs w:val="24"/>
          <w:lang w:eastAsia="zh-TW"/>
        </w:rPr>
        <w:t>代表人或经其正式授权的代表签</w:t>
      </w:r>
      <w:r>
        <w:rPr>
          <w:rFonts w:hint="eastAsia" w:ascii="仿宋_GB2312" w:hAnsi="仿宋_GB2312" w:eastAsia="仿宋_GB2312" w:cs="仿宋_GB2312"/>
          <w:sz w:val="24"/>
          <w:szCs w:val="24"/>
        </w:rPr>
        <w:t>名或盖章，副本可以复印，与正本具有同等法律效力</w:t>
      </w:r>
      <w:r>
        <w:rPr>
          <w:rFonts w:hint="eastAsia" w:ascii="仿宋_GB2312" w:hAnsi="仿宋_GB2312" w:eastAsia="仿宋_GB2312" w:cs="仿宋_GB2312"/>
          <w:sz w:val="24"/>
          <w:szCs w:val="24"/>
          <w:lang w:eastAsia="zh-TW"/>
        </w:rPr>
        <w:t>。授权代表须将以书面形式出具的《法定代表人授权</w:t>
      </w:r>
      <w:r>
        <w:rPr>
          <w:rFonts w:hint="eastAsia" w:ascii="仿宋_GB2312" w:hAnsi="仿宋_GB2312" w:eastAsia="仿宋_GB2312" w:cs="仿宋_GB2312"/>
          <w:sz w:val="24"/>
          <w:szCs w:val="24"/>
        </w:rPr>
        <w:t>委托</w:t>
      </w:r>
      <w:r>
        <w:rPr>
          <w:rFonts w:hint="eastAsia" w:ascii="仿宋_GB2312" w:hAnsi="仿宋_GB2312" w:eastAsia="仿宋_GB2312" w:cs="仿宋_GB2312"/>
          <w:sz w:val="24"/>
          <w:szCs w:val="24"/>
          <w:lang w:eastAsia="zh-TW"/>
        </w:rPr>
        <w:t>书》附在响应文件中。</w:t>
      </w:r>
    </w:p>
    <w:p>
      <w:pPr>
        <w:widowControl w:val="0"/>
        <w:numPr>
          <w:ilvl w:val="2"/>
          <w:numId w:val="4"/>
        </w:numPr>
        <w:tabs>
          <w:tab w:val="left" w:pos="851"/>
          <w:tab w:val="clear" w:pos="720"/>
        </w:tabs>
        <w:autoSpaceDE w:val="0"/>
        <w:autoSpaceDN w:val="0"/>
        <w:adjustRightInd w:val="0"/>
        <w:snapToGrid w:val="0"/>
        <w:spacing w:line="360" w:lineRule="auto"/>
        <w:ind w:left="851" w:hanging="851"/>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响应文件中的任何重要的插字、涂改和增删，必须由法定代表人或经其正式授权的代表在旁边签章或签字才有效。</w:t>
      </w:r>
    </w:p>
    <w:p>
      <w:pPr>
        <w:snapToGrid w:val="0"/>
        <w:spacing w:before="312" w:beforeLines="100" w:after="312" w:afterLines="100" w:line="360" w:lineRule="auto"/>
        <w:jc w:val="center"/>
        <w:outlineLvl w:val="0"/>
        <w:rPr>
          <w:rFonts w:hint="eastAsia" w:ascii="仿宋_GB2312" w:hAnsi="仿宋_GB2312" w:eastAsia="仿宋_GB2312" w:cs="仿宋_GB2312"/>
          <w:b/>
          <w:sz w:val="30"/>
          <w:szCs w:val="30"/>
          <w:lang w:eastAsia="zh-TW"/>
        </w:rPr>
      </w:pPr>
      <w:bookmarkStart w:id="97" w:name="_Toc416771342"/>
      <w:bookmarkStart w:id="98" w:name="_Toc416770232"/>
      <w:bookmarkStart w:id="99" w:name="_Toc410736155"/>
      <w:bookmarkStart w:id="100" w:name="_Toc410738955"/>
      <w:bookmarkStart w:id="101" w:name="_Toc17881"/>
      <w:r>
        <w:rPr>
          <w:rFonts w:hint="eastAsia" w:ascii="仿宋_GB2312" w:hAnsi="仿宋_GB2312" w:eastAsia="仿宋_GB2312" w:cs="仿宋_GB2312"/>
          <w:b/>
          <w:sz w:val="30"/>
          <w:szCs w:val="30"/>
          <w:lang w:eastAsia="zh-TW"/>
        </w:rPr>
        <w:t>四、响应文件的递交</w:t>
      </w:r>
      <w:bookmarkEnd w:id="97"/>
      <w:bookmarkEnd w:id="98"/>
      <w:bookmarkEnd w:id="99"/>
      <w:bookmarkEnd w:id="100"/>
      <w:bookmarkEnd w:id="101"/>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102" w:name="_Toc410738956"/>
      <w:bookmarkStart w:id="103" w:name="_Toc416771343"/>
      <w:bookmarkStart w:id="104" w:name="_Toc410736156"/>
      <w:bookmarkStart w:id="105" w:name="_Toc416770233"/>
      <w:r>
        <w:rPr>
          <w:rFonts w:hint="eastAsia" w:ascii="仿宋_GB2312" w:hAnsi="仿宋_GB2312" w:eastAsia="仿宋_GB2312" w:cs="仿宋_GB2312"/>
          <w:b/>
          <w:bCs/>
          <w:sz w:val="24"/>
          <w:szCs w:val="24"/>
        </w:rPr>
        <w:t>响应文件的密封和标记</w:t>
      </w:r>
      <w:bookmarkEnd w:id="102"/>
      <w:bookmarkEnd w:id="103"/>
      <w:bookmarkEnd w:id="104"/>
      <w:bookmarkEnd w:id="105"/>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响应人应单独提交一个密封信封，并在信封上标明“报价信封”的字样，</w:t>
      </w:r>
      <w:r>
        <w:rPr>
          <w:rFonts w:hint="eastAsia" w:ascii="仿宋_GB2312" w:hAnsi="仿宋_GB2312" w:eastAsia="仿宋_GB2312" w:cs="仿宋_GB2312"/>
          <w:b/>
          <w:sz w:val="24"/>
          <w:szCs w:val="24"/>
        </w:rPr>
        <w:t>内容包括报价表（首次）、磋商保证金缴纳凭证、电子文件和退磋商保证金说明，</w:t>
      </w:r>
      <w:r>
        <w:rPr>
          <w:rFonts w:hint="eastAsia" w:ascii="仿宋_GB2312" w:hAnsi="仿宋_GB2312" w:eastAsia="仿宋_GB2312" w:cs="仿宋_GB2312"/>
          <w:sz w:val="24"/>
          <w:szCs w:val="24"/>
        </w:rPr>
        <w:t>若本项目（或包组）接受联合体响应，则联合体响应，应将各方共同签署的《联合响应协议》和《响应联合体授权主体方协议书》一并提交。“报价信封”是响应文件的组成部分。</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响应文件</w:t>
      </w:r>
      <w:r>
        <w:rPr>
          <w:rFonts w:hint="eastAsia" w:ascii="仿宋_GB2312" w:hAnsi="仿宋_GB2312" w:eastAsia="仿宋_GB2312" w:cs="仿宋_GB2312"/>
          <w:sz w:val="24"/>
          <w:szCs w:val="24"/>
        </w:rPr>
        <w:t>封装：</w:t>
      </w:r>
    </w:p>
    <w:p>
      <w:pPr>
        <w:widowControl w:val="0"/>
        <w:numPr>
          <w:ilvl w:val="2"/>
          <w:numId w:val="4"/>
        </w:numPr>
        <w:tabs>
          <w:tab w:val="left" w:pos="851"/>
        </w:tabs>
        <w:autoSpaceDE w:val="0"/>
        <w:autoSpaceDN w:val="0"/>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清楚写明响应人名称和地址。</w:t>
      </w:r>
    </w:p>
    <w:p>
      <w:pPr>
        <w:widowControl w:val="0"/>
        <w:numPr>
          <w:ilvl w:val="2"/>
          <w:numId w:val="4"/>
        </w:numPr>
        <w:tabs>
          <w:tab w:val="left" w:pos="851"/>
          <w:tab w:val="clear" w:pos="720"/>
        </w:tabs>
        <w:autoSpaceDE w:val="0"/>
        <w:autoSpaceDN w:val="0"/>
        <w:adjustRightInd w:val="0"/>
        <w:snapToGrid w:val="0"/>
        <w:spacing w:line="360" w:lineRule="auto"/>
        <w:ind w:left="851" w:hanging="851"/>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注明磋商邀请中指明的项目名称</w:t>
      </w:r>
      <w:r>
        <w:rPr>
          <w:rFonts w:hint="eastAsia" w:ascii="仿宋_GB2312" w:hAnsi="仿宋_GB2312" w:eastAsia="仿宋_GB2312" w:cs="仿宋_GB2312"/>
          <w:sz w:val="24"/>
          <w:szCs w:val="24"/>
          <w:lang w:eastAsia="zh-TW"/>
        </w:rPr>
        <w:t>、</w:t>
      </w:r>
      <w:r>
        <w:rPr>
          <w:rFonts w:hint="eastAsia" w:ascii="仿宋_GB2312" w:hAnsi="仿宋_GB2312" w:eastAsia="仿宋_GB2312" w:cs="仿宋_GB2312"/>
          <w:sz w:val="24"/>
          <w:szCs w:val="24"/>
        </w:rPr>
        <w:t>项目</w:t>
      </w:r>
      <w:r>
        <w:rPr>
          <w:rFonts w:hint="eastAsia" w:ascii="仿宋_GB2312" w:hAnsi="仿宋_GB2312" w:eastAsia="仿宋_GB2312" w:cs="仿宋_GB2312"/>
          <w:sz w:val="24"/>
          <w:szCs w:val="24"/>
          <w:lang w:eastAsia="zh-TW"/>
        </w:rPr>
        <w:t>编号</w:t>
      </w:r>
      <w:r>
        <w:rPr>
          <w:rFonts w:hint="eastAsia" w:ascii="仿宋_GB2312" w:hAnsi="仿宋_GB2312" w:eastAsia="仿宋_GB2312" w:cs="仿宋_GB2312"/>
          <w:sz w:val="24"/>
          <w:szCs w:val="24"/>
        </w:rPr>
        <w:t>、包组号（如有）</w:t>
      </w:r>
      <w:r>
        <w:rPr>
          <w:rFonts w:hint="eastAsia" w:ascii="仿宋_GB2312" w:hAnsi="仿宋_GB2312" w:eastAsia="仿宋_GB2312" w:cs="仿宋_GB2312"/>
          <w:sz w:val="24"/>
          <w:szCs w:val="24"/>
          <w:lang w:eastAsia="zh-TW"/>
        </w:rPr>
        <w:t>和</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eastAsia="zh-TW"/>
        </w:rPr>
        <w:t>在</w:t>
      </w:r>
      <w:r>
        <w:rPr>
          <w:rFonts w:hint="eastAsia" w:ascii="仿宋_GB2312" w:hAnsi="仿宋_GB2312" w:eastAsia="仿宋_GB2312" w:cs="仿宋_GB2312"/>
          <w:sz w:val="24"/>
          <w:szCs w:val="24"/>
        </w:rPr>
        <w:t>(竞争性磋商文件中规定的响应文件递交截止日期和时间)之前不得启封”的</w:t>
      </w:r>
      <w:r>
        <w:rPr>
          <w:rFonts w:hint="eastAsia" w:ascii="仿宋_GB2312" w:hAnsi="仿宋_GB2312" w:eastAsia="仿宋_GB2312" w:cs="仿宋_GB2312"/>
          <w:sz w:val="24"/>
          <w:szCs w:val="24"/>
          <w:lang w:eastAsia="zh-TW"/>
        </w:rPr>
        <w:t>字样。</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如果未按本须知</w:t>
      </w:r>
      <w:r>
        <w:rPr>
          <w:rFonts w:hint="eastAsia" w:ascii="仿宋_GB2312" w:hAnsi="仿宋_GB2312" w:eastAsia="仿宋_GB2312" w:cs="仿宋_GB2312"/>
          <w:sz w:val="24"/>
          <w:szCs w:val="24"/>
        </w:rPr>
        <w:t>上款</w:t>
      </w:r>
      <w:r>
        <w:rPr>
          <w:rFonts w:hint="eastAsia" w:ascii="仿宋_GB2312" w:hAnsi="仿宋_GB2312" w:eastAsia="仿宋_GB2312" w:cs="仿宋_GB2312"/>
          <w:sz w:val="24"/>
          <w:szCs w:val="24"/>
          <w:lang w:eastAsia="zh-TW"/>
        </w:rPr>
        <w:t>要求加写标记和</w:t>
      </w:r>
      <w:r>
        <w:rPr>
          <w:rFonts w:hint="eastAsia" w:ascii="仿宋_GB2312" w:hAnsi="仿宋_GB2312" w:eastAsia="仿宋_GB2312" w:cs="仿宋_GB2312"/>
          <w:sz w:val="24"/>
          <w:szCs w:val="24"/>
        </w:rPr>
        <w:t>密封，</w:t>
      </w:r>
      <w:r>
        <w:rPr>
          <w:rFonts w:hint="eastAsia" w:ascii="仿宋_GB2312" w:hAnsi="仿宋_GB2312" w:eastAsia="仿宋_GB2312" w:cs="仿宋_GB2312"/>
          <w:sz w:val="24"/>
          <w:szCs w:val="24"/>
          <w:lang w:eastAsia="zh-TW"/>
        </w:rPr>
        <w:t>采购代理机构对误投或提前启封概不负责</w:t>
      </w:r>
      <w:r>
        <w:rPr>
          <w:rFonts w:hint="eastAsia" w:ascii="仿宋_GB2312" w:hAnsi="仿宋_GB2312" w:eastAsia="仿宋_GB2312" w:cs="仿宋_GB2312"/>
          <w:sz w:val="24"/>
          <w:szCs w:val="24"/>
        </w:rPr>
        <w:t>。</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106" w:name="_Toc410736157"/>
      <w:bookmarkStart w:id="107" w:name="_Toc410738957"/>
      <w:bookmarkStart w:id="108" w:name="_Toc416771344"/>
      <w:bookmarkStart w:id="109" w:name="_Toc416770234"/>
      <w:r>
        <w:rPr>
          <w:rFonts w:hint="eastAsia" w:ascii="仿宋_GB2312" w:hAnsi="仿宋_GB2312" w:eastAsia="仿宋_GB2312" w:cs="仿宋_GB2312"/>
          <w:b/>
          <w:bCs/>
          <w:sz w:val="24"/>
          <w:szCs w:val="24"/>
        </w:rPr>
        <w:t>响应文件递交截止期</w:t>
      </w:r>
      <w:bookmarkEnd w:id="106"/>
      <w:bookmarkEnd w:id="107"/>
      <w:bookmarkEnd w:id="108"/>
      <w:bookmarkEnd w:id="109"/>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应在</w:t>
      </w:r>
      <w:r>
        <w:rPr>
          <w:rFonts w:hint="eastAsia" w:ascii="仿宋_GB2312" w:hAnsi="仿宋_GB2312" w:eastAsia="仿宋_GB2312" w:cs="仿宋_GB2312"/>
          <w:b/>
          <w:sz w:val="24"/>
          <w:szCs w:val="24"/>
        </w:rPr>
        <w:t>磋商资料表</w:t>
      </w:r>
      <w:r>
        <w:rPr>
          <w:rFonts w:hint="eastAsia" w:ascii="仿宋_GB2312" w:hAnsi="仿宋_GB2312" w:eastAsia="仿宋_GB2312" w:cs="仿宋_GB2312"/>
          <w:sz w:val="24"/>
          <w:szCs w:val="24"/>
          <w:lang w:eastAsia="zh-TW"/>
        </w:rPr>
        <w:t>中规定的截止日期和时间</w:t>
      </w:r>
      <w:r>
        <w:rPr>
          <w:rFonts w:hint="eastAsia" w:ascii="仿宋_GB2312" w:hAnsi="仿宋_GB2312" w:eastAsia="仿宋_GB2312" w:cs="仿宋_GB2312"/>
          <w:sz w:val="24"/>
          <w:szCs w:val="24"/>
        </w:rPr>
        <w:t>前，</w:t>
      </w:r>
      <w:r>
        <w:rPr>
          <w:rFonts w:hint="eastAsia" w:ascii="仿宋_GB2312" w:hAnsi="仿宋_GB2312" w:eastAsia="仿宋_GB2312" w:cs="仿宋_GB2312"/>
          <w:sz w:val="24"/>
          <w:szCs w:val="24"/>
          <w:lang w:eastAsia="zh-TW"/>
        </w:rPr>
        <w:t>将响应文件递交至</w:t>
      </w:r>
      <w:r>
        <w:rPr>
          <w:rFonts w:hint="eastAsia" w:ascii="仿宋_GB2312" w:hAnsi="仿宋_GB2312" w:eastAsia="仿宋_GB2312" w:cs="仿宋_GB2312"/>
          <w:b/>
          <w:sz w:val="24"/>
          <w:szCs w:val="24"/>
          <w:lang w:eastAsia="zh-TW"/>
        </w:rPr>
        <w:t>磋商资料表</w:t>
      </w:r>
      <w:r>
        <w:rPr>
          <w:rFonts w:hint="eastAsia" w:ascii="仿宋_GB2312" w:hAnsi="仿宋_GB2312" w:eastAsia="仿宋_GB2312" w:cs="仿宋_GB2312"/>
          <w:sz w:val="24"/>
          <w:szCs w:val="24"/>
          <w:lang w:eastAsia="zh-TW"/>
        </w:rPr>
        <w:t>中指明的</w:t>
      </w:r>
      <w:r>
        <w:rPr>
          <w:rFonts w:hint="eastAsia" w:ascii="仿宋_GB2312" w:hAnsi="仿宋_GB2312" w:eastAsia="仿宋_GB2312" w:cs="仿宋_GB2312"/>
          <w:sz w:val="24"/>
          <w:szCs w:val="24"/>
        </w:rPr>
        <w:t>地点</w:t>
      </w:r>
      <w:r>
        <w:rPr>
          <w:rFonts w:hint="eastAsia" w:ascii="仿宋_GB2312" w:hAnsi="仿宋_GB2312" w:eastAsia="仿宋_GB2312" w:cs="仿宋_GB2312"/>
          <w:sz w:val="24"/>
          <w:szCs w:val="24"/>
          <w:lang w:eastAsia="zh-TW"/>
        </w:rPr>
        <w:t>。</w:t>
      </w:r>
      <w:r>
        <w:rPr>
          <w:rFonts w:hint="eastAsia" w:ascii="仿宋_GB2312" w:hAnsi="仿宋_GB2312" w:eastAsia="仿宋_GB2312" w:cs="仿宋_GB2312"/>
          <w:sz w:val="24"/>
          <w:szCs w:val="24"/>
        </w:rPr>
        <w:t>在截止时间后送达的响应文件为无效文件，招标采购单位或者磋商小组应当拒绝。</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110" w:name="_Toc410736158"/>
      <w:bookmarkStart w:id="111" w:name="_Toc416770235"/>
      <w:bookmarkStart w:id="112" w:name="_Toc410738958"/>
      <w:bookmarkStart w:id="113" w:name="_Toc416771345"/>
      <w:r>
        <w:rPr>
          <w:rFonts w:hint="eastAsia" w:ascii="仿宋_GB2312" w:hAnsi="仿宋_GB2312" w:eastAsia="仿宋_GB2312" w:cs="仿宋_GB2312"/>
          <w:b/>
          <w:bCs/>
          <w:sz w:val="24"/>
          <w:szCs w:val="24"/>
        </w:rPr>
        <w:t>响应文件的修改和撤回</w:t>
      </w:r>
      <w:bookmarkEnd w:id="110"/>
      <w:bookmarkEnd w:id="111"/>
      <w:bookmarkEnd w:id="112"/>
      <w:bookmarkEnd w:id="113"/>
      <w:r>
        <w:rPr>
          <w:rFonts w:hint="eastAsia" w:ascii="仿宋_GB2312" w:hAnsi="仿宋_GB2312" w:eastAsia="仿宋_GB2312" w:cs="仿宋_GB2312"/>
          <w:b/>
          <w:bCs/>
          <w:sz w:val="24"/>
          <w:szCs w:val="24"/>
        </w:rPr>
        <w:t>、撤销</w:t>
      </w:r>
    </w:p>
    <w:p>
      <w:pPr>
        <w:widowControl w:val="0"/>
        <w:numPr>
          <w:ilvl w:val="1"/>
          <w:numId w:val="4"/>
        </w:numPr>
        <w:tabs>
          <w:tab w:val="left" w:pos="709"/>
          <w:tab w:val="clear" w:pos="360"/>
        </w:tabs>
        <w:autoSpaceDE w:val="0"/>
        <w:autoSpaceDN w:val="0"/>
        <w:adjustRightInd w:val="0"/>
        <w:snapToGrid w:val="0"/>
        <w:spacing w:line="360" w:lineRule="auto"/>
        <w:ind w:left="709" w:hanging="709"/>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在响应文件</w:t>
      </w:r>
      <w:r>
        <w:rPr>
          <w:rFonts w:hint="eastAsia" w:ascii="仿宋_GB2312" w:hAnsi="仿宋_GB2312" w:eastAsia="仿宋_GB2312" w:cs="仿宋_GB2312"/>
          <w:sz w:val="24"/>
          <w:szCs w:val="24"/>
        </w:rPr>
        <w:t>递交</w:t>
      </w:r>
      <w:r>
        <w:rPr>
          <w:rFonts w:hint="eastAsia" w:ascii="仿宋_GB2312" w:hAnsi="仿宋_GB2312" w:eastAsia="仿宋_GB2312" w:cs="仿宋_GB2312"/>
          <w:sz w:val="24"/>
          <w:szCs w:val="24"/>
          <w:lang w:eastAsia="zh-TW"/>
        </w:rPr>
        <w:t>截止</w:t>
      </w:r>
      <w:r>
        <w:rPr>
          <w:rFonts w:hint="eastAsia" w:ascii="仿宋_GB2312" w:hAnsi="仿宋_GB2312" w:eastAsia="仿宋_GB2312" w:cs="仿宋_GB2312"/>
          <w:sz w:val="24"/>
          <w:szCs w:val="24"/>
        </w:rPr>
        <w:t>时间</w:t>
      </w:r>
      <w:r>
        <w:rPr>
          <w:rFonts w:hint="eastAsia" w:ascii="仿宋_GB2312" w:hAnsi="仿宋_GB2312" w:eastAsia="仿宋_GB2312" w:cs="仿宋_GB2312"/>
          <w:sz w:val="24"/>
          <w:szCs w:val="24"/>
          <w:lang w:eastAsia="zh-TW"/>
        </w:rPr>
        <w:t>前，可以对所递交的响应文件进行补充、修改或者撤回，并书面通知招标采购单位。补充、修改的内容应当按竞争性磋商文件要求签署、盖章，并作为响应文件的组成部分。</w:t>
      </w:r>
      <w:r>
        <w:rPr>
          <w:rFonts w:hint="eastAsia" w:ascii="仿宋_GB2312" w:hAnsi="仿宋_GB2312" w:eastAsia="仿宋_GB2312" w:cs="仿宋_GB2312"/>
          <w:sz w:val="24"/>
          <w:szCs w:val="24"/>
        </w:rPr>
        <w:t>补充、修改的内容和响应文件不一致的，以补充、修改的内容为准。</w:t>
      </w:r>
      <w:r>
        <w:rPr>
          <w:rFonts w:hint="eastAsia" w:ascii="仿宋_GB2312" w:hAnsi="仿宋_GB2312" w:eastAsia="仿宋_GB2312" w:cs="仿宋_GB2312"/>
          <w:sz w:val="24"/>
          <w:szCs w:val="24"/>
          <w:lang w:eastAsia="zh-TW"/>
        </w:rPr>
        <w:t>在响应文件</w:t>
      </w:r>
      <w:r>
        <w:rPr>
          <w:rFonts w:hint="eastAsia" w:ascii="仿宋_GB2312" w:hAnsi="仿宋_GB2312" w:eastAsia="仿宋_GB2312" w:cs="仿宋_GB2312"/>
          <w:sz w:val="24"/>
          <w:szCs w:val="24"/>
        </w:rPr>
        <w:t>递交</w:t>
      </w:r>
      <w:r>
        <w:rPr>
          <w:rFonts w:hint="eastAsia" w:ascii="仿宋_GB2312" w:hAnsi="仿宋_GB2312" w:eastAsia="仿宋_GB2312" w:cs="仿宋_GB2312"/>
          <w:sz w:val="24"/>
          <w:szCs w:val="24"/>
          <w:lang w:eastAsia="zh-TW"/>
        </w:rPr>
        <w:t>截止期时点之后，</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不得对其响应文件做任何修改和补充。</w:t>
      </w:r>
    </w:p>
    <w:p>
      <w:pPr>
        <w:widowControl w:val="0"/>
        <w:numPr>
          <w:ilvl w:val="1"/>
          <w:numId w:val="4"/>
        </w:numPr>
        <w:tabs>
          <w:tab w:val="left" w:pos="709"/>
          <w:tab w:val="clear" w:pos="360"/>
        </w:tabs>
        <w:autoSpaceDE w:val="0"/>
        <w:autoSpaceDN w:val="0"/>
        <w:adjustRightInd w:val="0"/>
        <w:snapToGrid w:val="0"/>
        <w:spacing w:line="360" w:lineRule="auto"/>
        <w:ind w:left="709" w:hanging="709"/>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除响应人提交最后报价之前根据磋商情况退出磋商的情形外，响应人在递交响应文件截止时间后或在竞争性磋商文件中规定的磋商有效期内不可撤销其投标。否则，不予退还其磋商保证金。</w:t>
      </w:r>
    </w:p>
    <w:p>
      <w:pPr>
        <w:snapToGrid w:val="0"/>
        <w:spacing w:before="312" w:beforeLines="100" w:after="312" w:afterLines="100" w:line="360" w:lineRule="auto"/>
        <w:jc w:val="center"/>
        <w:outlineLvl w:val="0"/>
        <w:rPr>
          <w:rFonts w:hint="eastAsia" w:ascii="仿宋_GB2312" w:hAnsi="仿宋_GB2312" w:eastAsia="仿宋_GB2312" w:cs="仿宋_GB2312"/>
          <w:b/>
          <w:sz w:val="24"/>
          <w:szCs w:val="24"/>
          <w:lang w:eastAsia="zh-TW"/>
        </w:rPr>
      </w:pPr>
      <w:bookmarkStart w:id="114" w:name="_Toc410736159"/>
      <w:bookmarkStart w:id="115" w:name="_Toc416771346"/>
      <w:bookmarkStart w:id="116" w:name="_Toc17192"/>
      <w:bookmarkStart w:id="117" w:name="_Toc410738959"/>
      <w:bookmarkStart w:id="118" w:name="_Toc416770236"/>
      <w:r>
        <w:rPr>
          <w:rFonts w:hint="eastAsia" w:ascii="仿宋_GB2312" w:hAnsi="仿宋_GB2312" w:eastAsia="仿宋_GB2312" w:cs="仿宋_GB2312"/>
          <w:b/>
          <w:sz w:val="24"/>
          <w:szCs w:val="24"/>
          <w:lang w:eastAsia="zh-TW"/>
        </w:rPr>
        <w:t>五、竞争性磋商流程</w:t>
      </w:r>
      <w:bookmarkEnd w:id="114"/>
      <w:bookmarkEnd w:id="115"/>
      <w:bookmarkEnd w:id="116"/>
      <w:bookmarkEnd w:id="117"/>
      <w:bookmarkEnd w:id="118"/>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119" w:name="_Toc416770237"/>
      <w:bookmarkStart w:id="120" w:name="_Toc416771347"/>
      <w:bookmarkStart w:id="121" w:name="_Toc410738960"/>
      <w:bookmarkStart w:id="122" w:name="_Toc410736160"/>
      <w:r>
        <w:rPr>
          <w:rFonts w:hint="eastAsia" w:ascii="仿宋_GB2312" w:hAnsi="仿宋_GB2312" w:eastAsia="仿宋_GB2312" w:cs="仿宋_GB2312"/>
          <w:b/>
          <w:bCs/>
          <w:sz w:val="24"/>
          <w:szCs w:val="24"/>
        </w:rPr>
        <w:t>响应文件的拆封</w:t>
      </w:r>
      <w:bookmarkEnd w:id="119"/>
      <w:bookmarkEnd w:id="120"/>
      <w:bookmarkEnd w:id="121"/>
      <w:bookmarkEnd w:id="122"/>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采购代理机构在</w:t>
      </w:r>
      <w:r>
        <w:rPr>
          <w:rFonts w:hint="eastAsia" w:ascii="仿宋_GB2312" w:hAnsi="仿宋_GB2312" w:eastAsia="仿宋_GB2312" w:cs="仿宋_GB2312"/>
          <w:b/>
          <w:sz w:val="24"/>
          <w:szCs w:val="24"/>
          <w:lang w:eastAsia="zh-TW"/>
        </w:rPr>
        <w:t>磋商邀请</w:t>
      </w:r>
      <w:r>
        <w:rPr>
          <w:rFonts w:hint="eastAsia" w:ascii="仿宋_GB2312" w:hAnsi="仿宋_GB2312" w:eastAsia="仿宋_GB2312" w:cs="仿宋_GB2312"/>
          <w:sz w:val="24"/>
          <w:szCs w:val="24"/>
          <w:lang w:eastAsia="zh-TW"/>
        </w:rPr>
        <w:t>中规定的日期、时</w:t>
      </w:r>
      <w:r>
        <w:rPr>
          <w:rFonts w:hint="eastAsia" w:ascii="仿宋_GB2312" w:hAnsi="仿宋_GB2312" w:eastAsia="仿宋_GB2312" w:cs="仿宋_GB2312"/>
          <w:sz w:val="24"/>
          <w:szCs w:val="24"/>
        </w:rPr>
        <w:t>间</w:t>
      </w:r>
      <w:r>
        <w:rPr>
          <w:rFonts w:hint="eastAsia" w:ascii="仿宋_GB2312" w:hAnsi="仿宋_GB2312" w:eastAsia="仿宋_GB2312" w:cs="仿宋_GB2312"/>
          <w:sz w:val="24"/>
          <w:szCs w:val="24"/>
          <w:lang w:eastAsia="zh-TW"/>
        </w:rPr>
        <w:t>和地点组织</w:t>
      </w:r>
      <w:r>
        <w:rPr>
          <w:rFonts w:hint="eastAsia" w:ascii="仿宋_GB2312" w:hAnsi="仿宋_GB2312" w:eastAsia="仿宋_GB2312" w:cs="仿宋_GB2312"/>
          <w:sz w:val="24"/>
          <w:szCs w:val="24"/>
        </w:rPr>
        <w:t>磋商</w:t>
      </w:r>
      <w:r>
        <w:rPr>
          <w:rFonts w:hint="eastAsia" w:ascii="仿宋_GB2312" w:hAnsi="仿宋_GB2312" w:eastAsia="仿宋_GB2312" w:cs="仿宋_GB2312"/>
          <w:sz w:val="24"/>
          <w:szCs w:val="24"/>
          <w:lang w:eastAsia="zh-TW"/>
        </w:rPr>
        <w:t>。</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响应文件拆封在竞争性磋商文件规定的</w:t>
      </w:r>
      <w:r>
        <w:rPr>
          <w:rFonts w:hint="eastAsia" w:ascii="仿宋_GB2312" w:hAnsi="仿宋_GB2312" w:eastAsia="仿宋_GB2312" w:cs="仿宋_GB2312"/>
          <w:sz w:val="24"/>
          <w:szCs w:val="24"/>
        </w:rPr>
        <w:t>开标</w:t>
      </w:r>
      <w:r>
        <w:rPr>
          <w:rFonts w:hint="eastAsia" w:ascii="仿宋_GB2312" w:hAnsi="仿宋_GB2312" w:eastAsia="仿宋_GB2312" w:cs="仿宋_GB2312"/>
          <w:sz w:val="24"/>
          <w:szCs w:val="24"/>
          <w:lang w:eastAsia="zh-TW"/>
        </w:rPr>
        <w:t>时间进行，拆封地点为竞争性磋商文件中预先确定的</w:t>
      </w:r>
      <w:r>
        <w:rPr>
          <w:rFonts w:hint="eastAsia" w:ascii="仿宋_GB2312" w:hAnsi="仿宋_GB2312" w:eastAsia="仿宋_GB2312" w:cs="仿宋_GB2312"/>
          <w:sz w:val="24"/>
          <w:szCs w:val="24"/>
        </w:rPr>
        <w:t>开标</w:t>
      </w:r>
      <w:r>
        <w:rPr>
          <w:rFonts w:hint="eastAsia" w:ascii="仿宋_GB2312" w:hAnsi="仿宋_GB2312" w:eastAsia="仿宋_GB2312" w:cs="仿宋_GB2312"/>
          <w:sz w:val="24"/>
          <w:szCs w:val="24"/>
          <w:lang w:eastAsia="zh-TW"/>
        </w:rPr>
        <w:t>地点。</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b/>
          <w:sz w:val="24"/>
          <w:szCs w:val="24"/>
        </w:rPr>
      </w:pPr>
      <w:r>
        <w:rPr>
          <w:rFonts w:hint="eastAsia" w:ascii="仿宋_GB2312" w:hAnsi="仿宋_GB2312" w:eastAsia="仿宋_GB2312" w:cs="仿宋_GB2312"/>
          <w:sz w:val="24"/>
          <w:szCs w:val="24"/>
        </w:rPr>
        <w:t>响应文件递交</w:t>
      </w:r>
      <w:r>
        <w:rPr>
          <w:rFonts w:hint="eastAsia" w:ascii="仿宋_GB2312" w:hAnsi="仿宋_GB2312" w:eastAsia="仿宋_GB2312" w:cs="仿宋_GB2312"/>
          <w:sz w:val="24"/>
          <w:szCs w:val="24"/>
          <w:lang w:eastAsia="zh-TW"/>
        </w:rPr>
        <w:t>截止时间后，由全体</w:t>
      </w:r>
      <w:r>
        <w:rPr>
          <w:rFonts w:hint="eastAsia" w:ascii="仿宋_GB2312" w:hAnsi="仿宋_GB2312" w:eastAsia="仿宋_GB2312" w:cs="仿宋_GB2312"/>
          <w:sz w:val="24"/>
          <w:szCs w:val="24"/>
        </w:rPr>
        <w:t>响应人推选的代表就所有</w:t>
      </w:r>
      <w:r>
        <w:rPr>
          <w:rFonts w:hint="eastAsia" w:ascii="仿宋_GB2312" w:hAnsi="仿宋_GB2312" w:eastAsia="仿宋_GB2312" w:cs="仿宋_GB2312"/>
          <w:sz w:val="24"/>
          <w:szCs w:val="24"/>
          <w:lang w:eastAsia="zh-TW"/>
        </w:rPr>
        <w:t>响应文件的密封情况进行检查。</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123" w:name="_Toc410736161"/>
      <w:bookmarkStart w:id="124" w:name="_Toc410738961"/>
      <w:bookmarkStart w:id="125" w:name="_Toc416770238"/>
      <w:bookmarkStart w:id="126" w:name="_Toc416771348"/>
      <w:r>
        <w:rPr>
          <w:rFonts w:hint="eastAsia" w:ascii="仿宋_GB2312" w:hAnsi="仿宋_GB2312" w:eastAsia="仿宋_GB2312" w:cs="仿宋_GB2312"/>
          <w:b/>
          <w:bCs/>
          <w:sz w:val="24"/>
          <w:szCs w:val="24"/>
        </w:rPr>
        <w:t>磋商小组</w:t>
      </w:r>
      <w:bookmarkEnd w:id="123"/>
      <w:bookmarkEnd w:id="124"/>
      <w:bookmarkEnd w:id="125"/>
      <w:bookmarkEnd w:id="126"/>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磋商</w:t>
      </w:r>
      <w:r>
        <w:rPr>
          <w:rFonts w:hint="eastAsia" w:ascii="仿宋_GB2312" w:hAnsi="仿宋_GB2312" w:eastAsia="仿宋_GB2312" w:cs="仿宋_GB2312"/>
          <w:sz w:val="24"/>
          <w:szCs w:val="24"/>
          <w:lang w:eastAsia="zh-TW"/>
        </w:rPr>
        <w:t>由依照政府采购法律、法规、规章、政策的规定，组建的</w:t>
      </w:r>
      <w:r>
        <w:rPr>
          <w:rFonts w:hint="eastAsia" w:ascii="仿宋_GB2312" w:hAnsi="仿宋_GB2312" w:eastAsia="仿宋_GB2312" w:cs="仿宋_GB2312"/>
          <w:sz w:val="24"/>
          <w:szCs w:val="24"/>
        </w:rPr>
        <w:t>磋商小组</w:t>
      </w:r>
      <w:r>
        <w:rPr>
          <w:rFonts w:hint="eastAsia" w:ascii="仿宋_GB2312" w:hAnsi="仿宋_GB2312" w:eastAsia="仿宋_GB2312" w:cs="仿宋_GB2312"/>
          <w:sz w:val="24"/>
          <w:szCs w:val="24"/>
          <w:lang w:eastAsia="zh-TW"/>
        </w:rPr>
        <w:t>负责。</w:t>
      </w:r>
      <w:r>
        <w:rPr>
          <w:rFonts w:hint="eastAsia" w:ascii="仿宋_GB2312" w:hAnsi="仿宋_GB2312" w:eastAsia="仿宋_GB2312" w:cs="仿宋_GB2312"/>
          <w:sz w:val="24"/>
          <w:szCs w:val="24"/>
        </w:rPr>
        <w:t>磋商小组按政府采购规定由采购人</w:t>
      </w:r>
      <w:r>
        <w:rPr>
          <w:rFonts w:hint="eastAsia" w:ascii="仿宋_GB2312" w:hAnsi="仿宋_GB2312" w:eastAsia="仿宋_GB2312" w:cs="仿宋_GB2312"/>
          <w:sz w:val="24"/>
          <w:szCs w:val="24"/>
          <w:lang w:eastAsia="zh-TW"/>
        </w:rPr>
        <w:t>代表和</w:t>
      </w:r>
      <w:r>
        <w:rPr>
          <w:rFonts w:hint="eastAsia" w:ascii="仿宋_GB2312" w:hAnsi="仿宋_GB2312" w:eastAsia="仿宋_GB2312" w:cs="仿宋_GB2312"/>
          <w:sz w:val="24"/>
          <w:szCs w:val="24"/>
        </w:rPr>
        <w:t>相关专业</w:t>
      </w:r>
      <w:r>
        <w:rPr>
          <w:rFonts w:hint="eastAsia" w:ascii="仿宋_GB2312" w:hAnsi="仿宋_GB2312" w:eastAsia="仿宋_GB2312" w:cs="仿宋_GB2312"/>
          <w:sz w:val="24"/>
          <w:szCs w:val="24"/>
          <w:lang w:eastAsia="zh-TW"/>
        </w:rPr>
        <w:t>的专家组成，采购人代表人数、专家人数构成将按照</w:t>
      </w:r>
      <w:r>
        <w:rPr>
          <w:rFonts w:hint="eastAsia" w:ascii="仿宋_GB2312" w:hAnsi="仿宋_GB2312" w:eastAsia="仿宋_GB2312" w:cs="仿宋_GB2312"/>
          <w:b/>
          <w:sz w:val="24"/>
          <w:szCs w:val="24"/>
          <w:lang w:eastAsia="zh-TW"/>
        </w:rPr>
        <w:t>磋商资料表</w:t>
      </w:r>
      <w:r>
        <w:rPr>
          <w:rFonts w:hint="eastAsia" w:ascii="仿宋_GB2312" w:hAnsi="仿宋_GB2312" w:eastAsia="仿宋_GB2312" w:cs="仿宋_GB2312"/>
          <w:sz w:val="24"/>
          <w:szCs w:val="24"/>
          <w:lang w:eastAsia="zh-TW"/>
        </w:rPr>
        <w:t>中确定。</w:t>
      </w:r>
      <w:r>
        <w:rPr>
          <w:rFonts w:hint="eastAsia" w:ascii="仿宋_GB2312" w:hAnsi="仿宋_GB2312" w:eastAsia="仿宋_GB2312" w:cs="仿宋_GB2312"/>
          <w:sz w:val="24"/>
          <w:szCs w:val="24"/>
        </w:rPr>
        <w:t>磋商小组</w:t>
      </w:r>
      <w:r>
        <w:rPr>
          <w:rFonts w:hint="eastAsia" w:ascii="仿宋_GB2312" w:hAnsi="仿宋_GB2312" w:eastAsia="仿宋_GB2312" w:cs="仿宋_GB2312"/>
          <w:sz w:val="24"/>
          <w:szCs w:val="24"/>
          <w:lang w:eastAsia="zh-TW"/>
        </w:rPr>
        <w:t>成员依法从政府采购</w:t>
      </w:r>
      <w:r>
        <w:rPr>
          <w:rFonts w:hint="eastAsia" w:ascii="仿宋_GB2312" w:hAnsi="仿宋_GB2312" w:eastAsia="仿宋_GB2312" w:cs="仿宋_GB2312"/>
          <w:sz w:val="24"/>
          <w:szCs w:val="24"/>
        </w:rPr>
        <w:t>评审</w:t>
      </w:r>
      <w:r>
        <w:rPr>
          <w:rFonts w:hint="eastAsia" w:ascii="仿宋_GB2312" w:hAnsi="仿宋_GB2312" w:eastAsia="仿宋_GB2312" w:cs="仿宋_GB2312"/>
          <w:sz w:val="24"/>
          <w:szCs w:val="24"/>
          <w:lang w:eastAsia="zh-TW"/>
        </w:rPr>
        <w:t>专家库中随机抽取。</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rPr>
        <w:t>磋商小组名单在磋商结果确定前严格保密</w:t>
      </w:r>
      <w:r>
        <w:rPr>
          <w:rFonts w:hint="eastAsia" w:ascii="仿宋_GB2312" w:hAnsi="仿宋_GB2312" w:eastAsia="仿宋_GB2312" w:cs="仿宋_GB2312"/>
          <w:sz w:val="24"/>
          <w:szCs w:val="24"/>
          <w:lang w:eastAsia="zh-TW"/>
        </w:rPr>
        <w:t>。</w:t>
      </w:r>
      <w:r>
        <w:rPr>
          <w:rFonts w:hint="eastAsia" w:ascii="仿宋_GB2312" w:hAnsi="仿宋_GB2312" w:eastAsia="仿宋_GB2312" w:cs="仿宋_GB2312"/>
          <w:sz w:val="24"/>
          <w:szCs w:val="24"/>
        </w:rPr>
        <w:t>评审</w:t>
      </w:r>
      <w:r>
        <w:rPr>
          <w:rFonts w:hint="eastAsia" w:ascii="仿宋_GB2312" w:hAnsi="仿宋_GB2312" w:eastAsia="仿宋_GB2312" w:cs="仿宋_GB2312"/>
          <w:sz w:val="24"/>
          <w:szCs w:val="24"/>
          <w:lang w:eastAsia="zh-TW"/>
        </w:rPr>
        <w:t>专家有下列情形之一的，受到邀请应主动提出回避，采购当事人也可以要求该</w:t>
      </w:r>
      <w:r>
        <w:rPr>
          <w:rFonts w:hint="eastAsia" w:ascii="仿宋_GB2312" w:hAnsi="仿宋_GB2312" w:eastAsia="仿宋_GB2312" w:cs="仿宋_GB2312"/>
          <w:sz w:val="24"/>
          <w:szCs w:val="24"/>
        </w:rPr>
        <w:t>评审</w:t>
      </w:r>
      <w:r>
        <w:rPr>
          <w:rFonts w:hint="eastAsia" w:ascii="仿宋_GB2312" w:hAnsi="仿宋_GB2312" w:eastAsia="仿宋_GB2312" w:cs="仿宋_GB2312"/>
          <w:sz w:val="24"/>
          <w:szCs w:val="24"/>
          <w:lang w:eastAsia="zh-TW"/>
        </w:rPr>
        <w:t>专家回避：</w:t>
      </w:r>
    </w:p>
    <w:p>
      <w:pPr>
        <w:widowControl w:val="0"/>
        <w:numPr>
          <w:ilvl w:val="2"/>
          <w:numId w:val="4"/>
        </w:numPr>
        <w:tabs>
          <w:tab w:val="left" w:pos="851"/>
        </w:tabs>
        <w:autoSpaceDE w:val="0"/>
        <w:autoSpaceDN w:val="0"/>
        <w:adjustRightInd w:val="0"/>
        <w:snapToGrid w:val="0"/>
        <w:spacing w:line="360" w:lineRule="auto"/>
        <w:jc w:val="both"/>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磋商小组中，同一任职单位评审专家超过二名的；</w:t>
      </w:r>
    </w:p>
    <w:p>
      <w:pPr>
        <w:widowControl w:val="0"/>
        <w:numPr>
          <w:ilvl w:val="2"/>
          <w:numId w:val="4"/>
        </w:numPr>
        <w:tabs>
          <w:tab w:val="left" w:pos="851"/>
        </w:tabs>
        <w:autoSpaceDE w:val="0"/>
        <w:autoSpaceDN w:val="0"/>
        <w:adjustRightInd w:val="0"/>
        <w:snapToGrid w:val="0"/>
        <w:spacing w:line="360" w:lineRule="auto"/>
        <w:jc w:val="both"/>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参与</w:t>
      </w:r>
      <w:r>
        <w:rPr>
          <w:rFonts w:hint="eastAsia" w:ascii="仿宋_GB2312" w:hAnsi="仿宋_GB2312" w:eastAsia="仿宋_GB2312" w:cs="仿宋_GB2312"/>
          <w:sz w:val="24"/>
          <w:szCs w:val="24"/>
        </w:rPr>
        <w:t>竞争性磋商文件</w:t>
      </w:r>
      <w:r>
        <w:rPr>
          <w:rFonts w:hint="eastAsia" w:ascii="仿宋_GB2312" w:hAnsi="仿宋_GB2312" w:eastAsia="仿宋_GB2312" w:cs="仿宋_GB2312"/>
          <w:sz w:val="24"/>
          <w:szCs w:val="24"/>
          <w:lang w:eastAsia="zh-TW"/>
        </w:rPr>
        <w:t>论证的；</w:t>
      </w:r>
    </w:p>
    <w:p>
      <w:pPr>
        <w:widowControl w:val="0"/>
        <w:numPr>
          <w:ilvl w:val="2"/>
          <w:numId w:val="4"/>
        </w:numPr>
        <w:tabs>
          <w:tab w:val="left" w:pos="851"/>
        </w:tabs>
        <w:autoSpaceDE w:val="0"/>
        <w:autoSpaceDN w:val="0"/>
        <w:adjustRightInd w:val="0"/>
        <w:snapToGrid w:val="0"/>
        <w:spacing w:line="360" w:lineRule="auto"/>
        <w:jc w:val="both"/>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参加采购活动前3年内与供应商存在劳动关系；</w:t>
      </w:r>
    </w:p>
    <w:p>
      <w:pPr>
        <w:widowControl w:val="0"/>
        <w:numPr>
          <w:ilvl w:val="2"/>
          <w:numId w:val="4"/>
        </w:numPr>
        <w:tabs>
          <w:tab w:val="left" w:pos="851"/>
        </w:tabs>
        <w:autoSpaceDE w:val="0"/>
        <w:autoSpaceDN w:val="0"/>
        <w:adjustRightInd w:val="0"/>
        <w:snapToGrid w:val="0"/>
        <w:spacing w:line="360" w:lineRule="auto"/>
        <w:jc w:val="both"/>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参加采购活动前3年内担任供应商的董事、监事；</w:t>
      </w:r>
    </w:p>
    <w:p>
      <w:pPr>
        <w:widowControl w:val="0"/>
        <w:numPr>
          <w:ilvl w:val="2"/>
          <w:numId w:val="4"/>
        </w:numPr>
        <w:tabs>
          <w:tab w:val="left" w:pos="851"/>
        </w:tabs>
        <w:autoSpaceDE w:val="0"/>
        <w:autoSpaceDN w:val="0"/>
        <w:adjustRightInd w:val="0"/>
        <w:snapToGrid w:val="0"/>
        <w:spacing w:line="360" w:lineRule="auto"/>
        <w:jc w:val="both"/>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参加采购活动前3年内是供应商的控股股东或者实际控制人；</w:t>
      </w:r>
    </w:p>
    <w:p>
      <w:pPr>
        <w:widowControl w:val="0"/>
        <w:numPr>
          <w:ilvl w:val="2"/>
          <w:numId w:val="4"/>
        </w:numPr>
        <w:tabs>
          <w:tab w:val="left" w:pos="851"/>
        </w:tabs>
        <w:autoSpaceDE w:val="0"/>
        <w:autoSpaceDN w:val="0"/>
        <w:adjustRightInd w:val="0"/>
        <w:snapToGrid w:val="0"/>
        <w:spacing w:line="360" w:lineRule="auto"/>
        <w:jc w:val="both"/>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与供应商的法定代表人或者负责人有夫妻、直系血亲、三代以内旁系血亲或者近姻亲关系；</w:t>
      </w:r>
    </w:p>
    <w:p>
      <w:pPr>
        <w:widowControl w:val="0"/>
        <w:numPr>
          <w:ilvl w:val="2"/>
          <w:numId w:val="4"/>
        </w:numPr>
        <w:tabs>
          <w:tab w:val="left" w:pos="851"/>
        </w:tabs>
        <w:autoSpaceDE w:val="0"/>
        <w:autoSpaceDN w:val="0"/>
        <w:adjustRightInd w:val="0"/>
        <w:snapToGrid w:val="0"/>
        <w:spacing w:line="360" w:lineRule="auto"/>
        <w:jc w:val="both"/>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与供应商有其他可能影响政府采购活动公平、公正进行的关系。</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127" w:name="_Toc416770239"/>
      <w:bookmarkStart w:id="128" w:name="_Toc416771349"/>
      <w:r>
        <w:rPr>
          <w:rFonts w:hint="eastAsia" w:ascii="仿宋_GB2312" w:hAnsi="仿宋_GB2312" w:eastAsia="仿宋_GB2312" w:cs="仿宋_GB2312"/>
          <w:b/>
          <w:bCs/>
          <w:sz w:val="24"/>
          <w:szCs w:val="24"/>
        </w:rPr>
        <w:t>磋商过程</w:t>
      </w:r>
      <w:bookmarkEnd w:id="127"/>
      <w:bookmarkEnd w:id="128"/>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磋商小组应当对响应文件的有效性、完整性和响应程度进行评审。磋商小组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供应商的澄清、说明或者更正应当由法定代表人或其授权代表签字或者加盖公章。</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资格、符合性评审详见竞争性磋商文件第二章的《资格和符合性审查表》，未能通过资格和符合性审查被认定为无效响应，磋商小组应当现场告知有关供应商。只有全部满足《资格和符合性审查表》所列各项要求的响应才是有效投标，只要不满足资格和符合性条款中所列各项要求之一的，将被认定为无效响应。对响应有效性认定意见不一致的，磋商小组按照少数服从多数的原则确定。</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磋商小组所有成员应当集中与单一供应</w:t>
      </w:r>
      <w:r>
        <w:rPr>
          <w:rFonts w:hint="eastAsia" w:ascii="仿宋_GB2312" w:hAnsi="仿宋_GB2312" w:eastAsia="仿宋_GB2312" w:cs="仿宋_GB2312"/>
          <w:sz w:val="24"/>
          <w:szCs w:val="24"/>
          <w:lang w:eastAsia="zh-TW"/>
        </w:rPr>
        <w:t>商（以</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签到顺序为准）</w:t>
      </w:r>
      <w:r>
        <w:rPr>
          <w:rFonts w:hint="eastAsia" w:ascii="仿宋_GB2312" w:hAnsi="仿宋_GB2312" w:eastAsia="仿宋_GB2312" w:cs="仿宋_GB2312"/>
          <w:sz w:val="24"/>
          <w:szCs w:val="24"/>
        </w:rPr>
        <w:t>分别进行磋商，并给予所有参加磋商的响应人平等的磋商机会。</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在磋商过程中，磋商小组可以根据竞争性磋商文件和磋商情况实质性变动采购需求中的技术、服务要求以及合同草案条款，但不得变动竞争性磋商文件中的其他内容。实质性变动的内容，须经采购人代表确认。对竞争性磋商文件作出实质性变动是竞争性磋商文件的有效组成部分，磋商小组应当及时以书面形式同时通知所有参加磋商的响应人。供应商应当按照竞争性磋商文件的变动情况和磋商小组的要求重新提交响应文件，并由其法定代表人或授权代表签字或者加盖公章。</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rPr>
        <w:t>在磋商中</w:t>
      </w:r>
      <w:r>
        <w:rPr>
          <w:rFonts w:hint="eastAsia" w:ascii="仿宋_GB2312" w:hAnsi="仿宋_GB2312" w:eastAsia="仿宋_GB2312" w:cs="仿宋_GB2312"/>
          <w:sz w:val="24"/>
          <w:szCs w:val="24"/>
          <w:lang w:eastAsia="zh-TW"/>
        </w:rPr>
        <w:t>，磋商小组</w:t>
      </w:r>
      <w:r>
        <w:rPr>
          <w:rFonts w:hint="eastAsia" w:ascii="仿宋_GB2312" w:hAnsi="仿宋_GB2312" w:eastAsia="仿宋_GB2312" w:cs="仿宋_GB2312"/>
          <w:sz w:val="24"/>
          <w:szCs w:val="24"/>
        </w:rPr>
        <w:t>及</w:t>
      </w:r>
      <w:r>
        <w:rPr>
          <w:rFonts w:hint="eastAsia" w:ascii="仿宋_GB2312" w:hAnsi="仿宋_GB2312" w:eastAsia="仿宋_GB2312" w:cs="仿宋_GB2312"/>
          <w:sz w:val="24"/>
          <w:szCs w:val="24"/>
          <w:lang w:eastAsia="zh-TW"/>
        </w:rPr>
        <w:t>有关当事人应当严格遵守保密原则，任何人不得透露与磋商有关的</w:t>
      </w:r>
      <w:r>
        <w:rPr>
          <w:rFonts w:hint="eastAsia" w:ascii="仿宋_GB2312" w:hAnsi="仿宋_GB2312" w:eastAsia="仿宋_GB2312" w:cs="仿宋_GB2312"/>
          <w:sz w:val="24"/>
          <w:szCs w:val="24"/>
        </w:rPr>
        <w:t>其他响应人</w:t>
      </w:r>
      <w:r>
        <w:rPr>
          <w:rFonts w:hint="eastAsia" w:ascii="仿宋_GB2312" w:hAnsi="仿宋_GB2312" w:eastAsia="仿宋_GB2312" w:cs="仿宋_GB2312"/>
          <w:sz w:val="24"/>
          <w:szCs w:val="24"/>
          <w:lang w:eastAsia="zh-TW"/>
        </w:rPr>
        <w:t>的技术</w:t>
      </w:r>
      <w:r>
        <w:rPr>
          <w:rFonts w:hint="eastAsia" w:ascii="仿宋_GB2312" w:hAnsi="仿宋_GB2312" w:eastAsia="仿宋_GB2312" w:cs="仿宋_GB2312"/>
          <w:sz w:val="24"/>
          <w:szCs w:val="24"/>
        </w:rPr>
        <w:t>资料</w:t>
      </w:r>
      <w:r>
        <w:rPr>
          <w:rFonts w:hint="eastAsia" w:ascii="仿宋_GB2312" w:hAnsi="仿宋_GB2312" w:eastAsia="仿宋_GB2312" w:cs="仿宋_GB2312"/>
          <w:sz w:val="24"/>
          <w:szCs w:val="24"/>
          <w:lang w:eastAsia="zh-TW"/>
        </w:rPr>
        <w:t>、价格和其他信息。</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竞争性磋商文件能够详细列明采购标的的技术、服务要求的，</w:t>
      </w:r>
      <w:r>
        <w:rPr>
          <w:rFonts w:hint="eastAsia" w:ascii="仿宋_GB2312" w:hAnsi="仿宋_GB2312" w:eastAsia="仿宋_GB2312" w:cs="仿宋_GB2312"/>
          <w:sz w:val="24"/>
          <w:szCs w:val="24"/>
          <w:lang w:eastAsia="zh-TW"/>
        </w:rPr>
        <w:t>磋商结束后，</w:t>
      </w:r>
      <w:r>
        <w:rPr>
          <w:rFonts w:hint="eastAsia" w:ascii="仿宋_GB2312" w:hAnsi="仿宋_GB2312" w:eastAsia="仿宋_GB2312" w:cs="仿宋_GB2312"/>
          <w:sz w:val="24"/>
          <w:szCs w:val="24"/>
        </w:rPr>
        <w:t>磋商小组要求</w:t>
      </w:r>
      <w:r>
        <w:rPr>
          <w:rFonts w:hint="eastAsia" w:ascii="仿宋_GB2312" w:hAnsi="仿宋_GB2312" w:eastAsia="仿宋_GB2312" w:cs="仿宋_GB2312"/>
          <w:sz w:val="24"/>
          <w:szCs w:val="24"/>
          <w:lang w:eastAsia="zh-TW"/>
        </w:rPr>
        <w:t>所有作出实质性响应的有效供应商应在规定的时间内提交最</w:t>
      </w:r>
      <w:r>
        <w:rPr>
          <w:rFonts w:hint="eastAsia" w:ascii="仿宋_GB2312" w:hAnsi="仿宋_GB2312" w:eastAsia="仿宋_GB2312" w:cs="仿宋_GB2312"/>
          <w:sz w:val="24"/>
          <w:szCs w:val="24"/>
        </w:rPr>
        <w:t>后</w:t>
      </w:r>
      <w:r>
        <w:rPr>
          <w:rFonts w:hint="eastAsia" w:ascii="仿宋_GB2312" w:hAnsi="仿宋_GB2312" w:eastAsia="仿宋_GB2312" w:cs="仿宋_GB2312"/>
          <w:sz w:val="24"/>
          <w:szCs w:val="24"/>
          <w:lang w:eastAsia="zh-TW"/>
        </w:rPr>
        <w:t>报价</w:t>
      </w:r>
      <w:r>
        <w:rPr>
          <w:rFonts w:hint="eastAsia" w:ascii="仿宋_GB2312" w:hAnsi="仿宋_GB2312" w:eastAsia="仿宋_GB2312" w:cs="仿宋_GB2312"/>
          <w:sz w:val="24"/>
          <w:szCs w:val="24"/>
        </w:rPr>
        <w:t>。</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如出现竞争性磋商文件不能详细列明采购标的的技术、服务要求，需经磋商由供应商最终设计方案或解决方案的，</w:t>
      </w:r>
      <w:r>
        <w:rPr>
          <w:rFonts w:hint="eastAsia" w:ascii="仿宋_GB2312" w:hAnsi="仿宋_GB2312" w:eastAsia="仿宋_GB2312" w:cs="仿宋_GB2312"/>
          <w:sz w:val="24"/>
          <w:szCs w:val="24"/>
          <w:lang w:eastAsia="zh-TW"/>
        </w:rPr>
        <w:t>磋商结束后，</w:t>
      </w:r>
      <w:r>
        <w:rPr>
          <w:rFonts w:hint="eastAsia" w:ascii="仿宋_GB2312" w:hAnsi="仿宋_GB2312" w:eastAsia="仿宋_GB2312" w:cs="仿宋_GB2312"/>
          <w:sz w:val="24"/>
          <w:szCs w:val="24"/>
        </w:rPr>
        <w:t>磋商小组按照少数服从多数的原则，投票推荐3家以上供应商的设计方案或者解决方案</w:t>
      </w:r>
      <w:r>
        <w:rPr>
          <w:rFonts w:hint="eastAsia" w:ascii="仿宋_GB2312" w:hAnsi="仿宋_GB2312" w:eastAsia="仿宋_GB2312" w:cs="仿宋_GB2312"/>
          <w:sz w:val="24"/>
          <w:szCs w:val="24"/>
          <w:lang w:eastAsia="zh-TW"/>
        </w:rPr>
        <w:t>在规定的时间内提交最</w:t>
      </w:r>
      <w:r>
        <w:rPr>
          <w:rFonts w:hint="eastAsia" w:ascii="仿宋_GB2312" w:hAnsi="仿宋_GB2312" w:eastAsia="仿宋_GB2312" w:cs="仿宋_GB2312"/>
          <w:sz w:val="24"/>
          <w:szCs w:val="24"/>
        </w:rPr>
        <w:t>后</w:t>
      </w:r>
      <w:r>
        <w:rPr>
          <w:rFonts w:hint="eastAsia" w:ascii="仿宋_GB2312" w:hAnsi="仿宋_GB2312" w:eastAsia="仿宋_GB2312" w:cs="仿宋_GB2312"/>
          <w:sz w:val="24"/>
          <w:szCs w:val="24"/>
          <w:lang w:eastAsia="zh-TW"/>
        </w:rPr>
        <w:t>报价（最</w:t>
      </w:r>
      <w:r>
        <w:rPr>
          <w:rFonts w:hint="eastAsia" w:ascii="仿宋_GB2312" w:hAnsi="仿宋_GB2312" w:eastAsia="仿宋_GB2312" w:cs="仿宋_GB2312"/>
          <w:sz w:val="24"/>
          <w:szCs w:val="24"/>
        </w:rPr>
        <w:t>后</w:t>
      </w:r>
      <w:r>
        <w:rPr>
          <w:rFonts w:hint="eastAsia" w:ascii="仿宋_GB2312" w:hAnsi="仿宋_GB2312" w:eastAsia="仿宋_GB2312" w:cs="仿宋_GB2312"/>
          <w:sz w:val="24"/>
          <w:szCs w:val="24"/>
          <w:lang w:eastAsia="zh-TW"/>
        </w:rPr>
        <w:t>报价时间由磋商小组视磋商进程决定）</w:t>
      </w:r>
      <w:r>
        <w:rPr>
          <w:rFonts w:hint="eastAsia" w:ascii="仿宋_GB2312" w:hAnsi="仿宋_GB2312" w:eastAsia="仿宋_GB2312" w:cs="仿宋_GB2312"/>
          <w:sz w:val="24"/>
          <w:szCs w:val="24"/>
        </w:rPr>
        <w:t>。</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最后报价是供应商响应文件的有效组成部分。</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对</w:t>
      </w:r>
      <w:r>
        <w:rPr>
          <w:rFonts w:hint="eastAsia" w:ascii="仿宋_GB2312" w:hAnsi="仿宋_GB2312" w:eastAsia="仿宋_GB2312" w:cs="仿宋_GB2312"/>
          <w:sz w:val="24"/>
          <w:szCs w:val="24"/>
        </w:rPr>
        <w:t>成交人</w:t>
      </w:r>
      <w:r>
        <w:rPr>
          <w:rFonts w:hint="eastAsia" w:ascii="仿宋_GB2312" w:hAnsi="仿宋_GB2312" w:eastAsia="仿宋_GB2312" w:cs="仿宋_GB2312"/>
          <w:sz w:val="24"/>
          <w:szCs w:val="24"/>
          <w:lang w:eastAsia="zh-TW"/>
        </w:rPr>
        <w:t>的价格出现明显低于或高于同业同期市场平均价的情形时，磋商小组应当在评审意见中详细说明推荐理由。</w:t>
      </w:r>
    </w:p>
    <w:p>
      <w:pPr>
        <w:widowControl w:val="0"/>
        <w:numPr>
          <w:ilvl w:val="1"/>
          <w:numId w:val="4"/>
        </w:numPr>
        <w:autoSpaceDE w:val="0"/>
        <w:autoSpaceDN w:val="0"/>
        <w:adjustRightInd w:val="0"/>
        <w:snapToGrid w:val="0"/>
        <w:spacing w:line="360" w:lineRule="auto"/>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rPr>
        <w:t>报价</w:t>
      </w:r>
      <w:r>
        <w:rPr>
          <w:rFonts w:hint="eastAsia" w:ascii="仿宋_GB2312" w:hAnsi="仿宋_GB2312" w:eastAsia="仿宋_GB2312" w:cs="仿宋_GB2312"/>
          <w:sz w:val="24"/>
          <w:szCs w:val="24"/>
          <w:lang w:eastAsia="zh-TW"/>
        </w:rPr>
        <w:t>修正误差的原则如下：</w:t>
      </w:r>
    </w:p>
    <w:p>
      <w:pPr>
        <w:widowControl w:val="0"/>
        <w:numPr>
          <w:ilvl w:val="2"/>
          <w:numId w:val="4"/>
        </w:numPr>
        <w:tabs>
          <w:tab w:val="left" w:pos="851"/>
        </w:tabs>
        <w:adjustRightInd w:val="0"/>
        <w:snapToGrid w:val="0"/>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bCs/>
          <w:sz w:val="24"/>
          <w:szCs w:val="24"/>
        </w:rPr>
        <w:t>响应文件中的大写金额和小写金额不一致的，以大写金额为准；</w:t>
      </w:r>
    </w:p>
    <w:p>
      <w:pPr>
        <w:widowControl w:val="0"/>
        <w:numPr>
          <w:ilvl w:val="2"/>
          <w:numId w:val="4"/>
        </w:numPr>
        <w:tabs>
          <w:tab w:val="left" w:pos="851"/>
        </w:tabs>
        <w:adjustRightInd w:val="0"/>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总价金额与按单价汇总金额不一致的，以单价金额计算结果为准；单价金额小数点有明显错位的，应以总价为准，并修改单价；</w:t>
      </w:r>
    </w:p>
    <w:p>
      <w:pPr>
        <w:widowControl w:val="0"/>
        <w:numPr>
          <w:ilvl w:val="2"/>
          <w:numId w:val="4"/>
        </w:numPr>
        <w:tabs>
          <w:tab w:val="left" w:pos="851"/>
        </w:tabs>
        <w:adjustRightInd w:val="0"/>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对不同文字文本响应文件的解释发生异议的，以中文文本为准；</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磋商小组按上述修正误差的原则调整的价格对其</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具有约束力。如果</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不接受修正后的价格，其报价将被拒绝。</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审报告应当由磋商小组全体人员签字认可。磋商小组成员对评审报告有异议的，磋商小组按照少数服从多数的原则推荐成交候选人，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出现下列情形之一的，招标采购单位终止竞争性磋商采购活动： </w:t>
      </w:r>
    </w:p>
    <w:p>
      <w:pPr>
        <w:widowControl w:val="0"/>
        <w:numPr>
          <w:ilvl w:val="2"/>
          <w:numId w:val="4"/>
        </w:numPr>
        <w:tabs>
          <w:tab w:val="left" w:pos="851"/>
        </w:tabs>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因情况变化，不再符合规定的竞争性磋商采购方式适用情形的；</w:t>
      </w:r>
    </w:p>
    <w:p>
      <w:pPr>
        <w:widowControl w:val="0"/>
        <w:numPr>
          <w:ilvl w:val="2"/>
          <w:numId w:val="4"/>
        </w:numPr>
        <w:tabs>
          <w:tab w:val="left" w:pos="851"/>
        </w:tabs>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出现影响采购公正的违法、违规行为的；</w:t>
      </w:r>
    </w:p>
    <w:p>
      <w:pPr>
        <w:widowControl w:val="0"/>
        <w:numPr>
          <w:ilvl w:val="2"/>
          <w:numId w:val="4"/>
        </w:numPr>
        <w:tabs>
          <w:tab w:val="left" w:pos="851"/>
        </w:tabs>
        <w:autoSpaceDE w:val="0"/>
        <w:autoSpaceDN w:val="0"/>
        <w:adjustRightInd w:val="0"/>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除法律法规规定的情形外，在采购过程中符合要求的供应商或者报价未超过采购预算的供应商不足3家的。</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最后报价是供应商响应文件的有效组成部分。符合“市场竞争不充分的科研项目，以及需要扶持的科技成果转化项目”情形的，提交最后报价的供应商可以为2家。</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政府购买服务项目（含政府和社会资本合作项目），在采购过程中符合要求的供应商（社会资本）只有2家的，竞争性磋商采购活动可以继续进行。</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129" w:name="_Toc434343677"/>
      <w:r>
        <w:rPr>
          <w:rFonts w:hint="eastAsia" w:ascii="仿宋_GB2312" w:hAnsi="仿宋_GB2312" w:eastAsia="仿宋_GB2312" w:cs="仿宋_GB2312"/>
          <w:b/>
          <w:bCs/>
          <w:sz w:val="24"/>
          <w:szCs w:val="24"/>
        </w:rPr>
        <w:t>评审方法和标准</w:t>
      </w:r>
      <w:bookmarkEnd w:id="129"/>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磋商结束后，所有作出实质性响应的有效供应商应在规定的时间内集中密封提交最后报价（最后报价时间视磋商进程由磋商小组决定），最后报价是供应商响应文件的有效组成部分。如在磋商中磋商小组没有对磋商文件作实质性变动增加新的需求，除非磋商资料表中另有规定，后一轮报价不得高于前一轮报价，否则视为无效报价，该供应商不再参与下轮谈判和报价，也不被推荐为成交候选人。对成交人的价格出现明显低于或高于同业同期市场平均价的情形时，磋商小组应当在评审报告中详细说明推荐理由。</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磋商小组将按照</w:t>
      </w:r>
      <w:r>
        <w:rPr>
          <w:rFonts w:hint="eastAsia" w:ascii="仿宋_GB2312" w:hAnsi="仿宋_GB2312" w:eastAsia="仿宋_GB2312" w:cs="仿宋_GB2312"/>
          <w:b/>
          <w:sz w:val="24"/>
          <w:szCs w:val="24"/>
        </w:rPr>
        <w:t>磋商</w:t>
      </w:r>
      <w:r>
        <w:rPr>
          <w:rFonts w:hint="eastAsia" w:ascii="仿宋_GB2312" w:hAnsi="仿宋_GB2312" w:eastAsia="仿宋_GB2312" w:cs="仿宋_GB2312"/>
          <w:b/>
          <w:sz w:val="24"/>
          <w:szCs w:val="24"/>
          <w:lang w:eastAsia="zh-TW"/>
        </w:rPr>
        <w:t>资料表</w:t>
      </w:r>
      <w:r>
        <w:rPr>
          <w:rFonts w:hint="eastAsia" w:ascii="仿宋_GB2312" w:hAnsi="仿宋_GB2312" w:eastAsia="仿宋_GB2312" w:cs="仿宋_GB2312"/>
          <w:sz w:val="24"/>
          <w:szCs w:val="24"/>
          <w:lang w:eastAsia="zh-TW"/>
        </w:rPr>
        <w:t>中确定的评标方法</w:t>
      </w:r>
      <w:r>
        <w:rPr>
          <w:rFonts w:hint="eastAsia" w:ascii="仿宋_GB2312" w:hAnsi="仿宋_GB2312" w:eastAsia="仿宋_GB2312" w:cs="仿宋_GB2312"/>
          <w:sz w:val="24"/>
          <w:szCs w:val="24"/>
        </w:rPr>
        <w:t>和</w:t>
      </w:r>
      <w:r>
        <w:rPr>
          <w:rFonts w:hint="eastAsia" w:ascii="仿宋_GB2312" w:hAnsi="仿宋_GB2312" w:eastAsia="仿宋_GB2312" w:cs="仿宋_GB2312"/>
          <w:sz w:val="24"/>
          <w:szCs w:val="24"/>
          <w:lang w:eastAsia="zh-TW"/>
        </w:rPr>
        <w:t>本竞争性磋商文件第</w:t>
      </w:r>
      <w:r>
        <w:rPr>
          <w:rFonts w:hint="eastAsia" w:ascii="仿宋_GB2312" w:hAnsi="仿宋_GB2312" w:eastAsia="仿宋_GB2312" w:cs="仿宋_GB2312"/>
          <w:sz w:val="24"/>
          <w:szCs w:val="24"/>
        </w:rPr>
        <w:t>二</w:t>
      </w:r>
      <w:r>
        <w:rPr>
          <w:rFonts w:hint="eastAsia" w:ascii="仿宋_GB2312" w:hAnsi="仿宋_GB2312" w:eastAsia="仿宋_GB2312" w:cs="仿宋_GB2312"/>
          <w:sz w:val="24"/>
          <w:szCs w:val="24"/>
          <w:lang w:eastAsia="zh-TW"/>
        </w:rPr>
        <w:t>章中</w:t>
      </w:r>
      <w:r>
        <w:rPr>
          <w:rFonts w:hint="eastAsia" w:ascii="仿宋_GB2312" w:hAnsi="仿宋_GB2312" w:eastAsia="仿宋_GB2312" w:cs="仿宋_GB2312"/>
          <w:sz w:val="24"/>
          <w:szCs w:val="24"/>
        </w:rPr>
        <w:t>的</w:t>
      </w:r>
      <w:r>
        <w:rPr>
          <w:rFonts w:hint="eastAsia" w:ascii="仿宋_GB2312" w:hAnsi="仿宋_GB2312" w:eastAsia="仿宋_GB2312" w:cs="仿宋_GB2312"/>
          <w:b/>
          <w:bCs/>
          <w:sz w:val="24"/>
          <w:szCs w:val="24"/>
        </w:rPr>
        <w:t>评分细则</w:t>
      </w:r>
      <w:r>
        <w:rPr>
          <w:rFonts w:hint="eastAsia" w:ascii="仿宋_GB2312" w:hAnsi="仿宋_GB2312" w:eastAsia="仿宋_GB2312" w:cs="仿宋_GB2312"/>
          <w:sz w:val="24"/>
          <w:szCs w:val="24"/>
          <w:lang w:eastAsia="zh-TW"/>
        </w:rPr>
        <w:t>进行评标。</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除</w:t>
      </w:r>
      <w:r>
        <w:rPr>
          <w:rFonts w:hint="eastAsia" w:ascii="仿宋_GB2312" w:hAnsi="仿宋_GB2312" w:eastAsia="仿宋_GB2312" w:cs="仿宋_GB2312"/>
          <w:b/>
          <w:sz w:val="24"/>
          <w:szCs w:val="24"/>
        </w:rPr>
        <w:t>磋商资料表</w:t>
      </w:r>
      <w:r>
        <w:rPr>
          <w:rFonts w:hint="eastAsia" w:ascii="仿宋_GB2312" w:hAnsi="仿宋_GB2312" w:eastAsia="仿宋_GB2312" w:cs="仿宋_GB2312"/>
          <w:sz w:val="24"/>
          <w:szCs w:val="24"/>
        </w:rPr>
        <w:t>另有规定的，</w:t>
      </w:r>
      <w:r>
        <w:rPr>
          <w:rFonts w:hint="eastAsia" w:ascii="仿宋_GB2312" w:hAnsi="仿宋_GB2312" w:eastAsia="仿宋_GB2312" w:cs="仿宋_GB2312"/>
          <w:sz w:val="24"/>
          <w:szCs w:val="24"/>
          <w:lang w:eastAsia="zh-TW"/>
        </w:rPr>
        <w:t>磋商小组</w:t>
      </w:r>
      <w:r>
        <w:rPr>
          <w:rFonts w:hint="eastAsia" w:ascii="仿宋_GB2312" w:hAnsi="仿宋_GB2312" w:eastAsia="仿宋_GB2312" w:cs="仿宋_GB2312"/>
          <w:sz w:val="24"/>
          <w:szCs w:val="24"/>
        </w:rPr>
        <w:t>根据综合评分情况按照评审得分由高到低推荐3名成交候选人。评标总得分相同的，按下列顺序比较确定：（1）节能产品；（2）环保产品；（3）响应报价（由低到高）；（4）技术部分（或技术商务部分）得分（由高到低）；（5）技术部分（或技术商务部分）评审项目中分值权重占技术部分（或技术商务部分）总分值权重由高到低的次序（得分由高到低）。除</w:t>
      </w:r>
      <w:r>
        <w:rPr>
          <w:rFonts w:hint="eastAsia" w:ascii="仿宋_GB2312" w:hAnsi="仿宋_GB2312" w:eastAsia="仿宋_GB2312" w:cs="仿宋_GB2312"/>
          <w:b/>
          <w:sz w:val="24"/>
          <w:szCs w:val="24"/>
        </w:rPr>
        <w:t>磋商资料表</w:t>
      </w:r>
      <w:r>
        <w:rPr>
          <w:rFonts w:hint="eastAsia" w:ascii="仿宋_GB2312" w:hAnsi="仿宋_GB2312" w:eastAsia="仿宋_GB2312" w:cs="仿宋_GB2312"/>
          <w:sz w:val="24"/>
          <w:szCs w:val="24"/>
        </w:rPr>
        <w:t>另有规定的，推荐综合得分排名第一的响应人为第一成交候选人，排名第二的响应人为第二成交候选人，排名第三的响应人为第三成交候选人。</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磋商小组提交评审报告和推荐成交意见报采购人确认</w:t>
      </w:r>
      <w:r>
        <w:rPr>
          <w:rFonts w:hint="eastAsia" w:ascii="仿宋_GB2312" w:hAnsi="仿宋_GB2312" w:eastAsia="仿宋_GB2312" w:cs="仿宋_GB2312"/>
          <w:sz w:val="24"/>
          <w:szCs w:val="24"/>
        </w:rPr>
        <w:t>，采购人在收到评审报告后在规定时间内，按照评审报告中推荐的成交候选人顺序确定成交人，也可以事先授权磋商小组直接确定成交人。</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评审结果确定后，采购人根据需要通知磋商小组推荐的第一成交候选人在2个工作日内，按响应文件中所列清单中的相关证件、证明文件、合同和其他文件的原件送采购人核对与响应人响应文件中的复印件是否一致。采购人在接到原件之日起3个工作日内，核对没有不一致的，须确认成交人；核对发现有不一致或第一成交候选人没有按约定提交原件的，报监管部门核实后按虚假应标处理。</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130" w:name="_Toc416770240"/>
      <w:bookmarkStart w:id="131" w:name="_Toc378586986"/>
      <w:bookmarkStart w:id="132" w:name="_Toc410738964"/>
      <w:bookmarkStart w:id="133" w:name="_Toc416771350"/>
      <w:bookmarkStart w:id="134" w:name="_Toc410736164"/>
      <w:r>
        <w:rPr>
          <w:rFonts w:hint="eastAsia" w:ascii="仿宋_GB2312" w:hAnsi="仿宋_GB2312" w:eastAsia="仿宋_GB2312" w:cs="仿宋_GB2312"/>
          <w:b/>
          <w:bCs/>
          <w:sz w:val="24"/>
          <w:szCs w:val="24"/>
        </w:rPr>
        <w:t>确定成交结果</w:t>
      </w:r>
      <w:bookmarkEnd w:id="130"/>
      <w:bookmarkEnd w:id="131"/>
      <w:bookmarkEnd w:id="132"/>
      <w:bookmarkEnd w:id="133"/>
      <w:bookmarkEnd w:id="134"/>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成交人确定后，采购代理机构将发布采购信息公告的媒体</w:t>
      </w:r>
      <w:r>
        <w:rPr>
          <w:rFonts w:hint="eastAsia" w:ascii="仿宋_GB2312" w:hAnsi="仿宋_GB2312" w:eastAsia="仿宋_GB2312" w:cs="仿宋_GB2312"/>
          <w:sz w:val="24"/>
          <w:szCs w:val="24"/>
          <w:lang w:eastAsia="zh-TW"/>
        </w:rPr>
        <w:t>上</w:t>
      </w:r>
      <w:r>
        <w:rPr>
          <w:rFonts w:hint="eastAsia" w:ascii="仿宋_GB2312" w:hAnsi="仿宋_GB2312" w:eastAsia="仿宋_GB2312" w:cs="仿宋_GB2312"/>
          <w:sz w:val="24"/>
          <w:szCs w:val="24"/>
        </w:rPr>
        <w:t>发布成交结果公告。不在成交名单之列者即为未成交人，采购代理机构不再以其他方式另行通知。</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成交结果公告后，采购代理机构同时向成交人发出《成交通知书》，向采购人及未成交人发出《成交结果通知书》，《成交通知书》对成交人和采购人具有同等法律效力。</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《成交通知书》将作为授予合同资格的合法依据，是合同的一个组成部分。</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135" w:name="_Toc433127783"/>
      <w:bookmarkStart w:id="136" w:name="_Toc410736166"/>
      <w:bookmarkStart w:id="137" w:name="_Toc416770242"/>
      <w:bookmarkStart w:id="138" w:name="_Toc410738966"/>
      <w:bookmarkStart w:id="139" w:name="_Toc416771352"/>
      <w:r>
        <w:rPr>
          <w:rFonts w:hint="eastAsia" w:ascii="仿宋_GB2312" w:hAnsi="仿宋_GB2312" w:eastAsia="仿宋_GB2312" w:cs="仿宋_GB2312"/>
          <w:b/>
          <w:bCs/>
          <w:sz w:val="24"/>
          <w:szCs w:val="24"/>
        </w:rPr>
        <w:t>询问、质疑、投诉</w:t>
      </w:r>
      <w:bookmarkEnd w:id="135"/>
    </w:p>
    <w:p>
      <w:pPr>
        <w:widowControl w:val="0"/>
        <w:numPr>
          <w:ilvl w:val="1"/>
          <w:numId w:val="4"/>
        </w:numPr>
        <w:autoSpaceDE w:val="0"/>
        <w:autoSpaceDN w:val="0"/>
        <w:adjustRightInd w:val="0"/>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询问</w:t>
      </w:r>
    </w:p>
    <w:p>
      <w:pPr>
        <w:widowControl w:val="0"/>
        <w:numPr>
          <w:ilvl w:val="2"/>
          <w:numId w:val="4"/>
        </w:numPr>
        <w:autoSpaceDE w:val="0"/>
        <w:autoSpaceDN w:val="0"/>
        <w:adjustRightInd w:val="0"/>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供应商对政府采购活动事项有疑问的，可以向招标采购单位提出询问，询问可以口头方式提出，也可以书面方式提出。</w:t>
      </w:r>
    </w:p>
    <w:p>
      <w:pPr>
        <w:widowControl w:val="0"/>
        <w:numPr>
          <w:ilvl w:val="2"/>
          <w:numId w:val="4"/>
        </w:numPr>
        <w:autoSpaceDE w:val="0"/>
        <w:autoSpaceDN w:val="0"/>
        <w:adjustRightInd w:val="0"/>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招标采购单位在三个工作日内对供应商依法提出的询问作出答复。</w:t>
      </w:r>
    </w:p>
    <w:p>
      <w:pPr>
        <w:widowControl w:val="0"/>
        <w:numPr>
          <w:ilvl w:val="1"/>
          <w:numId w:val="4"/>
        </w:numPr>
        <w:autoSpaceDE w:val="0"/>
        <w:autoSpaceDN w:val="0"/>
        <w:adjustRightInd w:val="0"/>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质疑</w:t>
      </w:r>
    </w:p>
    <w:p>
      <w:pPr>
        <w:widowControl w:val="0"/>
        <w:numPr>
          <w:ilvl w:val="2"/>
          <w:numId w:val="4"/>
        </w:numPr>
        <w:autoSpaceDE w:val="0"/>
        <w:autoSpaceDN w:val="0"/>
        <w:adjustRightInd w:val="0"/>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质疑期限：</w:t>
      </w:r>
    </w:p>
    <w:p>
      <w:pPr>
        <w:widowControl w:val="0"/>
        <w:numPr>
          <w:ilvl w:val="2"/>
          <w:numId w:val="4"/>
        </w:numPr>
        <w:autoSpaceDE w:val="0"/>
        <w:autoSpaceDN w:val="0"/>
        <w:adjustRightInd w:val="0"/>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供应商认为</w:t>
      </w:r>
      <w:r>
        <w:rPr>
          <w:rFonts w:hint="eastAsia" w:ascii="仿宋_GB2312" w:hAnsi="仿宋_GB2312" w:eastAsia="仿宋_GB2312" w:cs="仿宋_GB2312"/>
          <w:bCs/>
          <w:sz w:val="24"/>
          <w:szCs w:val="24"/>
          <w:u w:val="double"/>
        </w:rPr>
        <w:t>采购文件的内容</w:t>
      </w:r>
      <w:r>
        <w:rPr>
          <w:rFonts w:hint="eastAsia" w:ascii="仿宋_GB2312" w:hAnsi="仿宋_GB2312" w:eastAsia="仿宋_GB2312" w:cs="仿宋_GB2312"/>
          <w:bCs/>
          <w:sz w:val="24"/>
          <w:szCs w:val="24"/>
        </w:rPr>
        <w:t>损害其权益的，应在收到采购文件之日或者采购文件公告期届满之日起七个工作日内。</w:t>
      </w:r>
    </w:p>
    <w:p>
      <w:pPr>
        <w:widowControl w:val="0"/>
        <w:numPr>
          <w:ilvl w:val="2"/>
          <w:numId w:val="4"/>
        </w:numPr>
        <w:autoSpaceDE w:val="0"/>
        <w:autoSpaceDN w:val="0"/>
        <w:adjustRightInd w:val="0"/>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供应商认为</w:t>
      </w:r>
      <w:r>
        <w:rPr>
          <w:rFonts w:hint="eastAsia" w:ascii="仿宋_GB2312" w:hAnsi="仿宋_GB2312" w:eastAsia="仿宋_GB2312" w:cs="仿宋_GB2312"/>
          <w:bCs/>
          <w:sz w:val="24"/>
          <w:szCs w:val="24"/>
          <w:u w:val="double"/>
        </w:rPr>
        <w:t>采购过程</w:t>
      </w:r>
      <w:r>
        <w:rPr>
          <w:rFonts w:hint="eastAsia" w:ascii="仿宋_GB2312" w:hAnsi="仿宋_GB2312" w:eastAsia="仿宋_GB2312" w:cs="仿宋_GB2312"/>
          <w:bCs/>
          <w:sz w:val="24"/>
          <w:szCs w:val="24"/>
        </w:rPr>
        <w:t>损害其权益的，应在各采购程序环节结束之日起七个工作日内。</w:t>
      </w:r>
    </w:p>
    <w:p>
      <w:pPr>
        <w:widowControl w:val="0"/>
        <w:numPr>
          <w:ilvl w:val="2"/>
          <w:numId w:val="4"/>
        </w:numPr>
        <w:autoSpaceDE w:val="0"/>
        <w:autoSpaceDN w:val="0"/>
        <w:adjustRightInd w:val="0"/>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供应商认为</w:t>
      </w:r>
      <w:r>
        <w:rPr>
          <w:rFonts w:hint="eastAsia" w:ascii="仿宋_GB2312" w:hAnsi="仿宋_GB2312" w:eastAsia="仿宋_GB2312" w:cs="仿宋_GB2312"/>
          <w:bCs/>
          <w:sz w:val="24"/>
          <w:szCs w:val="24"/>
          <w:u w:val="double"/>
        </w:rPr>
        <w:t>中标或者成交结果</w:t>
      </w:r>
      <w:r>
        <w:rPr>
          <w:rFonts w:hint="eastAsia" w:ascii="仿宋_GB2312" w:hAnsi="仿宋_GB2312" w:eastAsia="仿宋_GB2312" w:cs="仿宋_GB2312"/>
          <w:bCs/>
          <w:sz w:val="24"/>
          <w:szCs w:val="24"/>
        </w:rPr>
        <w:t>损害其权益的，应在中标或者成交结果公告期限届满之日起七个工作日内。</w:t>
      </w:r>
    </w:p>
    <w:p>
      <w:pPr>
        <w:widowControl w:val="0"/>
        <w:numPr>
          <w:ilvl w:val="2"/>
          <w:numId w:val="4"/>
        </w:numPr>
        <w:autoSpaceDE w:val="0"/>
        <w:autoSpaceDN w:val="0"/>
        <w:adjustRightInd w:val="0"/>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提交要求：</w:t>
      </w:r>
    </w:p>
    <w:p>
      <w:pPr>
        <w:widowControl w:val="0"/>
        <w:numPr>
          <w:ilvl w:val="3"/>
          <w:numId w:val="4"/>
        </w:numPr>
        <w:tabs>
          <w:tab w:val="left" w:pos="993"/>
        </w:tabs>
        <w:autoSpaceDE w:val="0"/>
        <w:autoSpaceDN w:val="0"/>
        <w:adjustRightInd w:val="0"/>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以书面形式（加盖</w:t>
      </w:r>
      <w:r>
        <w:rPr>
          <w:rFonts w:hint="eastAsia" w:ascii="仿宋_GB2312" w:hAnsi="仿宋_GB2312" w:eastAsia="仿宋_GB2312" w:cs="仿宋_GB2312"/>
          <w:sz w:val="24"/>
          <w:szCs w:val="24"/>
        </w:rPr>
        <w:t>供应商</w:t>
      </w:r>
      <w:r>
        <w:rPr>
          <w:rFonts w:hint="eastAsia" w:ascii="仿宋_GB2312" w:hAnsi="仿宋_GB2312" w:eastAsia="仿宋_GB2312" w:cs="仿宋_GB2312"/>
          <w:bCs/>
          <w:sz w:val="24"/>
          <w:szCs w:val="24"/>
        </w:rPr>
        <w:t>公章，</w:t>
      </w:r>
      <w:r>
        <w:rPr>
          <w:rFonts w:hint="eastAsia" w:ascii="仿宋_GB2312" w:hAnsi="仿宋_GB2312" w:eastAsia="仿宋_GB2312" w:cs="仿宋_GB2312"/>
          <w:sz w:val="24"/>
          <w:szCs w:val="24"/>
        </w:rPr>
        <w:t>供应商以电话、传真或电邮形式提交的质疑属于无效质疑</w:t>
      </w:r>
      <w:r>
        <w:rPr>
          <w:rFonts w:hint="eastAsia" w:ascii="仿宋_GB2312" w:hAnsi="仿宋_GB2312" w:eastAsia="仿宋_GB2312" w:cs="仿宋_GB2312"/>
          <w:bCs/>
          <w:sz w:val="24"/>
          <w:szCs w:val="24"/>
        </w:rPr>
        <w:t>）向招标采购单位提出质疑。</w:t>
      </w:r>
    </w:p>
    <w:p>
      <w:pPr>
        <w:widowControl w:val="0"/>
        <w:numPr>
          <w:ilvl w:val="3"/>
          <w:numId w:val="4"/>
        </w:numPr>
        <w:tabs>
          <w:tab w:val="left" w:pos="993"/>
        </w:tabs>
        <w:autoSpaceDE w:val="0"/>
        <w:autoSpaceDN w:val="0"/>
        <w:adjustRightInd w:val="0"/>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质疑书内容：应包括具体的质疑事项、事实依据及相关确凿的证明材料、明确的请求、供应商名称及地址、授权代表姓名及其联系电话、质疑时间。质疑书应当署名并由法定代表人或授权代表签字并加盖公章。供应商递交质疑书时需提供质疑书原件、法定代表人授权委托书（应载明委托代理的具体权限及事项）及授权代表身份证复印件。</w:t>
      </w:r>
    </w:p>
    <w:p>
      <w:pPr>
        <w:widowControl w:val="0"/>
        <w:numPr>
          <w:ilvl w:val="3"/>
          <w:numId w:val="4"/>
        </w:numPr>
        <w:tabs>
          <w:tab w:val="left" w:pos="993"/>
        </w:tabs>
        <w:autoSpaceDE w:val="0"/>
        <w:autoSpaceDN w:val="0"/>
        <w:adjustRightInd w:val="0"/>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供应商质疑应当有明确的请求和必要的证明材料，捏造事实、提供虚假材料或者以非法手段取得证明材料不能作为质疑的证明材料。</w:t>
      </w:r>
    </w:p>
    <w:p>
      <w:pPr>
        <w:widowControl w:val="0"/>
        <w:numPr>
          <w:ilvl w:val="3"/>
          <w:numId w:val="4"/>
        </w:numPr>
        <w:tabs>
          <w:tab w:val="left" w:pos="993"/>
        </w:tabs>
        <w:autoSpaceDE w:val="0"/>
        <w:autoSpaceDN w:val="0"/>
        <w:adjustRightInd w:val="0"/>
        <w:snapToGrid w:val="0"/>
        <w:spacing w:line="360" w:lineRule="auto"/>
        <w:jc w:val="both"/>
        <w:rPr>
          <w:rFonts w:hint="eastAsia" w:ascii="仿宋_GB2312" w:hAnsi="仿宋_GB2312" w:eastAsia="仿宋_GB2312" w:cs="仿宋_GB2312"/>
          <w:bCs/>
          <w:sz w:val="24"/>
          <w:szCs w:val="24"/>
        </w:rPr>
      </w:pPr>
      <w:r>
        <w:rPr>
          <w:rFonts w:hint="eastAsia" w:ascii="仿宋_GB2312" w:hAnsi="仿宋_GB2312" w:eastAsia="仿宋_GB2312" w:cs="仿宋_GB2312"/>
          <w:bCs/>
          <w:sz w:val="24"/>
          <w:szCs w:val="24"/>
        </w:rPr>
        <w:t>招标采购单位在收到供应商的书面质疑后7个工作日内作出答复，并以书面形式通知质疑供应商和其他有关供应商，但答复内容不涉及商业秘密。质疑供应商须提供相关证明材料，包括但不限于权益受损害的情况说明及受损害的原因、证据内容等，并对质疑内容的真实性承担责任。</w:t>
      </w:r>
    </w:p>
    <w:p>
      <w:pPr>
        <w:widowControl w:val="0"/>
        <w:numPr>
          <w:ilvl w:val="2"/>
          <w:numId w:val="4"/>
        </w:numPr>
        <w:autoSpaceDE w:val="0"/>
        <w:autoSpaceDN w:val="0"/>
        <w:adjustRightInd w:val="0"/>
        <w:snapToGrid w:val="0"/>
        <w:spacing w:line="360" w:lineRule="auto"/>
        <w:jc w:val="both"/>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对于捏造事实、滥用维权扰乱采购秩序的恶意质疑者或举证不全查无实据被驳回次数在一年内达三次以上，将纳入不良行为记录名单并承担相应的法律责任。</w:t>
      </w:r>
    </w:p>
    <w:p>
      <w:pPr>
        <w:widowControl w:val="0"/>
        <w:numPr>
          <w:ilvl w:val="1"/>
          <w:numId w:val="4"/>
        </w:numPr>
        <w:autoSpaceDE w:val="0"/>
        <w:autoSpaceDN w:val="0"/>
        <w:adjustRightInd w:val="0"/>
        <w:snapToGrid w:val="0"/>
        <w:spacing w:line="360" w:lineRule="auto"/>
        <w:jc w:val="both"/>
        <w:rPr>
          <w:rFonts w:hint="eastAsia" w:ascii="仿宋_GB2312" w:hAnsi="仿宋_GB2312" w:eastAsia="仿宋_GB2312" w:cs="仿宋_GB2312"/>
          <w:b/>
          <w:bCs/>
          <w:sz w:val="24"/>
          <w:szCs w:val="24"/>
        </w:rPr>
      </w:pPr>
      <w:r>
        <w:rPr>
          <w:rFonts w:hint="eastAsia" w:ascii="仿宋_GB2312" w:hAnsi="仿宋_GB2312" w:eastAsia="仿宋_GB2312" w:cs="仿宋_GB2312"/>
          <w:b/>
          <w:sz w:val="24"/>
          <w:szCs w:val="24"/>
        </w:rPr>
        <w:t>投诉</w:t>
      </w:r>
    </w:p>
    <w:p>
      <w:pPr>
        <w:widowControl w:val="0"/>
        <w:numPr>
          <w:ilvl w:val="2"/>
          <w:numId w:val="4"/>
        </w:numPr>
        <w:autoSpaceDE w:val="0"/>
        <w:autoSpaceDN w:val="0"/>
        <w:adjustRightInd w:val="0"/>
        <w:snapToGrid w:val="0"/>
        <w:spacing w:line="360" w:lineRule="auto"/>
        <w:jc w:val="both"/>
        <w:rPr>
          <w:rFonts w:hint="eastAsia" w:ascii="仿宋_GB2312" w:hAnsi="仿宋_GB2312" w:eastAsia="仿宋_GB2312" w:cs="仿宋_GB2312"/>
          <w:b/>
          <w:bCs/>
          <w:sz w:val="24"/>
          <w:szCs w:val="24"/>
        </w:rPr>
      </w:pPr>
      <w:r>
        <w:rPr>
          <w:rFonts w:hint="eastAsia" w:ascii="仿宋_GB2312" w:hAnsi="仿宋_GB2312" w:eastAsia="仿宋_GB2312" w:cs="仿宋_GB2312"/>
          <w:sz w:val="24"/>
          <w:szCs w:val="24"/>
        </w:rPr>
        <w:t>质疑供应商对招标采购单位的质疑答复不满意，或招标采购单位未在规定期限内作出答复的，可以在答复期满后十五个工作日内向同级监管部门提出投诉。</w:t>
      </w:r>
    </w:p>
    <w:p>
      <w:pPr>
        <w:snapToGrid w:val="0"/>
        <w:spacing w:before="312" w:beforeLines="100" w:after="312" w:afterLines="100" w:line="360" w:lineRule="auto"/>
        <w:jc w:val="center"/>
        <w:outlineLvl w:val="0"/>
        <w:rPr>
          <w:rFonts w:hint="eastAsia" w:ascii="仿宋_GB2312" w:hAnsi="仿宋_GB2312" w:eastAsia="仿宋_GB2312" w:cs="仿宋_GB2312"/>
          <w:b/>
          <w:sz w:val="30"/>
          <w:szCs w:val="30"/>
          <w:lang w:eastAsia="zh-TW"/>
        </w:rPr>
      </w:pPr>
      <w:bookmarkStart w:id="140" w:name="_Toc23715"/>
      <w:r>
        <w:rPr>
          <w:rFonts w:hint="eastAsia" w:ascii="仿宋_GB2312" w:hAnsi="仿宋_GB2312" w:eastAsia="仿宋_GB2312" w:cs="仿宋_GB2312"/>
          <w:b/>
          <w:sz w:val="30"/>
          <w:szCs w:val="30"/>
          <w:lang w:eastAsia="zh-TW"/>
        </w:rPr>
        <w:t>六、授予合同</w:t>
      </w:r>
      <w:bookmarkEnd w:id="136"/>
      <w:bookmarkEnd w:id="137"/>
      <w:bookmarkEnd w:id="138"/>
      <w:bookmarkEnd w:id="139"/>
      <w:bookmarkEnd w:id="140"/>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141" w:name="_Toc410738967"/>
      <w:bookmarkStart w:id="142" w:name="_Toc416770243"/>
      <w:bookmarkStart w:id="143" w:name="_Toc410736167"/>
      <w:bookmarkStart w:id="144" w:name="_Toc416771353"/>
      <w:r>
        <w:rPr>
          <w:rFonts w:hint="eastAsia" w:ascii="仿宋_GB2312" w:hAnsi="仿宋_GB2312" w:eastAsia="仿宋_GB2312" w:cs="仿宋_GB2312"/>
          <w:b/>
          <w:bCs/>
          <w:sz w:val="24"/>
          <w:szCs w:val="24"/>
        </w:rPr>
        <w:t>合同的订立</w:t>
      </w:r>
      <w:bookmarkEnd w:id="141"/>
      <w:bookmarkEnd w:id="142"/>
      <w:bookmarkEnd w:id="143"/>
      <w:bookmarkEnd w:id="144"/>
    </w:p>
    <w:p>
      <w:pPr>
        <w:widowControl w:val="0"/>
        <w:numPr>
          <w:ilvl w:val="1"/>
          <w:numId w:val="4"/>
        </w:numPr>
        <w:tabs>
          <w:tab w:val="left" w:pos="709"/>
          <w:tab w:val="clear" w:pos="360"/>
        </w:tabs>
        <w:autoSpaceDE w:val="0"/>
        <w:autoSpaceDN w:val="0"/>
        <w:adjustRightInd w:val="0"/>
        <w:snapToGrid w:val="0"/>
        <w:spacing w:line="360" w:lineRule="auto"/>
        <w:ind w:left="709" w:hanging="709"/>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除非</w:t>
      </w:r>
      <w:r>
        <w:rPr>
          <w:rFonts w:hint="eastAsia" w:ascii="仿宋_GB2312" w:hAnsi="仿宋_GB2312" w:eastAsia="仿宋_GB2312" w:cs="仿宋_GB2312"/>
          <w:b/>
          <w:sz w:val="24"/>
          <w:szCs w:val="24"/>
        </w:rPr>
        <w:t>磋商资料表</w:t>
      </w:r>
      <w:r>
        <w:rPr>
          <w:rFonts w:hint="eastAsia" w:ascii="仿宋_GB2312" w:hAnsi="仿宋_GB2312" w:eastAsia="仿宋_GB2312" w:cs="仿宋_GB2312"/>
          <w:sz w:val="24"/>
          <w:szCs w:val="24"/>
        </w:rPr>
        <w:t xml:space="preserve">另有规定， </w:t>
      </w:r>
      <w:r>
        <w:rPr>
          <w:rFonts w:hint="eastAsia" w:ascii="仿宋_GB2312" w:hAnsi="仿宋_GB2312" w:eastAsia="仿宋_GB2312" w:cs="仿宋_GB2312"/>
          <w:sz w:val="24"/>
          <w:szCs w:val="24"/>
          <w:lang w:eastAsia="zh-TW"/>
        </w:rPr>
        <w:t>采购人</w:t>
      </w:r>
      <w:r>
        <w:rPr>
          <w:rFonts w:hint="eastAsia" w:ascii="仿宋_GB2312" w:hAnsi="仿宋_GB2312" w:eastAsia="仿宋_GB2312" w:cs="仿宋_GB2312"/>
          <w:sz w:val="24"/>
          <w:szCs w:val="24"/>
        </w:rPr>
        <w:t>应当</w:t>
      </w:r>
      <w:r>
        <w:rPr>
          <w:rFonts w:hint="eastAsia" w:ascii="仿宋_GB2312" w:hAnsi="仿宋_GB2312" w:eastAsia="仿宋_GB2312" w:cs="仿宋_GB2312"/>
          <w:sz w:val="24"/>
          <w:szCs w:val="24"/>
          <w:lang w:eastAsia="zh-TW"/>
        </w:rPr>
        <w:t>自成交通知书发出之日起三十日内，按</w:t>
      </w:r>
      <w:r>
        <w:rPr>
          <w:rFonts w:hint="eastAsia" w:ascii="仿宋_GB2312" w:hAnsi="仿宋_GB2312" w:eastAsia="仿宋_GB2312" w:cs="仿宋_GB2312"/>
          <w:sz w:val="24"/>
          <w:szCs w:val="24"/>
        </w:rPr>
        <w:t>照</w:t>
      </w:r>
      <w:r>
        <w:rPr>
          <w:rFonts w:hint="eastAsia" w:ascii="仿宋_GB2312" w:hAnsi="仿宋_GB2312" w:eastAsia="仿宋_GB2312" w:cs="仿宋_GB2312"/>
          <w:sz w:val="24"/>
          <w:szCs w:val="24"/>
          <w:lang w:eastAsia="zh-TW"/>
        </w:rPr>
        <w:t>竞争性磋商文件要求和</w:t>
      </w:r>
      <w:r>
        <w:rPr>
          <w:rFonts w:hint="eastAsia" w:ascii="仿宋_GB2312" w:hAnsi="仿宋_GB2312" w:eastAsia="仿宋_GB2312" w:cs="仿宋_GB2312"/>
          <w:sz w:val="24"/>
          <w:szCs w:val="24"/>
        </w:rPr>
        <w:t>成交人</w:t>
      </w:r>
      <w:r>
        <w:rPr>
          <w:rFonts w:hint="eastAsia" w:ascii="仿宋_GB2312" w:hAnsi="仿宋_GB2312" w:eastAsia="仿宋_GB2312" w:cs="仿宋_GB2312"/>
          <w:sz w:val="24"/>
          <w:szCs w:val="24"/>
          <w:lang w:eastAsia="zh-TW"/>
        </w:rPr>
        <w:t>响应文件承诺签订政府采购合同，但不得超出竞争性磋商文件和</w:t>
      </w:r>
      <w:r>
        <w:rPr>
          <w:rFonts w:hint="eastAsia" w:ascii="仿宋_GB2312" w:hAnsi="仿宋_GB2312" w:eastAsia="仿宋_GB2312" w:cs="仿宋_GB2312"/>
          <w:sz w:val="24"/>
          <w:szCs w:val="24"/>
        </w:rPr>
        <w:t>成交人</w:t>
      </w:r>
      <w:r>
        <w:rPr>
          <w:rFonts w:hint="eastAsia" w:ascii="仿宋_GB2312" w:hAnsi="仿宋_GB2312" w:eastAsia="仿宋_GB2312" w:cs="仿宋_GB2312"/>
          <w:sz w:val="24"/>
          <w:szCs w:val="24"/>
          <w:lang w:eastAsia="zh-TW"/>
        </w:rPr>
        <w:t>响应文件的范围、也不得再行订立背离</w:t>
      </w:r>
      <w:r>
        <w:rPr>
          <w:rFonts w:hint="eastAsia" w:ascii="仿宋_GB2312" w:hAnsi="仿宋_GB2312" w:eastAsia="仿宋_GB2312" w:cs="仿宋_GB2312"/>
          <w:sz w:val="24"/>
          <w:szCs w:val="24"/>
        </w:rPr>
        <w:t>竞争性磋商文件确定的合同文本以及采购标的、规格型号、采购金额、采购数量、技术和服务要求等实质性内容的协议。</w:t>
      </w:r>
    </w:p>
    <w:p>
      <w:pPr>
        <w:widowControl w:val="0"/>
        <w:numPr>
          <w:ilvl w:val="1"/>
          <w:numId w:val="4"/>
        </w:numPr>
        <w:tabs>
          <w:tab w:val="left" w:pos="709"/>
          <w:tab w:val="clear" w:pos="360"/>
        </w:tabs>
        <w:autoSpaceDE w:val="0"/>
        <w:autoSpaceDN w:val="0"/>
        <w:adjustRightInd w:val="0"/>
        <w:snapToGrid w:val="0"/>
        <w:spacing w:line="360" w:lineRule="auto"/>
        <w:ind w:left="709" w:hanging="709"/>
        <w:jc w:val="both"/>
        <w:rPr>
          <w:rFonts w:hint="eastAsia" w:ascii="仿宋_GB2312" w:hAnsi="仿宋_GB2312" w:eastAsia="仿宋_GB2312" w:cs="仿宋_GB2312"/>
          <w:strike/>
          <w:sz w:val="24"/>
          <w:szCs w:val="24"/>
          <w:lang w:eastAsia="zh-TW"/>
        </w:rPr>
      </w:pPr>
      <w:r>
        <w:rPr>
          <w:rFonts w:hint="eastAsia" w:ascii="仿宋_GB2312" w:hAnsi="仿宋_GB2312" w:eastAsia="仿宋_GB2312" w:cs="仿宋_GB2312"/>
          <w:sz w:val="24"/>
          <w:szCs w:val="24"/>
        </w:rPr>
        <w:t>因不可抗力或自身原因不能履行政府采购合同的、不按要求与采购人签订政府采购合同、成交人放弃成交、成交资格被依法确认无效的，采购人可以与排位在成交人之后第一位的成交候选人签订政府采购合同，也可以重新开展政府采购活动。</w:t>
      </w:r>
    </w:p>
    <w:p>
      <w:pPr>
        <w:widowControl w:val="0"/>
        <w:numPr>
          <w:ilvl w:val="1"/>
          <w:numId w:val="4"/>
        </w:numPr>
        <w:tabs>
          <w:tab w:val="left" w:pos="709"/>
          <w:tab w:val="clear" w:pos="360"/>
        </w:tabs>
        <w:autoSpaceDE w:val="0"/>
        <w:autoSpaceDN w:val="0"/>
        <w:adjustRightInd w:val="0"/>
        <w:snapToGrid w:val="0"/>
        <w:spacing w:line="360" w:lineRule="auto"/>
        <w:ind w:left="709" w:hanging="709"/>
        <w:jc w:val="both"/>
        <w:rPr>
          <w:rFonts w:hint="eastAsia" w:ascii="仿宋_GB2312" w:hAnsi="仿宋_GB2312" w:eastAsia="仿宋_GB2312" w:cs="仿宋_GB2312"/>
          <w:sz w:val="24"/>
          <w:szCs w:val="24"/>
        </w:rPr>
      </w:pPr>
      <w:bookmarkStart w:id="145" w:name="_Toc410736168"/>
      <w:bookmarkStart w:id="146" w:name="_Toc416771354"/>
      <w:bookmarkStart w:id="147" w:name="_Toc410738968"/>
      <w:bookmarkStart w:id="148" w:name="_Toc416770244"/>
      <w:r>
        <w:rPr>
          <w:rFonts w:hint="eastAsia" w:ascii="仿宋_GB2312" w:hAnsi="仿宋_GB2312" w:eastAsia="仿宋_GB2312" w:cs="仿宋_GB2312"/>
          <w:sz w:val="24"/>
          <w:szCs w:val="24"/>
        </w:rPr>
        <w:t>自</w:t>
      </w:r>
      <w:r>
        <w:rPr>
          <w:rFonts w:hint="eastAsia" w:ascii="仿宋_GB2312" w:hAnsi="仿宋_GB2312" w:eastAsia="仿宋_GB2312" w:cs="仿宋_GB2312"/>
          <w:sz w:val="24"/>
          <w:szCs w:val="24"/>
          <w:lang w:eastAsia="zh-TW"/>
        </w:rPr>
        <w:t>政府采购</w:t>
      </w:r>
      <w:r>
        <w:rPr>
          <w:rFonts w:hint="eastAsia" w:ascii="仿宋_GB2312" w:hAnsi="仿宋_GB2312" w:eastAsia="仿宋_GB2312" w:cs="仿宋_GB2312"/>
          <w:sz w:val="24"/>
          <w:szCs w:val="24"/>
        </w:rPr>
        <w:t>合同签订之日起2</w:t>
      </w:r>
      <w:r>
        <w:rPr>
          <w:rFonts w:hint="eastAsia" w:ascii="仿宋_GB2312" w:hAnsi="仿宋_GB2312" w:eastAsia="仿宋_GB2312" w:cs="仿宋_GB2312"/>
          <w:sz w:val="24"/>
          <w:szCs w:val="24"/>
          <w:lang w:eastAsia="zh-TW"/>
        </w:rPr>
        <w:t>个工作日内，采购人应将政府采购合同</w:t>
      </w:r>
      <w:r>
        <w:rPr>
          <w:rFonts w:hint="eastAsia" w:ascii="仿宋_GB2312" w:hAnsi="仿宋_GB2312" w:eastAsia="仿宋_GB2312" w:cs="仿宋_GB2312"/>
          <w:sz w:val="24"/>
          <w:szCs w:val="24"/>
        </w:rPr>
        <w:t>在省级以上人民政府财政部门指定的媒体上公告，但政府采购合同中涉及国家秘密、商业秘密的内容除外</w:t>
      </w:r>
      <w:r>
        <w:rPr>
          <w:rFonts w:hint="eastAsia" w:ascii="仿宋_GB2312" w:hAnsi="仿宋_GB2312" w:eastAsia="仿宋_GB2312" w:cs="仿宋_GB2312"/>
          <w:sz w:val="24"/>
          <w:szCs w:val="24"/>
          <w:lang w:eastAsia="zh-TW"/>
        </w:rPr>
        <w:t>。</w:t>
      </w:r>
    </w:p>
    <w:p>
      <w:pPr>
        <w:widowControl w:val="0"/>
        <w:numPr>
          <w:ilvl w:val="1"/>
          <w:numId w:val="4"/>
        </w:numPr>
        <w:tabs>
          <w:tab w:val="left" w:pos="709"/>
          <w:tab w:val="clear" w:pos="360"/>
        </w:tabs>
        <w:autoSpaceDE w:val="0"/>
        <w:autoSpaceDN w:val="0"/>
        <w:adjustRightInd w:val="0"/>
        <w:snapToGrid w:val="0"/>
        <w:spacing w:line="360" w:lineRule="auto"/>
        <w:ind w:left="709" w:hanging="709"/>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TW"/>
        </w:rPr>
        <w:t>政府采购</w:t>
      </w:r>
      <w:r>
        <w:rPr>
          <w:rFonts w:hint="eastAsia" w:ascii="仿宋_GB2312" w:hAnsi="仿宋_GB2312" w:eastAsia="仿宋_GB2312" w:cs="仿宋_GB2312"/>
          <w:sz w:val="24"/>
          <w:szCs w:val="24"/>
        </w:rPr>
        <w:t>合同签订之日起七</w:t>
      </w:r>
      <w:r>
        <w:rPr>
          <w:rFonts w:hint="eastAsia" w:ascii="仿宋_GB2312" w:hAnsi="仿宋_GB2312" w:eastAsia="仿宋_GB2312" w:cs="仿宋_GB2312"/>
          <w:sz w:val="24"/>
          <w:szCs w:val="24"/>
          <w:lang w:eastAsia="zh-TW"/>
        </w:rPr>
        <w:t>个工作日内，采购人应将政府采购合同副本报同级监管部门备案</w:t>
      </w:r>
      <w:r>
        <w:rPr>
          <w:rFonts w:hint="eastAsia" w:ascii="仿宋_GB2312" w:hAnsi="仿宋_GB2312" w:eastAsia="仿宋_GB2312" w:cs="仿宋_GB2312"/>
          <w:sz w:val="24"/>
          <w:szCs w:val="24"/>
        </w:rPr>
        <w:t>和有关部门备案</w:t>
      </w:r>
      <w:r>
        <w:rPr>
          <w:rFonts w:hint="eastAsia" w:ascii="仿宋_GB2312" w:hAnsi="仿宋_GB2312" w:eastAsia="仿宋_GB2312" w:cs="仿宋_GB2312"/>
          <w:sz w:val="24"/>
          <w:szCs w:val="24"/>
          <w:lang w:eastAsia="zh-TW"/>
        </w:rPr>
        <w:t>。</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合同的履行</w:t>
      </w:r>
      <w:bookmarkEnd w:id="145"/>
      <w:bookmarkEnd w:id="146"/>
      <w:bookmarkEnd w:id="147"/>
      <w:bookmarkEnd w:id="148"/>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政府采购合同订立后，合同各方不得擅自变更、中止或者终止合同。政府采购合同需要变更的，采购人应将有关合同变更内容，以书面形式报同级政府采购监督管理</w:t>
      </w:r>
      <w:r>
        <w:rPr>
          <w:rFonts w:hint="eastAsia" w:ascii="仿宋_GB2312" w:hAnsi="仿宋_GB2312" w:eastAsia="仿宋_GB2312" w:cs="仿宋_GB2312"/>
          <w:sz w:val="24"/>
          <w:szCs w:val="24"/>
        </w:rPr>
        <w:t>部门</w:t>
      </w:r>
      <w:r>
        <w:rPr>
          <w:rFonts w:hint="eastAsia" w:ascii="仿宋_GB2312" w:hAnsi="仿宋_GB2312" w:eastAsia="仿宋_GB2312" w:cs="仿宋_GB2312"/>
          <w:sz w:val="24"/>
          <w:szCs w:val="24"/>
          <w:lang w:eastAsia="zh-TW"/>
        </w:rPr>
        <w:t>备案；因特殊情况需要中止或终止合同的，采购人应将中止或终止合同的理由以及相应措施，以书面形式报同级政府采购监督管理</w:t>
      </w:r>
      <w:r>
        <w:rPr>
          <w:rFonts w:hint="eastAsia" w:ascii="仿宋_GB2312" w:hAnsi="仿宋_GB2312" w:eastAsia="仿宋_GB2312" w:cs="仿宋_GB2312"/>
          <w:sz w:val="24"/>
          <w:szCs w:val="24"/>
        </w:rPr>
        <w:t>部门</w:t>
      </w:r>
      <w:r>
        <w:rPr>
          <w:rFonts w:hint="eastAsia" w:ascii="仿宋_GB2312" w:hAnsi="仿宋_GB2312" w:eastAsia="仿宋_GB2312" w:cs="仿宋_GB2312"/>
          <w:sz w:val="24"/>
          <w:szCs w:val="24"/>
          <w:lang w:eastAsia="zh-TW"/>
        </w:rPr>
        <w:t>备案。</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lang w:eastAsia="zh-TW"/>
        </w:rPr>
      </w:pPr>
      <w:r>
        <w:rPr>
          <w:rFonts w:hint="eastAsia" w:ascii="仿宋_GB2312" w:hAnsi="仿宋_GB2312" w:eastAsia="仿宋_GB2312" w:cs="仿宋_GB2312"/>
          <w:sz w:val="24"/>
          <w:szCs w:val="24"/>
          <w:lang w:eastAsia="zh-TW"/>
        </w:rPr>
        <w:t>政府采购合同履行中，采购人需追加与合同标的相同的货物、工程或者服务的，在不改变合同其他条款的前提下，可以与</w:t>
      </w:r>
      <w:r>
        <w:rPr>
          <w:rFonts w:hint="eastAsia" w:ascii="仿宋_GB2312" w:hAnsi="仿宋_GB2312" w:eastAsia="仿宋_GB2312" w:cs="仿宋_GB2312"/>
          <w:sz w:val="24"/>
          <w:szCs w:val="24"/>
        </w:rPr>
        <w:t>响应人</w:t>
      </w:r>
      <w:r>
        <w:rPr>
          <w:rFonts w:hint="eastAsia" w:ascii="仿宋_GB2312" w:hAnsi="仿宋_GB2312" w:eastAsia="仿宋_GB2312" w:cs="仿宋_GB2312"/>
          <w:sz w:val="24"/>
          <w:szCs w:val="24"/>
          <w:lang w:eastAsia="zh-TW"/>
        </w:rPr>
        <w:t>签订补充合同，但所补充合同的采购金额不得超过原</w:t>
      </w:r>
      <w:r>
        <w:rPr>
          <w:rFonts w:hint="eastAsia" w:ascii="仿宋_GB2312" w:hAnsi="仿宋_GB2312" w:eastAsia="仿宋_GB2312" w:cs="仿宋_GB2312"/>
          <w:sz w:val="24"/>
          <w:szCs w:val="24"/>
        </w:rPr>
        <w:t>合同</w:t>
      </w:r>
      <w:r>
        <w:rPr>
          <w:rFonts w:hint="eastAsia" w:ascii="仿宋_GB2312" w:hAnsi="仿宋_GB2312" w:eastAsia="仿宋_GB2312" w:cs="仿宋_GB2312"/>
          <w:sz w:val="24"/>
          <w:szCs w:val="24"/>
          <w:lang w:eastAsia="zh-TW"/>
        </w:rPr>
        <w:t>采购金额的百分之十。签订补充合同的必须按规定备案。</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149" w:name="_Toc416771355"/>
      <w:bookmarkStart w:id="150" w:name="_Toc410738969"/>
      <w:bookmarkStart w:id="151" w:name="_Toc410736169"/>
      <w:bookmarkStart w:id="152" w:name="_Toc416770245"/>
      <w:r>
        <w:rPr>
          <w:rFonts w:hint="eastAsia" w:ascii="仿宋_GB2312" w:hAnsi="仿宋_GB2312" w:eastAsia="仿宋_GB2312" w:cs="仿宋_GB2312"/>
          <w:b/>
          <w:bCs/>
          <w:sz w:val="24"/>
          <w:szCs w:val="24"/>
        </w:rPr>
        <w:t>履约保证金</w:t>
      </w:r>
      <w:bookmarkEnd w:id="149"/>
      <w:bookmarkEnd w:id="150"/>
      <w:bookmarkEnd w:id="151"/>
      <w:bookmarkEnd w:id="152"/>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成交人</w:t>
      </w:r>
      <w:r>
        <w:rPr>
          <w:rFonts w:hint="eastAsia" w:ascii="仿宋_GB2312" w:hAnsi="仿宋_GB2312" w:eastAsia="仿宋_GB2312" w:cs="仿宋_GB2312"/>
          <w:sz w:val="24"/>
          <w:szCs w:val="24"/>
          <w:lang w:eastAsia="zh-TW"/>
        </w:rPr>
        <w:t>应按照</w:t>
      </w:r>
      <w:r>
        <w:rPr>
          <w:rFonts w:hint="eastAsia" w:ascii="仿宋_GB2312" w:hAnsi="仿宋_GB2312" w:eastAsia="仿宋_GB2312" w:cs="仿宋_GB2312"/>
          <w:b/>
          <w:sz w:val="24"/>
          <w:szCs w:val="24"/>
        </w:rPr>
        <w:t>磋商资料表</w:t>
      </w:r>
      <w:r>
        <w:rPr>
          <w:rFonts w:hint="eastAsia" w:ascii="仿宋_GB2312" w:hAnsi="仿宋_GB2312" w:eastAsia="仿宋_GB2312" w:cs="仿宋_GB2312"/>
          <w:sz w:val="24"/>
          <w:szCs w:val="24"/>
          <w:lang w:eastAsia="zh-TW"/>
        </w:rPr>
        <w:t>规定的</w:t>
      </w:r>
      <w:r>
        <w:rPr>
          <w:rFonts w:hint="eastAsia" w:ascii="仿宋_GB2312" w:hAnsi="仿宋_GB2312" w:eastAsia="仿宋_GB2312" w:cs="仿宋_GB2312"/>
          <w:sz w:val="24"/>
          <w:szCs w:val="24"/>
        </w:rPr>
        <w:t>金额，</w:t>
      </w:r>
      <w:r>
        <w:rPr>
          <w:rFonts w:hint="eastAsia" w:ascii="仿宋_GB2312" w:hAnsi="仿宋_GB2312" w:eastAsia="仿宋_GB2312" w:cs="仿宋_GB2312"/>
          <w:sz w:val="24"/>
          <w:szCs w:val="24"/>
          <w:lang w:eastAsia="zh-TW"/>
        </w:rPr>
        <w:t>采用竞争性磋商文件中</w:t>
      </w:r>
      <w:r>
        <w:rPr>
          <w:rFonts w:hint="eastAsia" w:ascii="仿宋_GB2312" w:hAnsi="仿宋_GB2312" w:eastAsia="仿宋_GB2312" w:cs="仿宋_GB2312"/>
          <w:sz w:val="24"/>
          <w:szCs w:val="24"/>
        </w:rPr>
        <w:t>要求的</w:t>
      </w:r>
      <w:r>
        <w:rPr>
          <w:rFonts w:hint="eastAsia" w:ascii="仿宋_GB2312" w:hAnsi="仿宋_GB2312" w:eastAsia="仿宋_GB2312" w:cs="仿宋_GB2312"/>
          <w:sz w:val="24"/>
          <w:szCs w:val="24"/>
          <w:lang w:eastAsia="zh-TW"/>
        </w:rPr>
        <w:t>形式向采购人提交履约保证金。</w:t>
      </w:r>
    </w:p>
    <w:p>
      <w:pPr>
        <w:widowControl w:val="0"/>
        <w:numPr>
          <w:ilvl w:val="0"/>
          <w:numId w:val="4"/>
        </w:numPr>
        <w:autoSpaceDE w:val="0"/>
        <w:autoSpaceDN w:val="0"/>
        <w:adjustRightInd w:val="0"/>
        <w:snapToGrid w:val="0"/>
        <w:spacing w:line="360" w:lineRule="auto"/>
        <w:ind w:left="357" w:hanging="357"/>
        <w:jc w:val="both"/>
        <w:rPr>
          <w:rFonts w:hint="eastAsia" w:ascii="仿宋_GB2312" w:hAnsi="仿宋_GB2312" w:eastAsia="仿宋_GB2312" w:cs="仿宋_GB2312"/>
          <w:b/>
          <w:bCs/>
          <w:sz w:val="24"/>
          <w:szCs w:val="24"/>
        </w:rPr>
      </w:pPr>
      <w:bookmarkStart w:id="153" w:name="_Toc410736170"/>
      <w:bookmarkStart w:id="154" w:name="_Toc416770246"/>
      <w:bookmarkStart w:id="155" w:name="_Toc416771356"/>
      <w:bookmarkStart w:id="156" w:name="_Toc410738970"/>
      <w:r>
        <w:rPr>
          <w:rFonts w:hint="eastAsia" w:ascii="仿宋_GB2312" w:hAnsi="仿宋_GB2312" w:eastAsia="仿宋_GB2312" w:cs="仿宋_GB2312"/>
          <w:b/>
          <w:bCs/>
          <w:sz w:val="24"/>
          <w:szCs w:val="24"/>
        </w:rPr>
        <w:t>采购代理服务费</w:t>
      </w:r>
      <w:bookmarkEnd w:id="153"/>
      <w:bookmarkEnd w:id="154"/>
      <w:bookmarkEnd w:id="155"/>
      <w:bookmarkEnd w:id="156"/>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成交人应按照竞争性磋商文件</w:t>
      </w:r>
      <w:r>
        <w:rPr>
          <w:rFonts w:hint="eastAsia" w:ascii="仿宋_GB2312" w:hAnsi="仿宋_GB2312" w:eastAsia="仿宋_GB2312" w:cs="仿宋_GB2312"/>
          <w:b/>
          <w:sz w:val="24"/>
          <w:szCs w:val="24"/>
        </w:rPr>
        <w:t>磋商资料表</w:t>
      </w:r>
      <w:r>
        <w:rPr>
          <w:rFonts w:hint="eastAsia" w:ascii="仿宋_GB2312" w:hAnsi="仿宋_GB2312" w:eastAsia="仿宋_GB2312" w:cs="仿宋_GB2312"/>
          <w:sz w:val="24"/>
          <w:szCs w:val="24"/>
        </w:rPr>
        <w:t>中的规定缴纳采购代理服务费。否则，将不予退还其磋商保证金。</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服务费按差额定率累进法计算。</w:t>
      </w:r>
    </w:p>
    <w:tbl>
      <w:tblPr>
        <w:tblStyle w:val="25"/>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0"/>
        <w:gridCol w:w="2280"/>
        <w:gridCol w:w="2280"/>
        <w:gridCol w:w="2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 w:hRule="atLeast"/>
        </w:trPr>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成交金额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货物采购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服务采购</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工程采购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2280" w:type="dxa"/>
          </w:tcPr>
          <w:p>
            <w:pPr>
              <w:autoSpaceDE w:val="0"/>
              <w:autoSpaceDN w:val="0"/>
              <w:adjustRightIn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100万元以下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1.5%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1.5%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2280" w:type="dxa"/>
          </w:tcPr>
          <w:p>
            <w:pPr>
              <w:autoSpaceDE w:val="0"/>
              <w:autoSpaceDN w:val="0"/>
              <w:adjustRightIn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100～500万元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1.1%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0.8%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0.7%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2280" w:type="dxa"/>
          </w:tcPr>
          <w:p>
            <w:pPr>
              <w:autoSpaceDE w:val="0"/>
              <w:autoSpaceDN w:val="0"/>
              <w:adjustRightIn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500～1000万元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0.8%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0.45%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0.55%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2280" w:type="dxa"/>
          </w:tcPr>
          <w:p>
            <w:pPr>
              <w:autoSpaceDE w:val="0"/>
              <w:autoSpaceDN w:val="0"/>
              <w:adjustRightInd w:val="0"/>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1000～5000万元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0.5%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0.25%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0.35%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trPr>
        <w:tc>
          <w:tcPr>
            <w:tcW w:w="2280" w:type="dxa"/>
          </w:tcPr>
          <w:p>
            <w:pPr>
              <w:autoSpaceDE w:val="0"/>
              <w:autoSpaceDN w:val="0"/>
              <w:adjustRightIn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5000万元～1亿元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0.25%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0.1% </w:t>
            </w:r>
          </w:p>
        </w:tc>
        <w:tc>
          <w:tcPr>
            <w:tcW w:w="2280" w:type="dxa"/>
          </w:tcPr>
          <w:p>
            <w:pPr>
              <w:autoSpaceDE w:val="0"/>
              <w:autoSpaceDN w:val="0"/>
              <w:adjustRightIn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0.2% </w:t>
            </w:r>
          </w:p>
        </w:tc>
      </w:tr>
    </w:tbl>
    <w:p>
      <w:pPr>
        <w:pStyle w:val="58"/>
        <w:autoSpaceDE w:val="0"/>
        <w:autoSpaceDN w:val="0"/>
        <w:adjustRightInd w:val="0"/>
        <w:spacing w:line="360" w:lineRule="auto"/>
        <w:ind w:left="360"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例如：某货物采购成交金额为600万元，计算采购代理服务收费额如下： </w:t>
      </w:r>
    </w:p>
    <w:p>
      <w:pPr>
        <w:pStyle w:val="58"/>
        <w:autoSpaceDE w:val="0"/>
        <w:autoSpaceDN w:val="0"/>
        <w:adjustRightInd w:val="0"/>
        <w:spacing w:line="360" w:lineRule="auto"/>
        <w:ind w:left="360"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100万元×1.5%=1.5万元 </w:t>
      </w:r>
    </w:p>
    <w:p>
      <w:pPr>
        <w:pStyle w:val="58"/>
        <w:autoSpaceDE w:val="0"/>
        <w:autoSpaceDN w:val="0"/>
        <w:adjustRightInd w:val="0"/>
        <w:spacing w:line="360" w:lineRule="auto"/>
        <w:ind w:left="360"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（500-100）万元×1.1%=4.4万元 </w:t>
      </w:r>
    </w:p>
    <w:p>
      <w:pPr>
        <w:pStyle w:val="58"/>
        <w:autoSpaceDE w:val="0"/>
        <w:autoSpaceDN w:val="0"/>
        <w:adjustRightInd w:val="0"/>
        <w:spacing w:line="360" w:lineRule="auto"/>
        <w:ind w:left="360"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（600-500）万元×0.8%=0.8万元 </w:t>
      </w:r>
    </w:p>
    <w:p>
      <w:pPr>
        <w:pStyle w:val="58"/>
        <w:spacing w:line="360" w:lineRule="auto"/>
        <w:ind w:left="360"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合计收费=1.5+4.4+0.8=6.7（万元）</w:t>
      </w:r>
    </w:p>
    <w:p>
      <w:pPr>
        <w:widowControl w:val="0"/>
        <w:numPr>
          <w:ilvl w:val="1"/>
          <w:numId w:val="4"/>
        </w:numPr>
        <w:tabs>
          <w:tab w:val="left" w:pos="709"/>
          <w:tab w:val="clear" w:pos="360"/>
        </w:tabs>
        <w:autoSpaceDE w:val="0"/>
        <w:autoSpaceDN w:val="0"/>
        <w:adjustRightInd w:val="0"/>
        <w:snapToGrid w:val="0"/>
        <w:spacing w:line="360" w:lineRule="auto"/>
        <w:ind w:left="709" w:hanging="709"/>
        <w:rPr>
          <w:rFonts w:hint="eastAsia" w:ascii="仿宋_GB2312" w:hAnsi="仿宋_GB2312" w:eastAsia="仿宋_GB2312" w:cs="仿宋_GB2312"/>
        </w:rPr>
      </w:pPr>
      <w:r>
        <w:rPr>
          <w:rFonts w:hint="eastAsia" w:ascii="仿宋_GB2312" w:hAnsi="仿宋_GB2312" w:eastAsia="仿宋_GB2312" w:cs="仿宋_GB2312"/>
          <w:sz w:val="24"/>
          <w:szCs w:val="24"/>
        </w:rPr>
        <w:t>经依法取消成交资格的，采购代理服务费不予退还。</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35附件</w:t>
      </w:r>
    </w:p>
    <w:p>
      <w:pPr>
        <w:pStyle w:val="11"/>
        <w:spacing w:after="0" w:line="800" w:lineRule="exact"/>
        <w:rPr>
          <w:rFonts w:hint="eastAsia" w:hAnsi="仿宋_GB2312" w:cs="仿宋_GB2312"/>
          <w:kern w:val="0"/>
          <w:sz w:val="21"/>
          <w:szCs w:val="21"/>
        </w:rPr>
      </w:pPr>
      <w:r>
        <w:rPr>
          <w:rFonts w:hint="eastAsia" w:hAnsi="仿宋_GB2312" w:cs="仿宋_GB2312"/>
          <w:kern w:val="0"/>
          <w:sz w:val="21"/>
          <w:szCs w:val="21"/>
        </w:rPr>
        <w:t>说明：本部分格式为响应人提交询问函、质疑函、投诉书时使用，不属于响应文件格式的组成部分。</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35.1询问函格式</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p>
    <w:p>
      <w:pPr>
        <w:spacing w:line="360"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询问函</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 xml:space="preserve">珠海华信达工程顾问有限公司： </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我单位已报名并准备参与</w:t>
      </w:r>
      <w:r>
        <w:rPr>
          <w:rFonts w:hint="eastAsia" w:ascii="仿宋_GB2312" w:hAnsi="仿宋_GB2312" w:eastAsia="仿宋_GB2312" w:cs="仿宋_GB2312"/>
          <w:szCs w:val="21"/>
          <w:u w:val="single"/>
        </w:rPr>
        <w:t xml:space="preserve">（项目名称、项目编号、标段号：）    </w:t>
      </w:r>
      <w:r>
        <w:rPr>
          <w:rFonts w:hint="eastAsia" w:ascii="仿宋_GB2312" w:hAnsi="仿宋_GB2312" w:eastAsia="仿宋_GB2312" w:cs="仿宋_GB2312"/>
          <w:szCs w:val="21"/>
        </w:rPr>
        <w:t xml:space="preserve">的响应（或报价）活动，现有以下几个内容（或条款）存在疑问（或无法理解），特提出询问。 </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 xml:space="preserve">一、 （事项一） </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w:t>
      </w:r>
      <w:r>
        <w:rPr>
          <w:rFonts w:hint="eastAsia" w:ascii="仿宋_GB2312" w:hAnsi="仿宋_GB2312" w:eastAsia="仿宋_GB2312" w:cs="仿宋_GB2312"/>
          <w:szCs w:val="21"/>
          <w:u w:val="single"/>
        </w:rPr>
        <w:t xml:space="preserve">     （问题或条款内容）</w:t>
      </w:r>
      <w:r>
        <w:rPr>
          <w:rFonts w:hint="eastAsia" w:ascii="仿宋_GB2312" w:hAnsi="仿宋_GB2312" w:eastAsia="仿宋_GB2312" w:cs="仿宋_GB2312"/>
          <w:szCs w:val="21"/>
        </w:rPr>
        <w:t xml:space="preserve"> </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（2）</w:t>
      </w:r>
      <w:r>
        <w:rPr>
          <w:rFonts w:hint="eastAsia" w:ascii="仿宋_GB2312" w:hAnsi="仿宋_GB2312" w:eastAsia="仿宋_GB2312" w:cs="仿宋_GB2312"/>
          <w:szCs w:val="21"/>
          <w:u w:val="single"/>
        </w:rPr>
        <w:t xml:space="preserve">   （说明疑问或无法理解原因）</w:t>
      </w:r>
      <w:r>
        <w:rPr>
          <w:rFonts w:hint="eastAsia" w:ascii="仿宋_GB2312" w:hAnsi="仿宋_GB2312" w:eastAsia="仿宋_GB2312" w:cs="仿宋_GB2312"/>
          <w:szCs w:val="21"/>
        </w:rPr>
        <w:t xml:space="preserve"> </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（3）</w:t>
      </w:r>
      <w:r>
        <w:rPr>
          <w:rFonts w:hint="eastAsia" w:ascii="仿宋_GB2312" w:hAnsi="仿宋_GB2312" w:eastAsia="仿宋_GB2312" w:cs="仿宋_GB2312"/>
          <w:szCs w:val="21"/>
          <w:u w:val="single"/>
        </w:rPr>
        <w:t xml:space="preserve">    （建议）</w:t>
      </w:r>
      <w:r>
        <w:rPr>
          <w:rFonts w:hint="eastAsia" w:ascii="仿宋_GB2312" w:hAnsi="仿宋_GB2312" w:eastAsia="仿宋_GB2312" w:cs="仿宋_GB2312"/>
          <w:szCs w:val="21"/>
        </w:rPr>
        <w:t xml:space="preserve"> </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二、</w:t>
      </w:r>
      <w:r>
        <w:rPr>
          <w:rFonts w:hint="eastAsia" w:ascii="仿宋_GB2312" w:hAnsi="仿宋_GB2312" w:eastAsia="仿宋_GB2312" w:cs="仿宋_GB2312"/>
          <w:szCs w:val="21"/>
          <w:u w:val="single"/>
        </w:rPr>
        <w:t xml:space="preserve">          （事项二）</w:t>
      </w:r>
      <w:r>
        <w:rPr>
          <w:rFonts w:hint="eastAsia" w:ascii="仿宋_GB2312" w:hAnsi="仿宋_GB2312" w:eastAsia="仿宋_GB2312" w:cs="仿宋_GB2312"/>
          <w:szCs w:val="21"/>
        </w:rPr>
        <w:t xml:space="preserve"> </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 xml:space="preserve">…… </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 xml:space="preserve">随附相关证明材料如下：（目录）。 </w:t>
      </w:r>
    </w:p>
    <w:p>
      <w:pPr>
        <w:spacing w:line="360" w:lineRule="auto"/>
        <w:ind w:firstLine="840" w:firstLineChars="400"/>
        <w:rPr>
          <w:rFonts w:hint="eastAsia" w:ascii="仿宋_GB2312" w:hAnsi="仿宋_GB2312" w:eastAsia="仿宋_GB2312" w:cs="仿宋_GB2312"/>
          <w:szCs w:val="21"/>
        </w:rPr>
      </w:pPr>
      <w:r>
        <w:rPr>
          <w:rFonts w:hint="eastAsia" w:ascii="仿宋_GB2312" w:hAnsi="仿宋_GB2312" w:eastAsia="仿宋_GB2312" w:cs="仿宋_GB2312"/>
          <w:szCs w:val="21"/>
        </w:rPr>
        <w:t xml:space="preserve">询问人：（公章） </w:t>
      </w:r>
    </w:p>
    <w:p>
      <w:pPr>
        <w:spacing w:line="360" w:lineRule="auto"/>
        <w:ind w:firstLine="840" w:firstLineChars="400"/>
        <w:rPr>
          <w:rFonts w:hint="eastAsia" w:ascii="仿宋_GB2312" w:hAnsi="仿宋_GB2312" w:eastAsia="仿宋_GB2312" w:cs="仿宋_GB2312"/>
          <w:szCs w:val="21"/>
        </w:rPr>
      </w:pPr>
      <w:r>
        <w:rPr>
          <w:rFonts w:hint="eastAsia" w:ascii="仿宋_GB2312" w:hAnsi="仿宋_GB2312" w:eastAsia="仿宋_GB2312" w:cs="仿宋_GB2312"/>
          <w:szCs w:val="21"/>
        </w:rPr>
        <w:t xml:space="preserve">法定代表人（授权代表）： </w:t>
      </w:r>
    </w:p>
    <w:p>
      <w:pPr>
        <w:spacing w:line="360" w:lineRule="auto"/>
        <w:ind w:firstLine="840" w:firstLineChars="400"/>
        <w:rPr>
          <w:rFonts w:hint="eastAsia" w:ascii="仿宋_GB2312" w:hAnsi="仿宋_GB2312" w:eastAsia="仿宋_GB2312" w:cs="仿宋_GB2312"/>
          <w:szCs w:val="21"/>
        </w:rPr>
      </w:pPr>
      <w:r>
        <w:rPr>
          <w:rFonts w:hint="eastAsia" w:ascii="仿宋_GB2312" w:hAnsi="仿宋_GB2312" w:eastAsia="仿宋_GB2312" w:cs="仿宋_GB2312"/>
          <w:szCs w:val="21"/>
        </w:rPr>
        <w:t xml:space="preserve">地址/邮编： </w:t>
      </w:r>
    </w:p>
    <w:p>
      <w:pPr>
        <w:spacing w:line="360" w:lineRule="auto"/>
        <w:ind w:firstLine="840" w:firstLineChars="400"/>
        <w:rPr>
          <w:rFonts w:hint="eastAsia" w:ascii="仿宋_GB2312" w:hAnsi="仿宋_GB2312" w:eastAsia="仿宋_GB2312" w:cs="仿宋_GB2312"/>
          <w:szCs w:val="21"/>
        </w:rPr>
      </w:pPr>
      <w:r>
        <w:rPr>
          <w:rFonts w:hint="eastAsia" w:ascii="仿宋_GB2312" w:hAnsi="仿宋_GB2312" w:eastAsia="仿宋_GB2312" w:cs="仿宋_GB2312"/>
          <w:szCs w:val="21"/>
        </w:rPr>
        <w:t xml:space="preserve">电话： </w:t>
      </w:r>
    </w:p>
    <w:p>
      <w:pPr>
        <w:spacing w:line="360" w:lineRule="auto"/>
        <w:ind w:firstLine="840" w:firstLineChars="400"/>
        <w:rPr>
          <w:rFonts w:hint="eastAsia" w:ascii="仿宋_GB2312" w:hAnsi="仿宋_GB2312" w:eastAsia="仿宋_GB2312" w:cs="仿宋_GB2312"/>
          <w:szCs w:val="21"/>
        </w:rPr>
      </w:pPr>
      <w:r>
        <w:rPr>
          <w:rFonts w:hint="eastAsia" w:ascii="仿宋_GB2312" w:hAnsi="仿宋_GB2312" w:eastAsia="仿宋_GB2312" w:cs="仿宋_GB2312"/>
          <w:szCs w:val="21"/>
        </w:rPr>
        <w:t xml:space="preserve">日期： </w:t>
      </w:r>
    </w:p>
    <w:p>
      <w:pPr>
        <w:spacing w:line="360" w:lineRule="auto"/>
        <w:ind w:firstLine="210" w:firstLineChars="100"/>
        <w:rPr>
          <w:rFonts w:hint="eastAsia" w:ascii="仿宋_GB2312" w:hAnsi="仿宋_GB2312" w:eastAsia="仿宋_GB2312" w:cs="仿宋_GB2312"/>
          <w:szCs w:val="21"/>
        </w:rPr>
      </w:pPr>
    </w:p>
    <w:p>
      <w:pPr>
        <w:spacing w:line="360" w:lineRule="auto"/>
        <w:ind w:firstLine="210" w:firstLineChars="100"/>
        <w:rPr>
          <w:rFonts w:hint="eastAsia" w:ascii="仿宋_GB2312" w:hAnsi="仿宋_GB2312" w:eastAsia="仿宋_GB2312" w:cs="仿宋_GB2312"/>
          <w:szCs w:val="21"/>
        </w:rPr>
      </w:pPr>
      <w:r>
        <w:rPr>
          <w:rFonts w:hint="eastAsia" w:ascii="仿宋_GB2312" w:hAnsi="仿宋_GB2312" w:eastAsia="仿宋_GB2312" w:cs="仿宋_GB2312"/>
          <w:szCs w:val="21"/>
        </w:rPr>
        <w:t>35.2质疑函范本</w:t>
      </w:r>
    </w:p>
    <w:p>
      <w:pPr>
        <w:spacing w:line="360" w:lineRule="auto"/>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质疑函范本</w:t>
      </w:r>
    </w:p>
    <w:p>
      <w:pPr>
        <w:adjustRightInd w:val="0"/>
        <w:snapToGrid w:val="0"/>
        <w:spacing w:before="312" w:beforeLines="100" w:line="360" w:lineRule="auto"/>
        <w:rPr>
          <w:rFonts w:hint="eastAsia" w:ascii="仿宋_GB2312" w:hAnsi="仿宋_GB2312" w:eastAsia="仿宋_GB2312" w:cs="仿宋_GB2312"/>
          <w:bCs/>
          <w:szCs w:val="21"/>
        </w:rPr>
      </w:pPr>
      <w:r>
        <w:rPr>
          <w:rFonts w:hint="eastAsia" w:ascii="仿宋_GB2312" w:hAnsi="仿宋_GB2312" w:eastAsia="仿宋_GB2312" w:cs="仿宋_GB2312"/>
          <w:bCs/>
          <w:szCs w:val="21"/>
        </w:rPr>
        <w:t>一、质疑人基本信息</w:t>
      </w:r>
    </w:p>
    <w:p>
      <w:pPr>
        <w:adjustRightInd w:val="0"/>
        <w:snapToGrid w:val="0"/>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rPr>
        <w:t>质疑人：</w:t>
      </w:r>
      <w:r>
        <w:rPr>
          <w:rFonts w:hint="eastAsia" w:ascii="仿宋_GB2312" w:hAnsi="仿宋_GB2312" w:eastAsia="仿宋_GB2312" w:cs="仿宋_GB2312"/>
          <w:szCs w:val="21"/>
          <w:u w:val="dotted"/>
        </w:rPr>
        <w:t xml:space="preserve">                                        </w:t>
      </w:r>
    </w:p>
    <w:p>
      <w:pPr>
        <w:adjustRightInd w:val="0"/>
        <w:snapToGrid w:val="0"/>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地址：</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邮编：</w:t>
      </w:r>
      <w:r>
        <w:rPr>
          <w:rFonts w:hint="eastAsia" w:ascii="仿宋_GB2312" w:hAnsi="仿宋_GB2312" w:eastAsia="仿宋_GB2312" w:cs="仿宋_GB2312"/>
          <w:szCs w:val="21"/>
          <w:u w:val="dotted"/>
        </w:rPr>
        <w:t xml:space="preserve">                                                   </w:t>
      </w:r>
    </w:p>
    <w:p>
      <w:pPr>
        <w:adjustRightInd w:val="0"/>
        <w:snapToGrid w:val="0"/>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联系人：</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联系电话：</w:t>
      </w:r>
      <w:r>
        <w:rPr>
          <w:rFonts w:hint="eastAsia" w:ascii="仿宋_GB2312" w:hAnsi="仿宋_GB2312" w:eastAsia="仿宋_GB2312" w:cs="仿宋_GB2312"/>
          <w:szCs w:val="21"/>
          <w:u w:val="dotted"/>
        </w:rPr>
        <w:t xml:space="preserve">                              </w:t>
      </w:r>
    </w:p>
    <w:p>
      <w:pPr>
        <w:adjustRightInd w:val="0"/>
        <w:snapToGrid w:val="0"/>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rPr>
        <w:t>授权代表：</w:t>
      </w:r>
      <w:r>
        <w:rPr>
          <w:rFonts w:hint="eastAsia" w:ascii="仿宋_GB2312" w:hAnsi="仿宋_GB2312" w:eastAsia="仿宋_GB2312" w:cs="仿宋_GB2312"/>
          <w:szCs w:val="21"/>
          <w:u w:val="dotted"/>
        </w:rPr>
        <w:t xml:space="preserve">                                          </w:t>
      </w:r>
    </w:p>
    <w:p>
      <w:pPr>
        <w:adjustRightInd w:val="0"/>
        <w:snapToGrid w:val="0"/>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联系电话：</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 xml:space="preserve"> </w:t>
      </w:r>
    </w:p>
    <w:p>
      <w:pPr>
        <w:adjustRightInd w:val="0"/>
        <w:snapToGrid w:val="0"/>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 xml:space="preserve">地址： </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邮编：</w:t>
      </w:r>
      <w:r>
        <w:rPr>
          <w:rFonts w:hint="eastAsia" w:ascii="仿宋_GB2312" w:hAnsi="仿宋_GB2312" w:eastAsia="仿宋_GB2312" w:cs="仿宋_GB2312"/>
          <w:szCs w:val="21"/>
          <w:u w:val="dotted"/>
        </w:rPr>
        <w:t xml:space="preserve">                                                </w:t>
      </w:r>
    </w:p>
    <w:p>
      <w:pPr>
        <w:adjustRightInd w:val="0"/>
        <w:snapToGrid w:val="0"/>
        <w:spacing w:line="360" w:lineRule="auto"/>
        <w:rPr>
          <w:rFonts w:hint="eastAsia" w:ascii="仿宋_GB2312" w:hAnsi="仿宋_GB2312" w:eastAsia="仿宋_GB2312" w:cs="仿宋_GB2312"/>
          <w:bCs/>
          <w:szCs w:val="21"/>
        </w:rPr>
      </w:pPr>
      <w:r>
        <w:rPr>
          <w:rFonts w:hint="eastAsia" w:ascii="仿宋_GB2312" w:hAnsi="仿宋_GB2312" w:eastAsia="仿宋_GB2312" w:cs="仿宋_GB2312"/>
          <w:bCs/>
          <w:szCs w:val="21"/>
        </w:rPr>
        <w:t>二、质疑项目基本情况</w:t>
      </w:r>
    </w:p>
    <w:p>
      <w:pPr>
        <w:adjustRightInd w:val="0"/>
        <w:snapToGrid w:val="0"/>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质疑项目的名称：</w:t>
      </w:r>
      <w:r>
        <w:rPr>
          <w:rFonts w:hint="eastAsia" w:ascii="仿宋_GB2312" w:hAnsi="仿宋_GB2312" w:eastAsia="仿宋_GB2312" w:cs="仿宋_GB2312"/>
          <w:szCs w:val="21"/>
          <w:u w:val="dotted"/>
        </w:rPr>
        <w:t xml:space="preserve">                                      </w:t>
      </w:r>
    </w:p>
    <w:p>
      <w:pPr>
        <w:adjustRightInd w:val="0"/>
        <w:snapToGrid w:val="0"/>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质疑项目的编号：</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标段号：</w:t>
      </w:r>
      <w:r>
        <w:rPr>
          <w:rFonts w:hint="eastAsia" w:ascii="仿宋_GB2312" w:hAnsi="仿宋_GB2312" w:eastAsia="仿宋_GB2312" w:cs="仿宋_GB2312"/>
          <w:szCs w:val="21"/>
          <w:u w:val="dotted"/>
        </w:rPr>
        <w:t xml:space="preserve">                 </w:t>
      </w:r>
    </w:p>
    <w:p>
      <w:pPr>
        <w:adjustRightInd w:val="0"/>
        <w:snapToGrid w:val="0"/>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rPr>
        <w:t>采购人名称：</w:t>
      </w:r>
      <w:r>
        <w:rPr>
          <w:rFonts w:hint="eastAsia" w:ascii="仿宋_GB2312" w:hAnsi="仿宋_GB2312" w:eastAsia="仿宋_GB2312" w:cs="仿宋_GB2312"/>
          <w:szCs w:val="21"/>
          <w:u w:val="dotted"/>
        </w:rPr>
        <w:t xml:space="preserve">                                         </w:t>
      </w:r>
    </w:p>
    <w:p>
      <w:pPr>
        <w:adjustRightInd w:val="0"/>
        <w:snapToGrid w:val="0"/>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采购文件获取日期：</w:t>
      </w:r>
      <w:r>
        <w:rPr>
          <w:rFonts w:hint="eastAsia" w:ascii="仿宋_GB2312" w:hAnsi="仿宋_GB2312" w:eastAsia="仿宋_GB2312" w:cs="仿宋_GB2312"/>
          <w:szCs w:val="21"/>
          <w:u w:val="dotted"/>
        </w:rPr>
        <w:t xml:space="preserve">                                           </w:t>
      </w:r>
    </w:p>
    <w:p>
      <w:pPr>
        <w:adjustRightInd w:val="0"/>
        <w:snapToGrid w:val="0"/>
        <w:spacing w:line="360" w:lineRule="auto"/>
        <w:rPr>
          <w:rFonts w:hint="eastAsia" w:ascii="仿宋_GB2312" w:hAnsi="仿宋_GB2312" w:eastAsia="仿宋_GB2312" w:cs="仿宋_GB2312"/>
          <w:bCs/>
          <w:szCs w:val="21"/>
        </w:rPr>
      </w:pPr>
      <w:r>
        <w:rPr>
          <w:rFonts w:hint="eastAsia" w:ascii="仿宋_GB2312" w:hAnsi="仿宋_GB2312" w:eastAsia="仿宋_GB2312" w:cs="仿宋_GB2312"/>
          <w:bCs/>
          <w:szCs w:val="21"/>
        </w:rPr>
        <w:t>三、质疑事项具体内容</w:t>
      </w:r>
    </w:p>
    <w:p>
      <w:pPr>
        <w:adjustRightInd w:val="0"/>
        <w:snapToGrid w:val="0"/>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rPr>
        <w:t>质疑事项1：</w:t>
      </w:r>
      <w:r>
        <w:rPr>
          <w:rFonts w:hint="eastAsia" w:ascii="仿宋_GB2312" w:hAnsi="仿宋_GB2312" w:eastAsia="仿宋_GB2312" w:cs="仿宋_GB2312"/>
          <w:szCs w:val="21"/>
          <w:u w:val="dotted"/>
        </w:rPr>
        <w:t xml:space="preserve">                                         </w:t>
      </w:r>
    </w:p>
    <w:p>
      <w:pPr>
        <w:adjustRightInd w:val="0"/>
        <w:snapToGrid w:val="0"/>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rPr>
        <w:t>事实依据：</w:t>
      </w:r>
      <w:r>
        <w:rPr>
          <w:rFonts w:hint="eastAsia" w:ascii="仿宋_GB2312" w:hAnsi="仿宋_GB2312" w:eastAsia="仿宋_GB2312" w:cs="仿宋_GB2312"/>
          <w:szCs w:val="21"/>
          <w:u w:val="dotted"/>
        </w:rPr>
        <w:t xml:space="preserve">                                          </w:t>
      </w:r>
    </w:p>
    <w:p>
      <w:pPr>
        <w:adjustRightInd w:val="0"/>
        <w:snapToGrid w:val="0"/>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u w:val="dotted"/>
        </w:rPr>
        <w:t xml:space="preserve">                                                       </w:t>
      </w:r>
    </w:p>
    <w:p>
      <w:pPr>
        <w:adjustRightInd w:val="0"/>
        <w:snapToGrid w:val="0"/>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rPr>
        <w:t>法律依据：</w:t>
      </w:r>
      <w:r>
        <w:rPr>
          <w:rFonts w:hint="eastAsia" w:ascii="仿宋_GB2312" w:hAnsi="仿宋_GB2312" w:eastAsia="仿宋_GB2312" w:cs="仿宋_GB2312"/>
          <w:szCs w:val="21"/>
          <w:u w:val="dotted"/>
        </w:rPr>
        <w:t xml:space="preserve">                                          </w:t>
      </w:r>
    </w:p>
    <w:p>
      <w:pPr>
        <w:adjustRightInd w:val="0"/>
        <w:snapToGrid w:val="0"/>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u w:val="dotted"/>
        </w:rPr>
        <w:t xml:space="preserve">                                                     </w:t>
      </w:r>
    </w:p>
    <w:p>
      <w:pPr>
        <w:adjustRightInd w:val="0"/>
        <w:snapToGrid w:val="0"/>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rPr>
        <w:t>质疑事项2</w:t>
      </w:r>
    </w:p>
    <w:p>
      <w:pPr>
        <w:adjustRightInd w:val="0"/>
        <w:snapToGrid w:val="0"/>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w:t>
      </w:r>
    </w:p>
    <w:p>
      <w:pPr>
        <w:adjustRightInd w:val="0"/>
        <w:snapToGrid w:val="0"/>
        <w:spacing w:line="360" w:lineRule="auto"/>
        <w:rPr>
          <w:rFonts w:hint="eastAsia" w:ascii="仿宋_GB2312" w:hAnsi="仿宋_GB2312" w:eastAsia="仿宋_GB2312" w:cs="仿宋_GB2312"/>
          <w:bCs/>
          <w:szCs w:val="21"/>
        </w:rPr>
      </w:pPr>
      <w:r>
        <w:rPr>
          <w:rFonts w:hint="eastAsia" w:ascii="仿宋_GB2312" w:hAnsi="仿宋_GB2312" w:eastAsia="仿宋_GB2312" w:cs="仿宋_GB2312"/>
          <w:bCs/>
          <w:szCs w:val="21"/>
        </w:rPr>
        <w:t>四、与质疑事项相关的质疑请求</w:t>
      </w:r>
    </w:p>
    <w:p>
      <w:pPr>
        <w:adjustRightInd w:val="0"/>
        <w:snapToGrid w:val="0"/>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rPr>
        <w:t>请求：</w:t>
      </w:r>
      <w:r>
        <w:rPr>
          <w:rFonts w:hint="eastAsia" w:ascii="仿宋_GB2312" w:hAnsi="仿宋_GB2312" w:eastAsia="仿宋_GB2312" w:cs="仿宋_GB2312"/>
          <w:szCs w:val="21"/>
          <w:u w:val="dotted"/>
        </w:rPr>
        <w:t xml:space="preserve">                                               </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 xml:space="preserve">签字(签章)：                   公章：                      </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 xml:space="preserve">日期：    </w:t>
      </w:r>
    </w:p>
    <w:p>
      <w:pPr>
        <w:spacing w:line="360" w:lineRule="auto"/>
        <w:rPr>
          <w:rFonts w:hint="eastAsia" w:ascii="仿宋_GB2312" w:hAnsi="仿宋_GB2312" w:eastAsia="仿宋_GB2312" w:cs="仿宋_GB2312"/>
          <w:b/>
          <w:szCs w:val="21"/>
        </w:rPr>
      </w:pPr>
      <w:r>
        <w:rPr>
          <w:rFonts w:hint="eastAsia" w:ascii="仿宋_GB2312" w:hAnsi="仿宋_GB2312" w:eastAsia="仿宋_GB2312" w:cs="仿宋_GB2312"/>
          <w:b/>
          <w:szCs w:val="21"/>
        </w:rPr>
        <w:t>质疑函制作说明：</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1.质疑人提出质疑时，应提交质疑函和必要的证明材料。</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2.质疑唇揭齿寒若委托代理人进行质疑的，质疑函应按要求列明“授权代表”的有关内容，并在附件中提交由质疑人签署的授权委托书。授权委托书应载明代理人的姓名或者名称、代理事项、具体权限、期限和相关事项。</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3.质疑人若对项目的某一分包进行质疑，质疑函中应列明具体分包号。</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4.质疑函的质疑事项应具体、明确，并有必要的事实依据和法律依据。</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5.质疑函的质疑请求应与质疑事项相关。</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6.质疑人为自然人的，质疑函应由本人签字；质疑人为法人或者其他组织的，质疑函应由法定代表人、主要负责人，或者其授权代表签字或者盖章，并加盖公章。</w:t>
      </w:r>
    </w:p>
    <w:p>
      <w:pPr>
        <w:spacing w:line="360" w:lineRule="auto"/>
        <w:ind w:firstLine="420" w:firstLineChars="200"/>
        <w:rPr>
          <w:rFonts w:hint="eastAsia" w:ascii="仿宋_GB2312" w:hAnsi="仿宋_GB2312" w:eastAsia="仿宋_GB2312" w:cs="仿宋_GB2312"/>
          <w:szCs w:val="21"/>
        </w:rPr>
      </w:pP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35.3投诉书范本</w:t>
      </w:r>
    </w:p>
    <w:p>
      <w:pPr>
        <w:spacing w:line="360" w:lineRule="auto"/>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投诉书范本</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一、投诉相关主体基本情况</w:t>
      </w:r>
    </w:p>
    <w:p>
      <w:pPr>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rPr>
        <w:t>投诉人：</w:t>
      </w:r>
      <w:r>
        <w:rPr>
          <w:rFonts w:hint="eastAsia" w:ascii="仿宋_GB2312" w:hAnsi="仿宋_GB2312" w:eastAsia="仿宋_GB2312" w:cs="仿宋_GB2312"/>
          <w:szCs w:val="21"/>
          <w:u w:val="dotted"/>
        </w:rPr>
        <w:t xml:space="preserve">                                               </w:t>
      </w:r>
    </w:p>
    <w:p>
      <w:pPr>
        <w:spacing w:line="36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地     址：</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邮编：</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u w:val="single"/>
        </w:rPr>
        <w:t xml:space="preserve">   </w:t>
      </w:r>
    </w:p>
    <w:p>
      <w:pPr>
        <w:tabs>
          <w:tab w:val="left" w:pos="6510"/>
        </w:tabs>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法定代表人/主要负责人：</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 xml:space="preserve">  </w:t>
      </w:r>
    </w:p>
    <w:p>
      <w:pPr>
        <w:tabs>
          <w:tab w:val="left" w:pos="6510"/>
        </w:tabs>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rPr>
        <w:t>联系电话：</w:t>
      </w:r>
      <w:r>
        <w:rPr>
          <w:rFonts w:hint="eastAsia" w:ascii="仿宋_GB2312" w:hAnsi="仿宋_GB2312" w:eastAsia="仿宋_GB2312" w:cs="仿宋_GB2312"/>
          <w:szCs w:val="21"/>
          <w:u w:val="dotted"/>
        </w:rPr>
        <w:t xml:space="preserve">                                             </w:t>
      </w:r>
    </w:p>
    <w:p>
      <w:pPr>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rPr>
        <w:t>授权代表：</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联系电话</w:t>
      </w:r>
      <w:r>
        <w:rPr>
          <w:rFonts w:hint="eastAsia" w:ascii="仿宋_GB2312" w:hAnsi="仿宋_GB2312" w:eastAsia="仿宋_GB2312" w:cs="仿宋_GB2312"/>
          <w:szCs w:val="21"/>
          <w:u w:val="dotted"/>
        </w:rPr>
        <w:t xml:space="preserve">：                  </w:t>
      </w:r>
    </w:p>
    <w:p>
      <w:pPr>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rPr>
        <w:t>地     址：</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邮编：</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u w:val="dotted"/>
        </w:rPr>
        <w:t xml:space="preserve">                   </w:t>
      </w:r>
    </w:p>
    <w:p>
      <w:pPr>
        <w:spacing w:line="36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被投诉人1：</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u w:val="single"/>
        </w:rPr>
        <w:t xml:space="preserve">  </w:t>
      </w:r>
    </w:p>
    <w:p>
      <w:pPr>
        <w:spacing w:line="36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地     址：</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邮编：</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u w:val="single"/>
        </w:rPr>
        <w:t xml:space="preserve"> </w:t>
      </w:r>
    </w:p>
    <w:p>
      <w:pPr>
        <w:spacing w:line="36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联系人：</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联系电话：</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u w:val="single"/>
        </w:rPr>
        <w:t xml:space="preserve"> </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被投诉人2</w:t>
      </w:r>
    </w:p>
    <w:p>
      <w:pPr>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rPr>
        <w:t>……</w:t>
      </w:r>
    </w:p>
    <w:p>
      <w:pPr>
        <w:spacing w:line="36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相关供应商：</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u w:val="single"/>
        </w:rPr>
        <w:t xml:space="preserve">    </w:t>
      </w:r>
    </w:p>
    <w:p>
      <w:pPr>
        <w:spacing w:line="36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地     址：</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邮编：</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u w:val="single"/>
        </w:rPr>
        <w:t xml:space="preserve"> </w:t>
      </w:r>
    </w:p>
    <w:p>
      <w:pPr>
        <w:spacing w:line="36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联系人：</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联系电话：</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u w:val="single"/>
        </w:rPr>
        <w:t xml:space="preserve">      </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二、投诉项目基本情况</w:t>
      </w:r>
    </w:p>
    <w:p>
      <w:pPr>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rPr>
        <w:t>采购项目名称：</w:t>
      </w:r>
      <w:r>
        <w:rPr>
          <w:rFonts w:hint="eastAsia" w:ascii="仿宋_GB2312" w:hAnsi="仿宋_GB2312" w:eastAsia="仿宋_GB2312" w:cs="仿宋_GB2312"/>
          <w:szCs w:val="21"/>
          <w:u w:val="dotted"/>
        </w:rPr>
        <w:t xml:space="preserve">                                        </w:t>
      </w:r>
    </w:p>
    <w:p>
      <w:pPr>
        <w:spacing w:line="36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采购项目编号：</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标段号：</w:t>
      </w:r>
      <w:r>
        <w:rPr>
          <w:rFonts w:hint="eastAsia" w:ascii="仿宋_GB2312" w:hAnsi="仿宋_GB2312" w:eastAsia="仿宋_GB2312" w:cs="仿宋_GB2312"/>
          <w:szCs w:val="21"/>
          <w:u w:val="dotted"/>
        </w:rPr>
        <w:t xml:space="preserve">              </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采购人名称：</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u w:val="single"/>
        </w:rPr>
        <w:t xml:space="preserve">  </w:t>
      </w:r>
    </w:p>
    <w:p>
      <w:pPr>
        <w:spacing w:line="36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代理机构名称：</w:t>
      </w:r>
      <w:r>
        <w:rPr>
          <w:rFonts w:hint="eastAsia" w:ascii="仿宋_GB2312" w:hAnsi="仿宋_GB2312" w:eastAsia="仿宋_GB2312" w:cs="仿宋_GB2312"/>
          <w:szCs w:val="21"/>
          <w:u w:val="dotted"/>
        </w:rPr>
        <w:t xml:space="preserve">                                         </w:t>
      </w:r>
    </w:p>
    <w:p>
      <w:pPr>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rPr>
        <w:t>采购文件公告:</w:t>
      </w:r>
      <w:r>
        <w:rPr>
          <w:rFonts w:hint="eastAsia" w:ascii="仿宋_GB2312" w:hAnsi="仿宋_GB2312" w:eastAsia="仿宋_GB2312" w:cs="仿宋_GB2312"/>
          <w:szCs w:val="21"/>
          <w:u w:val="dotted"/>
        </w:rPr>
        <w:t xml:space="preserve">是/否 </w:t>
      </w:r>
      <w:r>
        <w:rPr>
          <w:rFonts w:hint="eastAsia" w:ascii="仿宋_GB2312" w:hAnsi="仿宋_GB2312" w:eastAsia="仿宋_GB2312" w:cs="仿宋_GB2312"/>
          <w:szCs w:val="21"/>
        </w:rPr>
        <w:t>公告期限：</w:t>
      </w:r>
      <w:r>
        <w:rPr>
          <w:rFonts w:hint="eastAsia" w:ascii="仿宋_GB2312" w:hAnsi="仿宋_GB2312" w:eastAsia="仿宋_GB2312" w:cs="仿宋_GB2312"/>
          <w:szCs w:val="21"/>
          <w:u w:val="dotted"/>
        </w:rPr>
        <w:t xml:space="preserve">                                 </w:t>
      </w:r>
    </w:p>
    <w:p>
      <w:pPr>
        <w:spacing w:line="36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采购结果公告:</w:t>
      </w:r>
      <w:r>
        <w:rPr>
          <w:rFonts w:hint="eastAsia" w:ascii="仿宋_GB2312" w:hAnsi="仿宋_GB2312" w:eastAsia="仿宋_GB2312" w:cs="仿宋_GB2312"/>
          <w:szCs w:val="21"/>
          <w:u w:val="dotted"/>
        </w:rPr>
        <w:t xml:space="preserve">是/否 </w:t>
      </w:r>
      <w:r>
        <w:rPr>
          <w:rFonts w:hint="eastAsia" w:ascii="仿宋_GB2312" w:hAnsi="仿宋_GB2312" w:eastAsia="仿宋_GB2312" w:cs="仿宋_GB2312"/>
          <w:szCs w:val="21"/>
        </w:rPr>
        <w:t>公告期限：</w:t>
      </w:r>
      <w:r>
        <w:rPr>
          <w:rFonts w:hint="eastAsia" w:ascii="仿宋_GB2312" w:hAnsi="仿宋_GB2312" w:eastAsia="仿宋_GB2312" w:cs="仿宋_GB2312"/>
          <w:szCs w:val="21"/>
          <w:u w:val="dotted"/>
        </w:rPr>
        <w:t xml:space="preserve">                        </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三、质疑基本情况</w:t>
      </w:r>
    </w:p>
    <w:p>
      <w:pPr>
        <w:spacing w:line="360" w:lineRule="auto"/>
        <w:ind w:firstLine="420" w:firstLineChars="200"/>
        <w:rPr>
          <w:rFonts w:hint="eastAsia" w:ascii="仿宋_GB2312" w:hAnsi="仿宋_GB2312" w:eastAsia="仿宋_GB2312" w:cs="仿宋_GB2312"/>
          <w:szCs w:val="21"/>
          <w:u w:val="dotted"/>
        </w:rPr>
      </w:pPr>
      <w:r>
        <w:rPr>
          <w:rFonts w:hint="eastAsia" w:ascii="仿宋_GB2312" w:hAnsi="仿宋_GB2312" w:eastAsia="仿宋_GB2312" w:cs="仿宋_GB2312"/>
          <w:szCs w:val="21"/>
        </w:rPr>
        <w:t>投诉人于</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月</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日,向</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提出质疑，质疑事项为：</w:t>
      </w:r>
      <w:r>
        <w:rPr>
          <w:rFonts w:hint="eastAsia" w:ascii="仿宋_GB2312" w:hAnsi="仿宋_GB2312" w:eastAsia="仿宋_GB2312" w:cs="仿宋_GB2312"/>
          <w:szCs w:val="21"/>
          <w:u w:val="dotted"/>
        </w:rPr>
        <w:t xml:space="preserve">                                </w:t>
      </w:r>
    </w:p>
    <w:p>
      <w:pPr>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 xml:space="preserve">  </w:t>
      </w:r>
    </w:p>
    <w:p>
      <w:pPr>
        <w:spacing w:line="360" w:lineRule="auto"/>
        <w:ind w:firstLine="315" w:firstLineChars="150"/>
        <w:rPr>
          <w:rFonts w:hint="eastAsia" w:ascii="仿宋_GB2312" w:hAnsi="仿宋_GB2312" w:eastAsia="仿宋_GB2312" w:cs="仿宋_GB2312"/>
          <w:szCs w:val="21"/>
        </w:rPr>
      </w:pPr>
      <w:r>
        <w:rPr>
          <w:rFonts w:hint="eastAsia" w:ascii="仿宋_GB2312" w:hAnsi="仿宋_GB2312" w:eastAsia="仿宋_GB2312" w:cs="仿宋_GB2312"/>
          <w:szCs w:val="21"/>
          <w:u w:val="dotted"/>
        </w:rPr>
        <w:t>采购人/代理机构</w:t>
      </w:r>
      <w:r>
        <w:rPr>
          <w:rFonts w:hint="eastAsia" w:ascii="仿宋_GB2312" w:hAnsi="仿宋_GB2312" w:eastAsia="仿宋_GB2312" w:cs="仿宋_GB2312"/>
          <w:szCs w:val="21"/>
        </w:rPr>
        <w:t>于</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月</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日,就质疑事项作出了答复/没有在法定期限内作出答复。</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四、投诉事项具体内容</w:t>
      </w:r>
    </w:p>
    <w:p>
      <w:pPr>
        <w:spacing w:line="36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投诉事项 1：</w:t>
      </w:r>
      <w:r>
        <w:rPr>
          <w:rFonts w:hint="eastAsia" w:ascii="仿宋_GB2312" w:hAnsi="仿宋_GB2312" w:eastAsia="仿宋_GB2312" w:cs="仿宋_GB2312"/>
          <w:szCs w:val="21"/>
          <w:u w:val="dotted"/>
        </w:rPr>
        <w:t xml:space="preserve">                                       </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事实依据：</w:t>
      </w:r>
      <w:r>
        <w:rPr>
          <w:rFonts w:hint="eastAsia" w:ascii="仿宋_GB2312" w:hAnsi="仿宋_GB2312" w:eastAsia="仿宋_GB2312" w:cs="仿宋_GB2312"/>
          <w:szCs w:val="21"/>
          <w:u w:val="dotted"/>
        </w:rPr>
        <w:t xml:space="preserve">                                         </w:t>
      </w:r>
    </w:p>
    <w:p>
      <w:pPr>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u w:val="dotted"/>
        </w:rPr>
        <w:t xml:space="preserve">                                                      </w:t>
      </w:r>
    </w:p>
    <w:p>
      <w:pPr>
        <w:spacing w:line="36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法律依据：</w:t>
      </w:r>
      <w:r>
        <w:rPr>
          <w:rFonts w:hint="eastAsia" w:ascii="仿宋_GB2312" w:hAnsi="仿宋_GB2312" w:eastAsia="仿宋_GB2312" w:cs="仿宋_GB2312"/>
          <w:szCs w:val="21"/>
          <w:u w:val="dotted"/>
        </w:rPr>
        <w:t xml:space="preserve">                                          </w:t>
      </w:r>
    </w:p>
    <w:p>
      <w:pPr>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u w:val="dotted"/>
        </w:rPr>
        <w:t xml:space="preserve">                                                      </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投诉事项2</w:t>
      </w:r>
    </w:p>
    <w:p>
      <w:pPr>
        <w:spacing w:line="360" w:lineRule="auto"/>
        <w:rPr>
          <w:rFonts w:hint="eastAsia" w:ascii="仿宋_GB2312" w:hAnsi="仿宋_GB2312" w:eastAsia="仿宋_GB2312" w:cs="仿宋_GB2312"/>
          <w:szCs w:val="21"/>
          <w:u w:val="dotted"/>
        </w:rPr>
      </w:pPr>
      <w:r>
        <w:rPr>
          <w:rFonts w:hint="eastAsia" w:ascii="仿宋_GB2312" w:hAnsi="仿宋_GB2312" w:eastAsia="仿宋_GB2312" w:cs="仿宋_GB2312"/>
          <w:szCs w:val="21"/>
        </w:rPr>
        <w:t>……</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五、与投诉事项相关的投诉请求</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请求：</w:t>
      </w:r>
      <w:r>
        <w:rPr>
          <w:rFonts w:hint="eastAsia" w:ascii="仿宋_GB2312" w:hAnsi="仿宋_GB2312" w:eastAsia="仿宋_GB2312" w:cs="仿宋_GB2312"/>
          <w:szCs w:val="21"/>
          <w:u w:val="dotted"/>
        </w:rPr>
        <w:t xml:space="preserve">                                              </w:t>
      </w:r>
      <w:r>
        <w:rPr>
          <w:rFonts w:hint="eastAsia" w:ascii="仿宋_GB2312" w:hAnsi="仿宋_GB2312" w:eastAsia="仿宋_GB2312" w:cs="仿宋_GB2312"/>
          <w:szCs w:val="21"/>
        </w:rPr>
        <w:t xml:space="preserve"> </w:t>
      </w:r>
    </w:p>
    <w:p>
      <w:pPr>
        <w:spacing w:line="36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 xml:space="preserve">                                                                                                    </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 xml:space="preserve">签字(签章)：                   公章：                      </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 xml:space="preserve">日期：    </w:t>
      </w:r>
    </w:p>
    <w:p>
      <w:pPr>
        <w:spacing w:line="360" w:lineRule="auto"/>
        <w:rPr>
          <w:rFonts w:hint="eastAsia" w:ascii="仿宋_GB2312" w:hAnsi="仿宋_GB2312" w:eastAsia="仿宋_GB2312" w:cs="仿宋_GB2312"/>
          <w:b/>
          <w:szCs w:val="21"/>
        </w:rPr>
      </w:pPr>
    </w:p>
    <w:p>
      <w:pPr>
        <w:spacing w:line="360" w:lineRule="auto"/>
        <w:rPr>
          <w:rFonts w:hint="eastAsia" w:ascii="仿宋_GB2312" w:hAnsi="仿宋_GB2312" w:eastAsia="仿宋_GB2312" w:cs="仿宋_GB2312"/>
          <w:b/>
          <w:szCs w:val="21"/>
        </w:rPr>
      </w:pPr>
    </w:p>
    <w:p>
      <w:pPr>
        <w:spacing w:line="360" w:lineRule="auto"/>
        <w:rPr>
          <w:rFonts w:hint="eastAsia" w:ascii="仿宋_GB2312" w:hAnsi="仿宋_GB2312" w:eastAsia="仿宋_GB2312" w:cs="仿宋_GB2312"/>
          <w:b/>
          <w:szCs w:val="21"/>
        </w:rPr>
      </w:pPr>
    </w:p>
    <w:p>
      <w:pPr>
        <w:spacing w:line="360" w:lineRule="auto"/>
        <w:rPr>
          <w:rFonts w:hint="eastAsia" w:ascii="仿宋_GB2312" w:hAnsi="仿宋_GB2312" w:eastAsia="仿宋_GB2312" w:cs="仿宋_GB2312"/>
          <w:b/>
          <w:szCs w:val="21"/>
        </w:rPr>
      </w:pPr>
    </w:p>
    <w:p>
      <w:pPr>
        <w:spacing w:line="360" w:lineRule="auto"/>
        <w:rPr>
          <w:rFonts w:hint="eastAsia" w:ascii="仿宋_GB2312" w:hAnsi="仿宋_GB2312" w:eastAsia="仿宋_GB2312" w:cs="仿宋_GB2312"/>
          <w:b/>
          <w:szCs w:val="21"/>
        </w:rPr>
      </w:pPr>
    </w:p>
    <w:p>
      <w:pPr>
        <w:spacing w:line="360" w:lineRule="auto"/>
        <w:rPr>
          <w:rFonts w:hint="eastAsia" w:ascii="仿宋_GB2312" w:hAnsi="仿宋_GB2312" w:eastAsia="仿宋_GB2312" w:cs="仿宋_GB2312"/>
          <w:b/>
          <w:szCs w:val="21"/>
        </w:rPr>
      </w:pPr>
    </w:p>
    <w:p>
      <w:pPr>
        <w:spacing w:line="360" w:lineRule="auto"/>
        <w:rPr>
          <w:rFonts w:hint="eastAsia" w:ascii="仿宋_GB2312" w:hAnsi="仿宋_GB2312" w:eastAsia="仿宋_GB2312" w:cs="仿宋_GB2312"/>
          <w:b/>
          <w:szCs w:val="21"/>
        </w:rPr>
      </w:pPr>
      <w:r>
        <w:rPr>
          <w:rFonts w:hint="eastAsia" w:ascii="仿宋_GB2312" w:hAnsi="仿宋_GB2312" w:eastAsia="仿宋_GB2312" w:cs="仿宋_GB2312"/>
          <w:b/>
          <w:szCs w:val="21"/>
        </w:rPr>
        <w:t>投诉书制作说明：</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1.投诉人提起投诉时，应当提交投诉书和必要的证明材料，并按照被投诉人和与投诉事项有关的供应商数量提供投诉书副本。</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2.投诉人若委托代理人进行投诉的，投诉书应按照要求列明“授权代表”的有关内容，并在附件中提交由投诉人签署的授权委托书。授权委托书应当载明代理人的姓名或者名称、代理事项、具体权限、期限和相关事项。</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3.投诉人若对项目的某一分包进行投诉，投诉书应列明具体分包号。</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4.投诉书应简要列明质疑事项，质疑函、质疑答复等作为附件材料提供。</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5.投诉书的投诉事项应具体、明确，并有必要的事实依据和法律依据。</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6.投诉书的投诉请求应与投诉事项相关。</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7.投诉人为自然人的，投诉书应当由本人签字；投诉人为法人或者其他组织的，投诉书应当由法定代表人、主要负责人，或者其授权代表签字或者盖章，并加盖公章。</w:t>
      </w:r>
    </w:p>
    <w:p>
      <w:pPr>
        <w:rPr>
          <w:rFonts w:hint="eastAsia" w:ascii="仿宋_GB2312" w:hAnsi="仿宋_GB2312" w:eastAsia="仿宋_GB2312" w:cs="仿宋_GB2312"/>
          <w:szCs w:val="21"/>
        </w:rPr>
      </w:pPr>
      <w:r>
        <w:rPr>
          <w:rFonts w:hint="eastAsia" w:ascii="仿宋_GB2312" w:hAnsi="仿宋_GB2312" w:eastAsia="仿宋_GB2312" w:cs="仿宋_GB2312"/>
          <w:szCs w:val="21"/>
        </w:rPr>
        <w:br w:type="page"/>
      </w:r>
    </w:p>
    <w:p>
      <w:pPr>
        <w:pStyle w:val="3"/>
        <w:jc w:val="center"/>
        <w:rPr>
          <w:rFonts w:hint="eastAsia" w:ascii="仿宋_GB2312" w:hAnsi="仿宋_GB2312" w:eastAsia="仿宋_GB2312" w:cs="仿宋_GB2312"/>
          <w:b w:val="0"/>
          <w:bCs w:val="0"/>
          <w:i/>
          <w:iCs/>
          <w:szCs w:val="48"/>
        </w:rPr>
      </w:pPr>
      <w:bookmarkStart w:id="157" w:name="_Toc17208"/>
      <w:r>
        <w:rPr>
          <w:rFonts w:hint="eastAsia" w:ascii="仿宋_GB2312" w:hAnsi="仿宋_GB2312" w:eastAsia="仿宋_GB2312" w:cs="仿宋_GB2312"/>
          <w:szCs w:val="48"/>
        </w:rPr>
        <w:t>第四章</w:t>
      </w:r>
      <w:bookmarkEnd w:id="157"/>
      <w:r>
        <w:rPr>
          <w:rFonts w:hint="eastAsia" w:ascii="仿宋_GB2312" w:hAnsi="仿宋_GB2312" w:eastAsia="仿宋_GB2312" w:cs="仿宋_GB2312"/>
          <w:szCs w:val="48"/>
        </w:rPr>
        <w:t xml:space="preserve"> 合同条款资料表</w:t>
      </w:r>
    </w:p>
    <w:tbl>
      <w:tblPr>
        <w:tblStyle w:val="25"/>
        <w:tblW w:w="92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0"/>
        <w:gridCol w:w="82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tcPr>
          <w:p>
            <w:pPr>
              <w:tabs>
                <w:tab w:val="left" w:pos="840"/>
              </w:tabs>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8228" w:type="dxa"/>
          </w:tcPr>
          <w:p>
            <w:pPr>
              <w:tabs>
                <w:tab w:val="left" w:pos="840"/>
              </w:tabs>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2" w:hRule="atLeast"/>
          <w:jc w:val="center"/>
        </w:trPr>
        <w:tc>
          <w:tcPr>
            <w:tcW w:w="1060" w:type="dxa"/>
            <w:vAlign w:val="center"/>
          </w:tcPr>
          <w:p>
            <w:pPr>
              <w:tabs>
                <w:tab w:val="left" w:pos="840"/>
              </w:tabs>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8228" w:type="dxa"/>
          </w:tcPr>
          <w:p>
            <w:pPr>
              <w:spacing w:after="156" w:afterLines="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报价：本项目采用总价包干制，该报价包含完成本项目的人力成本、设备成本、管理费、检测费用、专家评审劳务费（如有）、差旅费、交通费、利润、税金等其他费用，即完成本项目并提交最终成果所需的全部费用。甲方不另行向乙方或第三方支付其他费用。乙方漏报或不报，甲方将视为该漏报或不报部分的费用已包括在响应报价中而不另支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060" w:type="dxa"/>
            <w:vAlign w:val="center"/>
          </w:tcPr>
          <w:p>
            <w:pPr>
              <w:tabs>
                <w:tab w:val="left" w:pos="840"/>
              </w:tabs>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8228" w:type="dxa"/>
          </w:tcPr>
          <w:p>
            <w:pPr>
              <w:pStyle w:val="20"/>
              <w:spacing w:before="120" w:after="120" w:line="300" w:lineRule="auto"/>
              <w:rPr>
                <w:rFonts w:hint="eastAsia" w:ascii="仿宋_GB2312" w:hAnsi="仿宋_GB2312" w:eastAsia="仿宋_GB2312" w:cs="仿宋_GB2312"/>
              </w:rPr>
            </w:pPr>
            <w:r>
              <w:rPr>
                <w:rFonts w:hint="eastAsia" w:ascii="仿宋_GB2312" w:hAnsi="仿宋_GB2312" w:eastAsia="仿宋_GB2312" w:cs="仿宋_GB2312"/>
              </w:rPr>
              <w:t>服务期限：自合同签订之日起1年内完成。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060" w:type="dxa"/>
            <w:vAlign w:val="center"/>
          </w:tcPr>
          <w:p>
            <w:pPr>
              <w:spacing w:after="156" w:afterLines="50" w:line="240" w:lineRule="auto"/>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p>
        </w:tc>
        <w:tc>
          <w:tcPr>
            <w:tcW w:w="8228" w:type="dxa"/>
          </w:tcPr>
          <w:p>
            <w:pPr>
              <w:spacing w:after="156" w:afterLines="50"/>
              <w:ind w:left="0" w:leftChars="0"/>
              <w:rPr>
                <w:rFonts w:hint="eastAsia" w:ascii="仿宋_GB2312" w:hAnsi="仿宋_GB2312" w:eastAsia="仿宋_GB2312" w:cs="仿宋_GB2312"/>
                <w:sz w:val="24"/>
                <w:szCs w:val="24"/>
              </w:rPr>
            </w:pPr>
            <w:r>
              <w:rPr>
                <w:rFonts w:hint="eastAsia" w:ascii="仿宋_GB2312" w:hAnsi="仿宋_GB2312" w:eastAsia="仿宋_GB2312" w:cs="仿宋_GB2312"/>
                <w:bCs w:val="0"/>
                <w:sz w:val="24"/>
                <w:szCs w:val="24"/>
              </w:rPr>
              <w:t>服务内容及要求：</w:t>
            </w:r>
            <w:r>
              <w:rPr>
                <w:rFonts w:hint="eastAsia" w:ascii="仿宋_GB2312" w:hAnsi="仿宋_GB2312" w:eastAsia="仿宋_GB2312" w:cs="仿宋_GB2312"/>
                <w:b w:val="0"/>
                <w:bCs w:val="0"/>
                <w:sz w:val="24"/>
                <w:szCs w:val="24"/>
                <w:shd w:val="clear"/>
                <w:lang w:val="en-US" w:eastAsia="zh-CN"/>
              </w:rPr>
              <w:t>详见用户需求书。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060" w:type="dxa"/>
            <w:vAlign w:val="center"/>
          </w:tcPr>
          <w:p>
            <w:pPr>
              <w:tabs>
                <w:tab w:val="left" w:pos="840"/>
              </w:tabs>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8228" w:type="dxa"/>
          </w:tcPr>
          <w:p>
            <w:pPr>
              <w:spacing w:after="156" w:afterLines="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付款方式：</w:t>
            </w:r>
          </w:p>
          <w:p>
            <w:pPr>
              <w:spacing w:after="156" w:afterLines="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1、第一次支付比例60%,乙方签订合同后5个工作日内，甲方向乙方支付合同总价款的60%。</w:t>
            </w:r>
          </w:p>
          <w:p>
            <w:pPr>
              <w:spacing w:after="156" w:afterLines="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2、本合同全部履约完成，且所有服务成果经甲方验收通过后，甲方对乙方合同期服务进行考核评价，并按照考核评价结果进行项目结算。甲方在完成项目结算后15日内支付合同尾款。具体结算原则如下：</w:t>
            </w:r>
          </w:p>
          <w:p>
            <w:pPr>
              <w:spacing w:after="156" w:afterLines="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r>
              <w:rPr>
                <w:rFonts w:hint="eastAsia" w:ascii="仿宋_GB2312" w:hAnsi="仿宋_GB2312" w:eastAsia="仿宋_GB2312" w:cs="仿宋_GB2312"/>
                <w:bCs/>
                <w:kern w:val="2"/>
                <w:sz w:val="24"/>
                <w:szCs w:val="24"/>
              </w:rPr>
              <w:t>若乙方服务考核评价达到优秀，则按合同总价款的100%进行结算；</w:t>
            </w:r>
            <w:r>
              <w:rPr>
                <w:rFonts w:hint="eastAsia" w:ascii="仿宋_GB2312" w:hAnsi="仿宋_GB2312" w:eastAsia="仿宋_GB2312" w:cs="仿宋_GB2312"/>
                <w:sz w:val="24"/>
                <w:szCs w:val="24"/>
              </w:rPr>
              <w:t>若乙方服务考核评价达到良好，则按</w:t>
            </w:r>
            <w:r>
              <w:rPr>
                <w:rFonts w:hint="eastAsia" w:ascii="仿宋_GB2312" w:hAnsi="仿宋_GB2312" w:eastAsia="仿宋_GB2312" w:cs="仿宋_GB2312"/>
                <w:bCs/>
                <w:kern w:val="2"/>
                <w:sz w:val="24"/>
                <w:szCs w:val="24"/>
              </w:rPr>
              <w:t>合同总价款</w:t>
            </w:r>
            <w:r>
              <w:rPr>
                <w:rFonts w:hint="eastAsia" w:ascii="仿宋_GB2312" w:hAnsi="仿宋_GB2312" w:eastAsia="仿宋_GB2312" w:cs="仿宋_GB2312"/>
                <w:sz w:val="24"/>
                <w:szCs w:val="24"/>
              </w:rPr>
              <w:t>的98%进行结算；若服务考核评价合格，则按</w:t>
            </w:r>
            <w:r>
              <w:rPr>
                <w:rFonts w:hint="eastAsia" w:ascii="仿宋_GB2312" w:hAnsi="仿宋_GB2312" w:eastAsia="仿宋_GB2312" w:cs="仿宋_GB2312"/>
                <w:bCs/>
                <w:kern w:val="2"/>
                <w:sz w:val="24"/>
                <w:szCs w:val="24"/>
              </w:rPr>
              <w:t>合同总价款</w:t>
            </w:r>
            <w:r>
              <w:rPr>
                <w:rFonts w:hint="eastAsia" w:ascii="仿宋_GB2312" w:hAnsi="仿宋_GB2312" w:eastAsia="仿宋_GB2312" w:cs="仿宋_GB2312"/>
                <w:sz w:val="24"/>
                <w:szCs w:val="24"/>
              </w:rPr>
              <w:t>的95%进行结算；若服务考核评价不合格，则按</w:t>
            </w:r>
            <w:r>
              <w:rPr>
                <w:rFonts w:hint="eastAsia" w:ascii="仿宋_GB2312" w:hAnsi="仿宋_GB2312" w:eastAsia="仿宋_GB2312" w:cs="仿宋_GB2312"/>
                <w:bCs/>
                <w:kern w:val="2"/>
                <w:sz w:val="24"/>
                <w:szCs w:val="24"/>
              </w:rPr>
              <w:t>合同总价款</w:t>
            </w:r>
            <w:r>
              <w:rPr>
                <w:rFonts w:hint="eastAsia" w:ascii="仿宋_GB2312" w:hAnsi="仿宋_GB2312" w:eastAsia="仿宋_GB2312" w:cs="仿宋_GB2312"/>
                <w:sz w:val="24"/>
                <w:szCs w:val="24"/>
              </w:rPr>
              <w:t>的90%进行结算。</w:t>
            </w:r>
          </w:p>
          <w:p>
            <w:pPr>
              <w:spacing w:after="156" w:afterLines="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（2）合同尾款=项目合同金额*考核评价的百分比-已支付的费用-违约金（如有）。 </w:t>
            </w:r>
          </w:p>
          <w:p>
            <w:pPr>
              <w:spacing w:after="156" w:afterLines="5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注：1、乙方凭以下有效文件与甲方结算： （1）合同； （2）乙方开具的符合甲方要求的正式发票； （3）考核表及相关资料； （4）成交通知书。 </w:t>
            </w:r>
          </w:p>
          <w:p>
            <w:pPr>
              <w:pStyle w:val="2"/>
              <w:ind w:left="0" w:leftChars="0"/>
            </w:pPr>
            <w:r>
              <w:rPr>
                <w:rFonts w:hint="eastAsia" w:ascii="仿宋_GB2312" w:hAnsi="仿宋_GB2312" w:eastAsia="仿宋_GB2312" w:cs="仿宋_GB2312"/>
                <w:sz w:val="24"/>
                <w:szCs w:val="24"/>
              </w:rPr>
              <w:t>2、每次支付款前，乙方应及时向甲方提供相应金额的正式发票，并对其真实性、合法性负责，若乙方提供的不合规的发票给甲方带来损失，相应责任由乙方承担。</w:t>
            </w:r>
          </w:p>
          <w:p>
            <w:pPr>
              <w:spacing w:after="156" w:afterLines="50"/>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60" w:type="dxa"/>
            <w:vAlign w:val="center"/>
          </w:tcPr>
          <w:p>
            <w:pPr>
              <w:tabs>
                <w:tab w:val="left" w:pos="840"/>
              </w:tabs>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8228" w:type="dxa"/>
          </w:tcPr>
          <w:p>
            <w:pPr>
              <w:adjustRightInd w:val="0"/>
              <w:snapToGrid w:val="0"/>
              <w:spacing w:line="360" w:lineRule="auto"/>
              <w:ind w:firstLine="0" w:firstLineChars="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验收要求：</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1、按照磋商文件规定进行验收。</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2、乙方须按磋商文件要求递交服务成果文件。质量验收标准制定须组织专家评审论证。</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 xml:space="preserve">3、验收方式：乙方按磋商文件及合同约定完成所有工作后，应向甲方提供相关资料及验收申请；所有服务成果经甲方验收通过后，甲方于7日内结合服务期内乙方的履约情况按照《横琴粤澳深度合作区城市规划和建设局建设工程桩基施工过程质量数据采集分析第三方技术支撑服务项目考核表》（详见附件）进行服务考核评价。 </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4、验收标准：按《横琴粤澳深度合作区城市规划和建设局建设工程桩基施工过程质量数据采集分析第三方技术支撑服务项目考核表》要求进行验收。</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5、服务考核评价</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服务考核评价分为优秀（90分（不含）以上）、良好（80分（不含）-90分）、合格（70分（不含）-80分）和不合格（70分（含）以下）。乙方服务考核评分结果与结算费用相挂钩，若服务考核评价达到优秀，则按项目合同金额的100%进行结算；若服务考核评价达到良好，则按项目合同金额的98%进行结算；若服务考核评价合格，则按项目合同金额的95%进行结算；若服务考核评价不合格，则按项目合同金额的90%进行结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60" w:type="dxa"/>
            <w:vAlign w:val="center"/>
          </w:tcPr>
          <w:p>
            <w:pPr>
              <w:tabs>
                <w:tab w:val="left" w:pos="840"/>
              </w:tabs>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8228" w:type="dxa"/>
          </w:tcPr>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双方的权利和义务：</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（一）甲方权利和义务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（1）指定相对固定人员为本项目的总负责人，代表甲方与乙方接洽并负责本工作内容的决策、协调、发出指令和接收乙方的报告。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（2）提供必要的咨询服务的技术资料。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（3）根据合同约定的相关条款，按时支付乙方服务费用。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（4）为乙方咨询服务工作条件提供必要的便利。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（5）甲方对桩基检测项目研究过程的决策、控制、实施等环节实行全面管理，协调和监督项目工作开展，控制项目工作过程，进行项目成果验收。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（6）检查乙方项目人员到位情况，如因人力、能力不足致使项目工作不能按计划完成时，可要求乙方增加或替换相应的技术人员，直至甲方认可，乙方不得拒绝。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（7）甲方有权向乙方询问项目工作进展及相关情况，并要求乙方在指定时间内作出答复。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（8）甲方有权对乙方提交的阶段性成果、最终成果等相关工作文件进行审核并提出修改意见。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（9）甲方认为乙方工作人员未按照合同要求履行职责，有权要求乙方限期更换人员。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（10）甲方对乙方在委托权限范围内完成委托事项有指导、监督权利。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（11）甲方应将项目所需相关档案资料、信息数据等移交给乙方，乙方应予签收。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（12）甲方对乙方按照合同约定所履行的服务提供必要的支持与协助。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（二）乙方的权利与义务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（1）乙方所提供的服务应符合国家的有关法律、法规和行业标准的规定。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（2）乙方应保证组建一支由具有丰富的桩基检测管理能力和经验的工作人员所组成的工作团队；乙方应保证团队人员的稳定性，因特殊原因需临时替换或变更人员时，应征得甲方代表的同意。</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（3）乙方应委派固定的有丰富项目管理经验人员作为项目总负责人，代表乙方对本服务工作负责，并接受和贯彻甲方的指示，按时向甲方呈交成果报告。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（4）乙方所提供的建议、请示、报告和通知均应采用书面形式。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（5）乙方应独立完成服务工作，不得接受被服务项目单位的礼品馈赠、宴请及其它不当利益。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（6）乙方应按照合同的内容和要求完成各项服务。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（7）乙方应充分了解甲方意图和思路，认真研讨工作方案，开展各项工作。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（8）乙方应充分协调内部资源，保证工作质量。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（9）乙方应积极为甲方的日常任务和专项工作提供技术支持。 </w:t>
            </w:r>
          </w:p>
          <w:p>
            <w:pPr>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（10）乙方有权根据合同约定收取相应的服务费。 </w:t>
            </w:r>
          </w:p>
          <w:p>
            <w:pPr>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2"/>
                <w:sz w:val="24"/>
                <w:szCs w:val="24"/>
              </w:rPr>
              <w:t>（11）甲方需要乙方配合的工作（包括但不限于与检测相关其它工作需求）乙方需积极配合。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0" w:type="dxa"/>
            <w:tcBorders>
              <w:top w:val="single" w:color="auto" w:sz="4" w:space="0"/>
              <w:left w:val="single" w:color="auto" w:sz="4" w:space="0"/>
              <w:bottom w:val="single" w:color="auto" w:sz="4" w:space="0"/>
              <w:right w:val="single" w:color="auto" w:sz="4" w:space="0"/>
            </w:tcBorders>
            <w:vAlign w:val="center"/>
          </w:tcPr>
          <w:p>
            <w:pPr>
              <w:tabs>
                <w:tab w:val="left" w:pos="840"/>
              </w:tabs>
              <w:spacing w:line="380" w:lineRule="exact"/>
              <w:jc w:val="center"/>
              <w:rPr>
                <w:rFonts w:hint="eastAsia" w:ascii="仿宋_GB2312" w:hAnsi="仿宋_GB2312" w:eastAsia="仿宋_GB2312" w:cs="仿宋_GB2312"/>
                <w:sz w:val="24"/>
                <w:szCs w:val="24"/>
              </w:rPr>
            </w:pPr>
            <w:bookmarkStart w:id="158" w:name="_Toc2326"/>
            <w:bookmarkEnd w:id="158"/>
            <w:r>
              <w:rPr>
                <w:rFonts w:hint="eastAsia" w:ascii="仿宋_GB2312" w:hAnsi="仿宋_GB2312" w:eastAsia="仿宋_GB2312" w:cs="仿宋_GB2312"/>
                <w:sz w:val="24"/>
                <w:szCs w:val="24"/>
              </w:rPr>
              <w:t>7</w:t>
            </w:r>
          </w:p>
        </w:tc>
        <w:tc>
          <w:tcPr>
            <w:tcW w:w="8228" w:type="dxa"/>
            <w:tcBorders>
              <w:top w:val="single" w:color="auto" w:sz="4" w:space="0"/>
              <w:left w:val="single" w:color="auto" w:sz="4" w:space="0"/>
              <w:bottom w:val="single" w:color="auto" w:sz="4" w:space="0"/>
              <w:right w:val="single" w:color="auto" w:sz="4" w:space="0"/>
            </w:tcBorders>
          </w:tcPr>
          <w:p>
            <w:pPr>
              <w:spacing w:line="360" w:lineRule="auto"/>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违约责任</w:t>
            </w:r>
          </w:p>
          <w:p>
            <w:pPr>
              <w:spacing w:line="360" w:lineRule="auto"/>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（一）甲方违约责任 </w:t>
            </w:r>
          </w:p>
          <w:p>
            <w:pPr>
              <w:spacing w:line="360" w:lineRule="auto"/>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甲方未按合同约定的期限向乙方支付合同价款的，乙方书面函告后给予甲方20个工作日的延期付款宽限期，宽限期内不视为甲方违约。宽限期届满，甲方仍未支付的，将自宽限期届满之日起，以逾期支付款项为基数，按全国银行间同业拆借中心公布的1年期贷款市场报价利率(LPR)向乙方支付逾期付款违约金，逾期付款违约金上限为逾期支付金额的10%。乙方不再向甲方主张其他任何违约责任。</w:t>
            </w:r>
          </w:p>
          <w:p>
            <w:pPr>
              <w:spacing w:line="360" w:lineRule="auto"/>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（二）乙方违约责任 </w:t>
            </w:r>
          </w:p>
          <w:p>
            <w:pPr>
              <w:pStyle w:val="23"/>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乙方有以下行为的，甲方有权解除合同，剩余款项不再支付，且要求乙方应于3日内退还已收到的合同款项及归还甲方的全部资料，逾期退还款项或归还资料的，每逾期1天按甲方已支付金额的1‰向甲方支付违约金：     </w:t>
            </w:r>
          </w:p>
          <w:p>
            <w:pPr>
              <w:pStyle w:val="23"/>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（1）串通各参建单位，出具与事实不符的现场评定意见或报告的； </w:t>
            </w:r>
          </w:p>
          <w:p>
            <w:pPr>
              <w:spacing w:line="360" w:lineRule="auto"/>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sz w:val="24"/>
                <w:szCs w:val="24"/>
              </w:rPr>
              <w:t xml:space="preserve">（2）利用本项目业务关系，向相关单位及人员索要或接受礼金、有价证券、贵重物品、好处费、感谢费等的； </w:t>
            </w:r>
          </w:p>
          <w:p>
            <w:pPr>
              <w:spacing w:line="360" w:lineRule="auto"/>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（3）外泄甲方提供的检测相关资料。 </w:t>
            </w:r>
          </w:p>
          <w:p>
            <w:pPr>
              <w:spacing w:line="360" w:lineRule="auto"/>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（4）乙方提供的服务不符合采购文件、投标文件或本项目要求，经发函整改仍不符合要求。 </w:t>
            </w:r>
          </w:p>
          <w:p>
            <w:pPr>
              <w:spacing w:line="360" w:lineRule="auto"/>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2、</w:t>
            </w:r>
            <w:r>
              <w:rPr>
                <w:rFonts w:hint="eastAsia" w:ascii="仿宋_GB2312" w:hAnsi="仿宋_GB2312" w:eastAsia="仿宋_GB2312" w:cs="仿宋_GB2312"/>
                <w:sz w:val="24"/>
                <w:szCs w:val="24"/>
              </w:rPr>
              <w:t>除合同另有约定外，</w:t>
            </w:r>
            <w:r>
              <w:rPr>
                <w:rFonts w:hint="eastAsia" w:ascii="仿宋_GB2312" w:hAnsi="仿宋_GB2312" w:eastAsia="仿宋_GB2312" w:cs="仿宋_GB2312"/>
                <w:color w:val="000000"/>
                <w:kern w:val="2"/>
                <w:sz w:val="24"/>
                <w:szCs w:val="24"/>
              </w:rPr>
              <w:t>乙方未能按合同规定时间完成所有工作并提交成果文件的，每延误一天，甲方有权在尚未支付的合同款项中扣除合同总金额的1‰，最高扣除额不超过合同总金额的10%。</w:t>
            </w:r>
          </w:p>
          <w:p>
            <w:pPr>
              <w:spacing w:line="360" w:lineRule="auto"/>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3、乙方必须在合同约定服务期内，完成检测系统与横琴智慧建设监管平台的数据对接，未按要求对接的</w:t>
            </w:r>
            <w:r>
              <w:rPr>
                <w:rFonts w:hint="eastAsia" w:ascii="仿宋_GB2312" w:hAnsi="仿宋_GB2312" w:eastAsia="仿宋_GB2312" w:cs="仿宋_GB2312"/>
                <w:sz w:val="24"/>
                <w:szCs w:val="24"/>
              </w:rPr>
              <w:t>应向甲方</w:t>
            </w:r>
            <w:r>
              <w:rPr>
                <w:rFonts w:hint="eastAsia" w:ascii="仿宋_GB2312" w:hAnsi="仿宋_GB2312" w:eastAsia="仿宋_GB2312" w:cs="仿宋_GB2312"/>
                <w:color w:val="000000"/>
                <w:kern w:val="2"/>
                <w:sz w:val="24"/>
                <w:szCs w:val="24"/>
              </w:rPr>
              <w:t xml:space="preserve">支付合同总金额10%的违约金。 </w:t>
            </w:r>
          </w:p>
          <w:p>
            <w:pPr>
              <w:spacing w:line="360" w:lineRule="auto"/>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（三）违约方应赔偿守约方包括但不限于实际损失及仲裁费、律师费、保全费、执行费、交通费、调查费等一切损失。 </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color w:val="000000"/>
                <w:kern w:val="2"/>
                <w:sz w:val="24"/>
                <w:szCs w:val="24"/>
              </w:rPr>
              <w:t>（四）乙方其他违约责任按《中华人民共和国民法典》及相关法律法规处理。</w:t>
            </w:r>
          </w:p>
        </w:tc>
      </w:tr>
    </w:tbl>
    <w:p>
      <w:pPr>
        <w:rPr>
          <w:rFonts w:hint="eastAsia" w:ascii="仿宋_GB2312" w:hAnsi="仿宋_GB2312" w:eastAsia="仿宋_GB2312" w:cs="仿宋_GB2312"/>
          <w:szCs w:val="48"/>
        </w:rPr>
      </w:pPr>
      <w:r>
        <w:rPr>
          <w:rFonts w:hint="eastAsia" w:ascii="仿宋_GB2312" w:hAnsi="仿宋_GB2312" w:eastAsia="仿宋_GB2312" w:cs="仿宋_GB2312"/>
          <w:szCs w:val="48"/>
        </w:rPr>
        <w:br w:type="page"/>
      </w:r>
    </w:p>
    <w:p>
      <w:pPr>
        <w:pStyle w:val="3"/>
        <w:jc w:val="center"/>
        <w:rPr>
          <w:rFonts w:hint="eastAsia" w:ascii="仿宋_GB2312" w:hAnsi="仿宋_GB2312" w:eastAsia="仿宋_GB2312" w:cs="仿宋_GB2312"/>
          <w:szCs w:val="48"/>
        </w:rPr>
      </w:pPr>
      <w:r>
        <w:rPr>
          <w:rFonts w:hint="eastAsia" w:ascii="仿宋_GB2312" w:hAnsi="仿宋_GB2312" w:eastAsia="仿宋_GB2312" w:cs="仿宋_GB2312"/>
          <w:szCs w:val="48"/>
        </w:rPr>
        <w:t>第五章  用户需求书</w:t>
      </w:r>
    </w:p>
    <w:p>
      <w:pPr>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一、项目概况</w:t>
      </w:r>
    </w:p>
    <w:p>
      <w:pPr>
        <w:ind w:firstLine="560" w:firstLineChars="200"/>
        <w:rPr>
          <w:rFonts w:hint="eastAsia" w:asciiTheme="minorEastAsia" w:hAnsiTheme="minorEastAsia" w:cstheme="minorEastAsia"/>
          <w:sz w:val="28"/>
          <w:szCs w:val="28"/>
          <w:shd w:val="clear" w:color="auto" w:fill="FFFFFF"/>
        </w:rPr>
      </w:pPr>
      <w:r>
        <w:rPr>
          <w:rFonts w:hint="eastAsia" w:asciiTheme="minorEastAsia" w:hAnsiTheme="minorEastAsia" w:cstheme="minorEastAsia"/>
          <w:sz w:val="28"/>
          <w:szCs w:val="28"/>
        </w:rPr>
        <w:t>为解决横琴地质复杂性带来的桩基施工难题，提升合作区桩基工程监管水平，基于建设工程现状及科学技术的发展情况，通过监测仪器设备获取基桩施工过程数据，分析预警异常数据，强化施工过程的事前、事中质量控制效果，减少成桩后质量检测不合格的问题发生。本项目旨在梳理基桩从施工准备、施工过程、施工验收等流程的质量控制参数，建立具有实践意义的基桩质量管理标准。结合基桩现有的施工监测、检测技术，对合作区部分工程项目的基桩施工质量数据进行收集，对标基桩技术规范进行数据分析，在事前、事中预警基桩施工存在的质量隐患，减少桩基工程质量问题发生。</w:t>
      </w:r>
    </w:p>
    <w:p>
      <w:pPr>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二、服务内容及要求</w:t>
      </w:r>
    </w:p>
    <w:p>
      <w:pPr>
        <w:rPr>
          <w:rStyle w:val="27"/>
          <w:rFonts w:hint="eastAsia" w:asciiTheme="minorEastAsia" w:hAnsiTheme="minorEastAsia" w:cstheme="minorEastAsia"/>
          <w:bCs/>
          <w:sz w:val="28"/>
          <w:szCs w:val="28"/>
          <w:shd w:val="clear" w:color="auto" w:fill="FFFFFF"/>
        </w:rPr>
      </w:pPr>
      <w:r>
        <w:rPr>
          <w:rStyle w:val="27"/>
          <w:rFonts w:hint="eastAsia" w:asciiTheme="minorEastAsia" w:hAnsiTheme="minorEastAsia" w:cstheme="minorEastAsia"/>
          <w:bCs/>
          <w:sz w:val="28"/>
          <w:szCs w:val="28"/>
          <w:shd w:val="clear" w:color="auto" w:fill="FFFFFF"/>
        </w:rPr>
        <w:t>（一）三种桩型全施工周期的数据采集、分析、预警，以及建立基桩质量管理标准（包括：水泥搅拌桩、预制管桩、灌注桩）</w:t>
      </w:r>
    </w:p>
    <w:p>
      <w:pPr>
        <w:numPr>
          <w:ilvl w:val="0"/>
          <w:numId w:val="5"/>
        </w:numPr>
        <w:rPr>
          <w:rStyle w:val="27"/>
          <w:rFonts w:hint="eastAsia" w:asciiTheme="minorEastAsia" w:hAnsi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信息采集分析内容</w:t>
      </w:r>
    </w:p>
    <w:p>
      <w:pPr>
        <w:pStyle w:val="2"/>
        <w:ind w:left="0" w:leftChars="0" w:firstLine="560" w:firstLineChars="200"/>
        <w:rPr>
          <w:rStyle w:val="27"/>
          <w:rFonts w:hint="eastAsia" w:asciiTheme="minorEastAsia" w:hAnsi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在服务期内收集合作区部分在建项目三种桩型的全施工周期数据，作为数据分析的基础。</w:t>
      </w:r>
    </w:p>
    <w:p>
      <w:pPr>
        <w:numPr>
          <w:ilvl w:val="0"/>
          <w:numId w:val="6"/>
        </w:numPr>
        <w:rPr>
          <w:rStyle w:val="27"/>
          <w:rFonts w:hint="eastAsia" w:asciiTheme="minorEastAsia" w:hAnsi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搅拌桩的水泥浆流量、压力、水灰比、搅拌转速、提升/下沉速度等参数；</w:t>
      </w:r>
    </w:p>
    <w:p>
      <w:pPr>
        <w:numPr>
          <w:ilvl w:val="0"/>
          <w:numId w:val="6"/>
        </w:numPr>
        <w:rPr>
          <w:rStyle w:val="27"/>
          <w:rFonts w:hint="eastAsia" w:asciiTheme="minorEastAsia" w:hAnsi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灌注桩的沉渣厚度、桩径、桩长、垂直度等参数；</w:t>
      </w:r>
    </w:p>
    <w:p>
      <w:pPr>
        <w:numPr>
          <w:ilvl w:val="0"/>
          <w:numId w:val="6"/>
        </w:numPr>
        <w:rPr>
          <w:rStyle w:val="27"/>
          <w:rFonts w:hint="eastAsia" w:asciiTheme="minorEastAsia" w:hAnsi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预制管桩的垂直度、压力等参数。</w:t>
      </w:r>
    </w:p>
    <w:p>
      <w:pPr>
        <w:pStyle w:val="9"/>
        <w:numPr>
          <w:ilvl w:val="0"/>
          <w:numId w:val="5"/>
        </w:numPr>
        <w:rPr>
          <w:rStyle w:val="27"/>
          <w:rFonts w:hint="eastAsia" w:asciiTheme="minorEastAsia" w:hAnsiTheme="minorEastAsia" w:cstheme="minorEastAsia"/>
          <w:b w:val="0"/>
          <w:bCs/>
          <w:sz w:val="28"/>
          <w:szCs w:val="28"/>
          <w:shd w:val="clear" w:color="auto" w:fill="FFFFFF"/>
        </w:rPr>
      </w:pPr>
      <w:r>
        <w:rPr>
          <w:rStyle w:val="27"/>
          <w:rFonts w:hint="eastAsia" w:asciiTheme="minorEastAsia" w:hAnsiTheme="minorEastAsia" w:cstheme="minorEastAsia"/>
          <w:b w:val="0"/>
          <w:bCs/>
          <w:sz w:val="28"/>
          <w:szCs w:val="28"/>
          <w:shd w:val="clear" w:color="auto" w:fill="FFFFFF"/>
        </w:rPr>
        <w:t>制定三种桩型质量管理标准</w:t>
      </w:r>
    </w:p>
    <w:p>
      <w:pPr>
        <w:pStyle w:val="9"/>
        <w:ind w:firstLine="560" w:firstLineChars="200"/>
        <w:rPr>
          <w:rStyle w:val="27"/>
          <w:rFonts w:hint="eastAsia" w:asciiTheme="minorEastAsia" w:hAnsiTheme="minorEastAsia" w:cstheme="minorEastAsia"/>
          <w:sz w:val="28"/>
          <w:szCs w:val="28"/>
          <w:shd w:val="clear" w:color="auto" w:fill="FFFFFF"/>
        </w:rPr>
      </w:pPr>
      <w:r>
        <w:rPr>
          <w:rFonts w:hint="eastAsia" w:asciiTheme="minorEastAsia" w:hAnsiTheme="minorEastAsia" w:cstheme="minorEastAsia"/>
          <w:sz w:val="28"/>
          <w:szCs w:val="28"/>
        </w:rPr>
        <w:t>根据三种桩型从施工准备、施工过程、施工验收等流程的质量控制参数，以及目前的施工监测、检测技术参数，制定具有实践意义的基桩质量管理标准。</w:t>
      </w:r>
    </w:p>
    <w:p>
      <w:pPr>
        <w:pStyle w:val="9"/>
        <w:rPr>
          <w:rStyle w:val="27"/>
          <w:rFonts w:hint="eastAsia" w:asciiTheme="minorEastAsia" w:hAnsiTheme="minorEastAsia" w:eastAsia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3、数据分析</w:t>
      </w:r>
    </w:p>
    <w:p>
      <w:pPr>
        <w:pStyle w:val="9"/>
        <w:ind w:firstLine="560" w:firstLineChars="200"/>
        <w:rPr>
          <w:rStyle w:val="27"/>
          <w:rFonts w:hint="eastAsia" w:asciiTheme="minorEastAsia" w:hAnsi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对</w:t>
      </w:r>
      <w:r>
        <w:rPr>
          <w:rStyle w:val="27"/>
          <w:rFonts w:hint="eastAsia" w:asciiTheme="minorEastAsia" w:hAnsiTheme="minorEastAsia" w:cstheme="minorEastAsia"/>
          <w:b w:val="0"/>
          <w:bCs/>
          <w:sz w:val="28"/>
          <w:szCs w:val="28"/>
          <w:shd w:val="clear" w:color="auto" w:fill="FFFFFF"/>
        </w:rPr>
        <w:t>三种桩型质量管理标准</w:t>
      </w:r>
      <w:r>
        <w:rPr>
          <w:rStyle w:val="27"/>
          <w:rFonts w:hint="eastAsia" w:asciiTheme="minorEastAsia" w:hAnsiTheme="minorEastAsia" w:cstheme="minorEastAsia"/>
          <w:b w:val="0"/>
          <w:sz w:val="28"/>
          <w:szCs w:val="28"/>
          <w:shd w:val="clear" w:color="auto" w:fill="FFFFFF"/>
        </w:rPr>
        <w:t>，对标《建筑地基基础工程施工质量验收标准》（GB50202-2018）、《建筑桩基技术规范》（JGJ94-2008）等国家、行业及地方规范要求，进行质量管理标准数据分析，分析与现行规范的差异情况，罗列</w:t>
      </w:r>
      <w:r>
        <w:rPr>
          <w:rFonts w:hint="eastAsia" w:asciiTheme="minorEastAsia" w:hAnsiTheme="minorEastAsia" w:cstheme="minorEastAsia"/>
          <w:sz w:val="28"/>
          <w:szCs w:val="28"/>
        </w:rPr>
        <w:t>各种桩的</w:t>
      </w:r>
      <w:r>
        <w:rPr>
          <w:rStyle w:val="27"/>
          <w:rFonts w:hint="eastAsia" w:asciiTheme="minorEastAsia" w:hAnsiTheme="minorEastAsia" w:cstheme="minorEastAsia"/>
          <w:b w:val="0"/>
          <w:sz w:val="28"/>
          <w:szCs w:val="28"/>
          <w:shd w:val="clear" w:color="auto" w:fill="FFFFFF"/>
        </w:rPr>
        <w:t>的重要指标和一般指标；并写出各个阶段三类桩（</w:t>
      </w:r>
      <w:r>
        <w:rPr>
          <w:rFonts w:hint="eastAsia" w:asciiTheme="minorEastAsia" w:hAnsiTheme="minorEastAsia" w:cstheme="minorEastAsia"/>
          <w:sz w:val="28"/>
          <w:szCs w:val="28"/>
        </w:rPr>
        <w:t>包含单桩/群桩</w:t>
      </w:r>
      <w:r>
        <w:rPr>
          <w:rStyle w:val="27"/>
          <w:rFonts w:hint="eastAsia" w:asciiTheme="minorEastAsia" w:hAnsiTheme="minorEastAsia" w:cstheme="minorEastAsia"/>
          <w:b w:val="0"/>
          <w:sz w:val="28"/>
          <w:szCs w:val="28"/>
          <w:shd w:val="clear" w:color="auto" w:fill="FFFFFF"/>
        </w:rPr>
        <w:t>）</w:t>
      </w:r>
      <w:r>
        <w:rPr>
          <w:rFonts w:hint="eastAsia" w:asciiTheme="minorEastAsia" w:hAnsiTheme="minorEastAsia" w:cstheme="minorEastAsia"/>
          <w:sz w:val="28"/>
          <w:szCs w:val="28"/>
        </w:rPr>
        <w:t>验收合规性参数指标。</w:t>
      </w:r>
    </w:p>
    <w:p>
      <w:pPr>
        <w:rPr>
          <w:rStyle w:val="27"/>
          <w:rFonts w:hint="eastAsia" w:asciiTheme="minorEastAsia" w:hAnsiTheme="minorEastAsia" w:eastAsia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 xml:space="preserve">4、一桩一档体系数据报告   </w:t>
      </w:r>
    </w:p>
    <w:p>
      <w:pPr>
        <w:ind w:firstLine="560" w:firstLineChars="200"/>
        <w:rPr>
          <w:rStyle w:val="27"/>
          <w:rFonts w:hint="eastAsia" w:asciiTheme="minorEastAsia" w:hAnsi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根据桩基管理体系与数据分析成果，输出“一桩一档”体系数据报告。报告应包含以下模块：</w:t>
      </w:r>
    </w:p>
    <w:p>
      <w:pPr>
        <w:rPr>
          <w:rStyle w:val="27"/>
          <w:rFonts w:hint="eastAsia" w:asciiTheme="minorEastAsia" w:hAnsiTheme="minorEastAsia" w:eastAsia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（1）基础信息：桩编号、项目名称、桩型、设计参数、施工单位等；</w:t>
      </w:r>
    </w:p>
    <w:p>
      <w:pPr>
        <w:rPr>
          <w:rStyle w:val="27"/>
          <w:rFonts w:hint="eastAsia" w:asciiTheme="minorEastAsia" w:hAnsi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（2）检测或监测数据曲线：关键参数实时变化曲线（如搅拌桩水泥浆流量-时间曲线）、偏差分析（与规范阈值对比）等；</w:t>
      </w:r>
    </w:p>
    <w:p>
      <w:pPr>
        <w:rPr>
          <w:rStyle w:val="27"/>
          <w:rFonts w:hint="eastAsia" w:asciiTheme="minorEastAsia" w:hAnsi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（3）质量评估：施工过程预警记录、验收结论等。</w:t>
      </w:r>
    </w:p>
    <w:p>
      <w:pPr>
        <w:rPr>
          <w:rStyle w:val="27"/>
          <w:rFonts w:hint="eastAsia" w:asciiTheme="minorEastAsia" w:hAnsiTheme="minorEastAsia" w:cstheme="minorEastAsia"/>
          <w:bCs/>
          <w:sz w:val="28"/>
          <w:szCs w:val="28"/>
          <w:shd w:val="clear" w:color="auto" w:fill="FFFFFF"/>
        </w:rPr>
      </w:pPr>
      <w:r>
        <w:rPr>
          <w:rStyle w:val="27"/>
          <w:rFonts w:hint="eastAsia" w:asciiTheme="minorEastAsia" w:hAnsiTheme="minorEastAsia" w:cstheme="minorEastAsia"/>
          <w:bCs/>
          <w:sz w:val="28"/>
          <w:szCs w:val="28"/>
          <w:shd w:val="clear" w:color="auto" w:fill="FFFFFF"/>
        </w:rPr>
        <w:t>（二）项目信息采集</w:t>
      </w:r>
    </w:p>
    <w:p>
      <w:pPr>
        <w:ind w:firstLine="560" w:firstLineChars="200"/>
        <w:rPr>
          <w:rFonts w:hint="eastAsia" w:asciiTheme="minorEastAsia" w:hAnsiTheme="minorEastAsia" w:cstheme="minorEastAsia"/>
          <w:sz w:val="28"/>
          <w:szCs w:val="28"/>
        </w:rPr>
      </w:pPr>
      <w:r>
        <w:rPr>
          <w:rStyle w:val="27"/>
          <w:rFonts w:hint="eastAsia" w:asciiTheme="minorEastAsia" w:hAnsiTheme="minorEastAsia" w:cstheme="minorEastAsia"/>
          <w:b w:val="0"/>
          <w:sz w:val="28"/>
          <w:szCs w:val="28"/>
          <w:shd w:val="clear" w:color="auto" w:fill="FFFFFF"/>
        </w:rPr>
        <w:t>对所有在建项目</w:t>
      </w:r>
      <w:r>
        <w:rPr>
          <w:rFonts w:hint="eastAsia" w:asciiTheme="minorEastAsia" w:hAnsiTheme="minorEastAsia" w:cstheme="minorEastAsia"/>
          <w:sz w:val="28"/>
          <w:szCs w:val="28"/>
        </w:rPr>
        <w:t>通过人工服务将桩基施工数据等准确、完整进行收集。</w:t>
      </w:r>
      <w:r>
        <w:rPr>
          <w:rStyle w:val="27"/>
          <w:rFonts w:hint="eastAsia" w:asciiTheme="minorEastAsia" w:hAnsiTheme="minorEastAsia" w:cstheme="minorEastAsia"/>
          <w:b w:val="0"/>
          <w:sz w:val="28"/>
          <w:szCs w:val="28"/>
          <w:shd w:val="clear" w:color="auto" w:fill="FFFFFF"/>
        </w:rPr>
        <w:t>在现有智慧建设监管平台系统构建对桩基工程日常动态监管，为实现平台自动触发预警打好基础。</w:t>
      </w:r>
    </w:p>
    <w:p>
      <w:pPr>
        <w:rPr>
          <w:rStyle w:val="27"/>
          <w:rFonts w:hint="eastAsia" w:asciiTheme="minorEastAsia" w:hAnsiTheme="minorEastAsia" w:cstheme="minorEastAsia"/>
          <w:bCs/>
          <w:sz w:val="28"/>
          <w:szCs w:val="28"/>
          <w:shd w:val="clear" w:color="auto" w:fill="FFFFFF"/>
        </w:rPr>
      </w:pPr>
      <w:r>
        <w:rPr>
          <w:rStyle w:val="27"/>
          <w:rFonts w:hint="eastAsia" w:asciiTheme="minorEastAsia" w:hAnsiTheme="minorEastAsia" w:cstheme="minorEastAsia"/>
          <w:bCs/>
          <w:sz w:val="28"/>
          <w:szCs w:val="28"/>
          <w:shd w:val="clear" w:color="auto" w:fill="FFFFFF"/>
        </w:rPr>
        <w:t>（三）互联网系统技术服务</w:t>
      </w:r>
    </w:p>
    <w:p>
      <w:pPr>
        <w:ind w:firstLine="560" w:firstLineChars="200"/>
        <w:rPr>
          <w:rStyle w:val="26"/>
          <w:rFonts w:hint="eastAsia" w:asciiTheme="minorEastAsia" w:hAnsi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综合上述（一）和（二）服务内容，通过专业系统提供桩基（包括但不限于搅拌桩、管桩和灌注桩）监测设备相关数据和表单数据，专业系统通过接口或数据库权限开放的方式获取智慧建设监管平台的项目及桩信息，将桩数据与项目和桩信息进行绑定，相关原始数据、过程数据、结果数据及预警分析标准/指标/算法通过接口对接的方式推送至智慧建设监管平台。专业系统应独立部署至政务云并集成至智慧建设监管平台（包括手机端和PC端等多种端），与智慧建设监管平台统一账号权限。专业系统需推送待办、系统消息和公告等信息至智慧建设监管平台统一门户，支持在智慧建设监管平台处理相关待办、系统消息和公告等信息，并支持智慧建设监管平台统一门户发送待办给专业系统。专业系统需提供全量数据库及相关数据，支持智慧建设监管平台直接从数据库抓取所有数据。专业系统需公开发布所有对接设备接口文档和相关规则，并支持所有厂商设备主动对接本系统，提供免费联试联调服务。专业系统应不设置任何类别的许可及许可证限制，以及各类订阅费用、使用费用等相关收费项目，需完全</w:t>
      </w:r>
      <w:r>
        <w:rPr>
          <w:rStyle w:val="27"/>
          <w:rFonts w:hint="eastAsia" w:asciiTheme="minorEastAsia" w:hAnsiTheme="minorEastAsia" w:cstheme="minorEastAsia"/>
          <w:b w:val="0"/>
          <w:sz w:val="28"/>
          <w:szCs w:val="28"/>
          <w:shd w:val="clear" w:color="auto" w:fill="FFFFFF"/>
          <w:lang w:val="en-US" w:eastAsia="zh-CN"/>
        </w:rPr>
        <w:t>永久</w:t>
      </w:r>
      <w:bookmarkStart w:id="178" w:name="_GoBack"/>
      <w:bookmarkEnd w:id="178"/>
      <w:r>
        <w:rPr>
          <w:rStyle w:val="27"/>
          <w:rFonts w:hint="eastAsia" w:asciiTheme="minorEastAsia" w:hAnsiTheme="minorEastAsia" w:cstheme="minorEastAsia"/>
          <w:b w:val="0"/>
          <w:sz w:val="28"/>
          <w:szCs w:val="28"/>
          <w:shd w:val="clear" w:color="auto" w:fill="FFFFFF"/>
        </w:rPr>
        <w:t>免费提供给采购方及采购方授权的用户使用。</w:t>
      </w:r>
    </w:p>
    <w:p>
      <w:pPr>
        <w:ind w:firstLine="560" w:firstLineChars="200"/>
        <w:rPr>
          <w:rStyle w:val="27"/>
          <w:rFonts w:hint="eastAsia" w:asciiTheme="minorEastAsia" w:hAnsi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系统具体模块如下：</w:t>
      </w:r>
    </w:p>
    <w:p>
      <w:pPr>
        <w:ind w:firstLine="560" w:firstLineChars="200"/>
        <w:rPr>
          <w:rStyle w:val="27"/>
          <w:rFonts w:hint="eastAsia" w:asciiTheme="minorEastAsia" w:hAnsi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1、</w:t>
      </w:r>
      <w:r>
        <w:rPr>
          <w:rStyle w:val="27"/>
          <w:rFonts w:hint="eastAsia" w:asciiTheme="minorEastAsia" w:hAnsiTheme="minorEastAsia" w:cstheme="minorEastAsia"/>
          <w:b w:val="0"/>
          <w:sz w:val="28"/>
          <w:szCs w:val="28"/>
          <w:shd w:val="clear" w:color="auto" w:fill="FFFFFF"/>
          <w:lang w:eastAsia="zh-Hans"/>
        </w:rPr>
        <w:t>应用模块：</w:t>
      </w:r>
      <w:r>
        <w:rPr>
          <w:rStyle w:val="27"/>
          <w:rFonts w:hint="eastAsia" w:asciiTheme="minorEastAsia" w:hAnsiTheme="minorEastAsia" w:cstheme="minorEastAsia"/>
          <w:b w:val="0"/>
          <w:sz w:val="28"/>
          <w:szCs w:val="28"/>
          <w:shd w:val="clear" w:color="auto" w:fill="FFFFFF"/>
        </w:rPr>
        <w:t>搅拌桩模块</w:t>
      </w:r>
    </w:p>
    <w:p>
      <w:pPr>
        <w:ind w:firstLine="560" w:firstLineChars="200"/>
        <w:rPr>
          <w:rStyle w:val="27"/>
          <w:rFonts w:hint="eastAsia" w:asciiTheme="minorEastAsia" w:hAnsiTheme="minorEastAsia" w:eastAsia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专业系统通过已采集的桩基施工数据与质量验收标准库的预设标准值进行自动对比，对有偏差项进行质量异常预警输出。如：可对采集的水泥浆流量、压力、密度、水灰比，钻进与提升速度，桩身垂直度，桩深等数据进行实时分析，通过将实时数据与设计标准和现行技术规范中的阈值进行比对，当数据超出正常范围时，自动发出质量异常预警，如水泥浆流量低于规定值时，提示可能存在供浆不足的问题，并建议检查注浆设备。</w:t>
      </w:r>
    </w:p>
    <w:p>
      <w:pPr>
        <w:ind w:firstLine="560" w:firstLineChars="200"/>
        <w:rPr>
          <w:rStyle w:val="27"/>
          <w:rFonts w:hint="eastAsia" w:asciiTheme="minorEastAsia" w:hAnsi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2、</w:t>
      </w:r>
      <w:r>
        <w:rPr>
          <w:rStyle w:val="27"/>
          <w:rFonts w:hint="eastAsia" w:asciiTheme="minorEastAsia" w:hAnsiTheme="minorEastAsia" w:cstheme="minorEastAsia"/>
          <w:b w:val="0"/>
          <w:sz w:val="28"/>
          <w:szCs w:val="28"/>
          <w:shd w:val="clear" w:color="auto" w:fill="FFFFFF"/>
          <w:lang w:eastAsia="zh-Hans"/>
        </w:rPr>
        <w:t>应用模块：</w:t>
      </w:r>
      <w:r>
        <w:rPr>
          <w:rStyle w:val="27"/>
          <w:rFonts w:hint="eastAsia" w:asciiTheme="minorEastAsia" w:hAnsiTheme="minorEastAsia" w:cstheme="minorEastAsia"/>
          <w:b w:val="0"/>
          <w:sz w:val="28"/>
          <w:szCs w:val="28"/>
          <w:shd w:val="clear" w:color="auto" w:fill="FFFFFF"/>
        </w:rPr>
        <w:t>灌注桩模块</w:t>
      </w:r>
    </w:p>
    <w:p>
      <w:pPr>
        <w:ind w:firstLine="560" w:firstLineChars="200"/>
        <w:rPr>
          <w:rStyle w:val="27"/>
          <w:rFonts w:hint="eastAsia" w:asciiTheme="minorEastAsia" w:hAnsiTheme="minorEastAsia" w:eastAsia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专业系统通过已采集的桩基施工数据与质量验收标准库的预设标准值进行自动对比，对有偏差项进行质量异常预警输出。如：可对采集的水泥浆流量、压力、密度、水灰比，钻进与提升速度，桩身垂直度，桩深等数据进行实时分析，通过将实时数据与设计标准和现行技术规范中的阈值进行比对，当数据超出正常范围时，自动发出质量异常预警，如水泥浆流量低于规定值时，提示可能存在供浆不足的问题，并建议检查注浆设备。</w:t>
      </w:r>
    </w:p>
    <w:p>
      <w:pPr>
        <w:pStyle w:val="2"/>
        <w:rPr>
          <w:rFonts w:hint="eastAsia" w:asciiTheme="minorEastAsia" w:hAnsiTheme="minorEastAsia" w:cstheme="minorEastAsia"/>
          <w:sz w:val="28"/>
          <w:szCs w:val="28"/>
        </w:rPr>
      </w:pPr>
      <w:r>
        <w:rPr>
          <w:rStyle w:val="27"/>
          <w:rFonts w:hint="eastAsia" w:asciiTheme="minorEastAsia" w:hAnsiTheme="minorEastAsia" w:cstheme="minorEastAsia"/>
          <w:b w:val="0"/>
          <w:sz w:val="28"/>
          <w:szCs w:val="28"/>
          <w:shd w:val="clear" w:color="auto" w:fill="FFFFFF"/>
        </w:rPr>
        <w:t>3、</w:t>
      </w:r>
      <w:r>
        <w:rPr>
          <w:rStyle w:val="27"/>
          <w:rFonts w:hint="eastAsia" w:asciiTheme="minorEastAsia" w:hAnsiTheme="minorEastAsia" w:cstheme="minorEastAsia"/>
          <w:b w:val="0"/>
          <w:sz w:val="28"/>
          <w:szCs w:val="28"/>
          <w:shd w:val="clear" w:color="auto" w:fill="FFFFFF"/>
          <w:lang w:eastAsia="zh-Hans"/>
        </w:rPr>
        <w:t>应用模块：</w:t>
      </w:r>
      <w:r>
        <w:rPr>
          <w:rStyle w:val="27"/>
          <w:rFonts w:hint="eastAsia" w:asciiTheme="minorEastAsia" w:hAnsiTheme="minorEastAsia" w:cstheme="minorEastAsia"/>
          <w:b w:val="0"/>
          <w:sz w:val="28"/>
          <w:szCs w:val="28"/>
          <w:shd w:val="clear" w:color="auto" w:fill="FFFFFF"/>
        </w:rPr>
        <w:t>预制管桩</w:t>
      </w:r>
    </w:p>
    <w:p>
      <w:pPr>
        <w:ind w:firstLine="560" w:firstLineChars="200"/>
      </w:pPr>
      <w:r>
        <w:rPr>
          <w:rStyle w:val="27"/>
          <w:rFonts w:hint="eastAsia" w:asciiTheme="minorEastAsia" w:hAnsiTheme="minorEastAsia" w:cstheme="minorEastAsia"/>
          <w:b w:val="0"/>
          <w:sz w:val="28"/>
          <w:szCs w:val="28"/>
          <w:shd w:val="clear" w:color="auto" w:fill="FFFFFF"/>
        </w:rPr>
        <w:t>专业系统通过已采集的桩基施工数据与质量验收标准库的预设标准值进行自动对比，对有偏差项进行质量异常预警输出。如：可对采集的垂直度、压力等数据进行实时分析，通过将实时数据与设计标准和现行技术规范中的阈值进行比对，当数据超出正常范围时，自动发出质量异常预警。</w:t>
      </w:r>
    </w:p>
    <w:p>
      <w:pPr>
        <w:rPr>
          <w:rStyle w:val="27"/>
          <w:rFonts w:hint="eastAsia" w:asciiTheme="minorEastAsia" w:hAnsiTheme="minorEastAsia" w:cstheme="minorEastAsia"/>
          <w:b w:val="0"/>
          <w:sz w:val="28"/>
          <w:szCs w:val="28"/>
          <w:shd w:val="clear" w:color="auto" w:fill="FFFFFF"/>
        </w:rPr>
      </w:pPr>
      <w:r>
        <w:rPr>
          <w:rFonts w:hint="eastAsia" w:ascii="宋体" w:hAnsi="宋体" w:cs="宋体"/>
          <w:b/>
          <w:bCs/>
          <w:color w:val="000000"/>
          <w:sz w:val="24"/>
          <w:lang w:bidi="ar"/>
        </w:rPr>
        <w:t>（四</w:t>
      </w:r>
      <w:r>
        <w:rPr>
          <w:rStyle w:val="27"/>
          <w:rFonts w:hint="eastAsia" w:asciiTheme="minorEastAsia" w:hAnsiTheme="minorEastAsia" w:cstheme="minorEastAsia"/>
          <w:bCs/>
          <w:sz w:val="28"/>
          <w:szCs w:val="28"/>
          <w:shd w:val="clear" w:color="auto" w:fill="FFFFFF"/>
        </w:rPr>
        <w:t>）</w:t>
      </w:r>
      <w:r>
        <w:rPr>
          <w:rFonts w:hint="eastAsia" w:ascii="宋体" w:hAnsi="宋体" w:cs="宋体"/>
          <w:b/>
          <w:bCs/>
          <w:color w:val="000000"/>
          <w:sz w:val="24"/>
          <w:lang w:bidi="ar"/>
        </w:rPr>
        <w:t>运行环境</w:t>
      </w:r>
    </w:p>
    <w:p>
      <w:pPr>
        <w:ind w:firstLine="560" w:firstLineChars="200"/>
        <w:rPr>
          <w:rStyle w:val="27"/>
          <w:rFonts w:hint="eastAsia" w:asciiTheme="minorEastAsia" w:hAnsi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服务期限内专业系统WEB端正常运行所需的服务器、带宽环境。</w:t>
      </w:r>
    </w:p>
    <w:p>
      <w:pPr>
        <w:rPr>
          <w:rFonts w:hint="eastAsia" w:ascii="宋体" w:hAnsi="宋体" w:cs="宋体"/>
          <w:b/>
          <w:bCs/>
          <w:color w:val="000000"/>
          <w:sz w:val="24"/>
          <w:lang w:bidi="ar"/>
        </w:rPr>
      </w:pPr>
      <w:r>
        <w:rPr>
          <w:rFonts w:hint="eastAsia" w:ascii="宋体" w:hAnsi="宋体" w:cs="宋体"/>
          <w:b/>
          <w:bCs/>
          <w:color w:val="000000"/>
          <w:sz w:val="24"/>
          <w:lang w:bidi="ar"/>
        </w:rPr>
        <w:t>(五）培训</w:t>
      </w:r>
    </w:p>
    <w:p>
      <w:pPr>
        <w:ind w:firstLine="560" w:firstLineChars="200"/>
        <w:rPr>
          <w:rFonts w:asciiTheme="minorEastAsia" w:hAnsiTheme="minorEastAsia" w:cstheme="minorEastAsia"/>
          <w:sz w:val="28"/>
          <w:szCs w:val="28"/>
        </w:rPr>
      </w:pPr>
      <w:r>
        <w:rPr>
          <w:rFonts w:hint="eastAsia" w:asciiTheme="minorEastAsia" w:hAnsiTheme="minorEastAsia" w:cstheme="minorEastAsia"/>
          <w:sz w:val="28"/>
          <w:szCs w:val="28"/>
        </w:rPr>
        <w:t>完成上述内容后，为采购人、施工单位、监理单位提供不少于 3 次培训（线上或线下），并提供《操作手册》。</w:t>
      </w:r>
    </w:p>
    <w:p>
      <w:pPr>
        <w:rPr>
          <w:rFonts w:hint="eastAsia" w:ascii="宋体" w:hAnsi="宋体" w:cs="宋体"/>
          <w:b/>
          <w:bCs/>
          <w:color w:val="000000"/>
          <w:sz w:val="24"/>
          <w:lang w:bidi="ar"/>
        </w:rPr>
      </w:pPr>
      <w:r>
        <w:rPr>
          <w:rFonts w:hint="eastAsia" w:ascii="宋体" w:hAnsi="宋体" w:cs="宋体"/>
          <w:b/>
          <w:bCs/>
          <w:color w:val="000000"/>
          <w:sz w:val="24"/>
          <w:lang w:bidi="ar"/>
        </w:rPr>
        <w:t>(</w:t>
      </w:r>
      <w:r>
        <w:rPr>
          <w:rFonts w:hint="eastAsia" w:ascii="宋体" w:hAnsi="宋体" w:cs="宋体"/>
          <w:b/>
          <w:bCs/>
          <w:color w:val="000000"/>
          <w:sz w:val="24"/>
          <w:lang w:val="en-US" w:eastAsia="zh-CN" w:bidi="ar"/>
        </w:rPr>
        <w:t>六</w:t>
      </w:r>
      <w:r>
        <w:rPr>
          <w:rFonts w:hint="eastAsia" w:ascii="宋体" w:hAnsi="宋体" w:cs="宋体"/>
          <w:b/>
          <w:bCs/>
          <w:color w:val="000000"/>
          <w:sz w:val="24"/>
          <w:lang w:bidi="ar"/>
        </w:rPr>
        <w:t>）系统软件维护服务</w:t>
      </w:r>
    </w:p>
    <w:p>
      <w:pPr>
        <w:ind w:firstLine="560" w:firstLineChars="200"/>
        <w:rPr>
          <w:rStyle w:val="27"/>
          <w:rFonts w:asciiTheme="minorEastAsia" w:hAnsiTheme="minorEastAsia" w:cstheme="minorEastAsia"/>
          <w:b w:val="0"/>
          <w:sz w:val="28"/>
          <w:szCs w:val="28"/>
          <w:shd w:val="clear" w:color="auto" w:fill="FFFFFF"/>
        </w:rPr>
      </w:pPr>
      <w:r>
        <w:rPr>
          <w:rStyle w:val="27"/>
          <w:rFonts w:hint="eastAsia" w:asciiTheme="minorEastAsia" w:hAnsiTheme="minorEastAsia" w:cstheme="minorEastAsia"/>
          <w:b w:val="0"/>
          <w:sz w:val="28"/>
          <w:szCs w:val="28"/>
          <w:shd w:val="clear" w:color="auto" w:fill="FFFFFF"/>
        </w:rPr>
        <w:t>专业系统应提供自项目合同验收合格之日起3年免费系统软件维护服务。系统软件维护服务期间</w:t>
      </w:r>
      <w:r>
        <w:rPr>
          <w:rStyle w:val="27"/>
          <w:rFonts w:hint="eastAsia" w:asciiTheme="minorEastAsia" w:hAnsiTheme="minorEastAsia" w:cstheme="minorEastAsia"/>
          <w:b w:val="0"/>
          <w:sz w:val="28"/>
          <w:szCs w:val="28"/>
          <w:highlight w:val="yellow"/>
          <w:shd w:val="clear" w:color="auto" w:fill="FFFFFF"/>
        </w:rPr>
        <w:t>中标</w:t>
      </w:r>
      <w:r>
        <w:rPr>
          <w:rStyle w:val="27"/>
          <w:rFonts w:hint="eastAsia" w:asciiTheme="minorEastAsia" w:hAnsiTheme="minorEastAsia" w:cstheme="minorEastAsia"/>
          <w:b w:val="0"/>
          <w:sz w:val="28"/>
          <w:szCs w:val="28"/>
          <w:highlight w:val="yellow"/>
          <w:shd w:val="clear" w:color="auto" w:fill="FFFFFF"/>
          <w:lang w:val="en-US" w:eastAsia="zh-CN"/>
        </w:rPr>
        <w:t>人</w:t>
      </w:r>
      <w:r>
        <w:rPr>
          <w:rStyle w:val="27"/>
          <w:rFonts w:hint="eastAsia" w:asciiTheme="minorEastAsia" w:hAnsiTheme="minorEastAsia" w:cstheme="minorEastAsia"/>
          <w:b w:val="0"/>
          <w:sz w:val="28"/>
          <w:szCs w:val="28"/>
          <w:shd w:val="clear" w:color="auto" w:fill="FFFFFF"/>
        </w:rPr>
        <w:t>需提供常设每周7天×24小时服务专线和长期的免费技术支持，故障报修的响应时间：周一至周五8：30～18:00期间为2小时，若远程无法解决，4小时内到达现场进行维护，协助</w:t>
      </w:r>
      <w:r>
        <w:rPr>
          <w:rStyle w:val="27"/>
          <w:rFonts w:hint="eastAsia" w:asciiTheme="minorEastAsia" w:hAnsiTheme="minorEastAsia" w:cstheme="minorEastAsia"/>
          <w:b w:val="0"/>
          <w:sz w:val="28"/>
          <w:szCs w:val="28"/>
          <w:highlight w:val="yellow"/>
          <w:shd w:val="clear" w:color="auto" w:fill="FFFFFF"/>
        </w:rPr>
        <w:t>采购人</w:t>
      </w:r>
      <w:r>
        <w:rPr>
          <w:rStyle w:val="27"/>
          <w:rFonts w:hint="eastAsia" w:asciiTheme="minorEastAsia" w:hAnsiTheme="minorEastAsia" w:cstheme="minorEastAsia"/>
          <w:b w:val="0"/>
          <w:sz w:val="28"/>
          <w:szCs w:val="28"/>
          <w:shd w:val="clear" w:color="auto" w:fill="FFFFFF"/>
        </w:rPr>
        <w:t>解决问题，必要时可要求提供驻场运维服务。系统软件维护内容和范围包括但不限于应用软件日常运维，包括安装配置、日常维护、升级服务、性能评估及调优、现场技术支持、故障处理、应急管理、咨询服务等。系统软件维护期间对需要各种方式进行对接的工作提供实际性的支撑，包括但不限于修改/增加接口，配合其他项目工程师进行技术沟通及对接工作等。具体服务内容如下：</w:t>
      </w:r>
    </w:p>
    <w:p>
      <w:pPr>
        <w:pStyle w:val="2"/>
      </w:pPr>
    </w:p>
    <w:tbl>
      <w:tblPr>
        <w:tblStyle w:val="2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97"/>
        <w:gridCol w:w="654"/>
        <w:gridCol w:w="1550"/>
        <w:gridCol w:w="547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897" w:type="dxa"/>
            <w:tcBorders>
              <w:tl2br w:val="nil"/>
              <w:tr2bl w:val="nil"/>
            </w:tcBorders>
            <w:shd w:val="clear" w:color="auto" w:fill="F1F1F1" w:themeFill="background1" w:themeFillShade="F2"/>
            <w:tcMar>
              <w:top w:w="15" w:type="dxa"/>
              <w:left w:w="15" w:type="dxa"/>
              <w:right w:w="15" w:type="dxa"/>
            </w:tcMar>
            <w:vAlign w:val="center"/>
          </w:tcPr>
          <w:p>
            <w:pPr>
              <w:ind w:firstLine="0" w:firstLineChars="0"/>
              <w:rPr>
                <w:rStyle w:val="27"/>
                <w:rFonts w:hint="eastAsia" w:asciiTheme="minorEastAsia" w:hAnsiTheme="minorEastAsia" w:cstheme="minorEastAsia"/>
                <w:b w:val="0"/>
                <w:bCs/>
                <w:sz w:val="28"/>
                <w:szCs w:val="28"/>
                <w:shd w:val="clear" w:color="auto" w:fill="FFFFFF"/>
              </w:rPr>
            </w:pPr>
            <w:r>
              <w:rPr>
                <w:rStyle w:val="27"/>
                <w:rFonts w:hint="eastAsia" w:asciiTheme="minorEastAsia" w:hAnsiTheme="minorEastAsia" w:cstheme="minorEastAsia"/>
                <w:b w:val="0"/>
                <w:bCs/>
                <w:sz w:val="28"/>
                <w:szCs w:val="28"/>
                <w:shd w:val="clear" w:color="auto" w:fill="FFFFFF"/>
                <w:lang w:bidi="ar"/>
              </w:rPr>
              <w:t>序号</w:t>
            </w:r>
          </w:p>
        </w:tc>
        <w:tc>
          <w:tcPr>
            <w:tcW w:w="654" w:type="dxa"/>
            <w:tcBorders>
              <w:tl2br w:val="nil"/>
              <w:tr2bl w:val="nil"/>
            </w:tcBorders>
            <w:shd w:val="clear" w:color="auto" w:fill="F1F1F1" w:themeFill="background1" w:themeFillShade="F2"/>
            <w:tcMar>
              <w:top w:w="15" w:type="dxa"/>
              <w:left w:w="15" w:type="dxa"/>
              <w:right w:w="15" w:type="dxa"/>
            </w:tcMar>
            <w:vAlign w:val="center"/>
          </w:tcPr>
          <w:p>
            <w:pPr>
              <w:ind w:firstLine="0" w:firstLineChars="0"/>
              <w:rPr>
                <w:rStyle w:val="27"/>
                <w:rFonts w:hint="eastAsia" w:asciiTheme="minorEastAsia" w:hAnsiTheme="minorEastAsia" w:cstheme="minorEastAsia"/>
                <w:b w:val="0"/>
                <w:bCs/>
                <w:sz w:val="28"/>
                <w:szCs w:val="28"/>
                <w:shd w:val="clear" w:color="auto" w:fill="FFFFFF"/>
              </w:rPr>
            </w:pPr>
            <w:r>
              <w:rPr>
                <w:rStyle w:val="27"/>
                <w:rFonts w:hint="eastAsia" w:asciiTheme="minorEastAsia" w:hAnsiTheme="minorEastAsia" w:cstheme="minorEastAsia"/>
                <w:b w:val="0"/>
                <w:bCs/>
                <w:sz w:val="28"/>
                <w:szCs w:val="28"/>
                <w:shd w:val="clear" w:color="auto" w:fill="FFFFFF"/>
                <w:lang w:bidi="ar"/>
              </w:rPr>
              <w:t>服务范围</w:t>
            </w:r>
          </w:p>
        </w:tc>
        <w:tc>
          <w:tcPr>
            <w:tcW w:w="1550" w:type="dxa"/>
            <w:tcBorders>
              <w:tl2br w:val="nil"/>
              <w:tr2bl w:val="nil"/>
            </w:tcBorders>
            <w:shd w:val="clear" w:color="auto" w:fill="F1F1F1" w:themeFill="background1" w:themeFillShade="F2"/>
            <w:tcMar>
              <w:top w:w="15" w:type="dxa"/>
              <w:left w:w="15" w:type="dxa"/>
              <w:right w:w="15" w:type="dxa"/>
            </w:tcMar>
            <w:vAlign w:val="center"/>
          </w:tcPr>
          <w:p>
            <w:pPr>
              <w:ind w:firstLine="560" w:firstLineChars="200"/>
              <w:rPr>
                <w:rStyle w:val="27"/>
                <w:rFonts w:hint="eastAsia" w:asciiTheme="minorEastAsia" w:hAnsiTheme="minorEastAsia" w:cstheme="minorEastAsia"/>
                <w:b w:val="0"/>
                <w:bCs/>
                <w:sz w:val="28"/>
                <w:szCs w:val="28"/>
                <w:shd w:val="clear" w:color="auto" w:fill="FFFFFF"/>
              </w:rPr>
            </w:pPr>
            <w:r>
              <w:rPr>
                <w:rStyle w:val="27"/>
                <w:rFonts w:hint="eastAsia" w:asciiTheme="minorEastAsia" w:hAnsiTheme="minorEastAsia" w:cstheme="minorEastAsia"/>
                <w:b w:val="0"/>
                <w:bCs/>
                <w:sz w:val="28"/>
                <w:szCs w:val="28"/>
                <w:shd w:val="clear" w:color="auto" w:fill="FFFFFF"/>
                <w:lang w:bidi="ar"/>
              </w:rPr>
              <w:t>服务项</w:t>
            </w:r>
          </w:p>
        </w:tc>
        <w:tc>
          <w:tcPr>
            <w:tcW w:w="5479" w:type="dxa"/>
            <w:tcBorders>
              <w:tl2br w:val="nil"/>
              <w:tr2bl w:val="nil"/>
            </w:tcBorders>
            <w:shd w:val="clear" w:color="auto" w:fill="F1F1F1" w:themeFill="background1" w:themeFillShade="F2"/>
            <w:tcMar>
              <w:top w:w="15" w:type="dxa"/>
              <w:left w:w="15" w:type="dxa"/>
              <w:right w:w="15" w:type="dxa"/>
            </w:tcMar>
            <w:vAlign w:val="center"/>
          </w:tcPr>
          <w:p>
            <w:pPr>
              <w:ind w:firstLine="560" w:firstLineChars="200"/>
              <w:rPr>
                <w:rStyle w:val="27"/>
                <w:rFonts w:hint="eastAsia" w:asciiTheme="minorEastAsia" w:hAnsiTheme="minorEastAsia" w:cstheme="minorEastAsia"/>
                <w:b w:val="0"/>
                <w:bCs/>
                <w:sz w:val="28"/>
                <w:szCs w:val="28"/>
                <w:shd w:val="clear" w:color="auto" w:fill="FFFFFF"/>
              </w:rPr>
            </w:pPr>
            <w:r>
              <w:rPr>
                <w:rStyle w:val="27"/>
                <w:rFonts w:hint="eastAsia" w:asciiTheme="minorEastAsia" w:hAnsiTheme="minorEastAsia" w:cstheme="minorEastAsia"/>
                <w:b w:val="0"/>
                <w:bCs/>
                <w:sz w:val="28"/>
                <w:szCs w:val="28"/>
                <w:shd w:val="clear" w:color="auto" w:fill="FFFFFF"/>
                <w:lang w:bidi="ar"/>
              </w:rPr>
              <w:t>服务内容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897" w:type="dxa"/>
            <w:tcBorders>
              <w:tl2br w:val="nil"/>
              <w:tr2bl w:val="nil"/>
            </w:tcBorders>
            <w:tcMar>
              <w:top w:w="15" w:type="dxa"/>
              <w:left w:w="15" w:type="dxa"/>
              <w:right w:w="15" w:type="dxa"/>
            </w:tcMar>
            <w:vAlign w:val="center"/>
          </w:tcPr>
          <w:p>
            <w:pPr>
              <w:ind w:firstLine="280" w:firstLineChars="100"/>
              <w:rPr>
                <w:rStyle w:val="27"/>
                <w:rFonts w:hint="eastAsia" w:asciiTheme="minorEastAsia" w:hAnsiTheme="minorEastAsia" w:cstheme="minorEastAsia"/>
                <w:b w:val="0"/>
                <w:bCs/>
                <w:sz w:val="28"/>
                <w:szCs w:val="28"/>
                <w:shd w:val="clear" w:color="auto" w:fill="FFFFFF"/>
              </w:rPr>
            </w:pPr>
            <w:r>
              <w:rPr>
                <w:rStyle w:val="27"/>
                <w:rFonts w:hint="eastAsia" w:asciiTheme="minorEastAsia" w:hAnsiTheme="minorEastAsia" w:cstheme="minorEastAsia"/>
                <w:b w:val="0"/>
                <w:bCs/>
                <w:sz w:val="28"/>
                <w:szCs w:val="28"/>
                <w:shd w:val="clear" w:color="auto" w:fill="FFFFFF"/>
                <w:lang w:bidi="ar"/>
              </w:rPr>
              <w:t>1</w:t>
            </w:r>
          </w:p>
        </w:tc>
        <w:tc>
          <w:tcPr>
            <w:tcW w:w="654" w:type="dxa"/>
            <w:vMerge w:val="restart"/>
            <w:tcBorders>
              <w:tl2br w:val="nil"/>
              <w:tr2bl w:val="nil"/>
            </w:tcBorders>
            <w:tcMar>
              <w:top w:w="15" w:type="dxa"/>
              <w:left w:w="15" w:type="dxa"/>
              <w:right w:w="15" w:type="dxa"/>
            </w:tcMar>
            <w:vAlign w:val="center"/>
          </w:tcPr>
          <w:p>
            <w:pPr>
              <w:ind w:firstLine="0" w:firstLineChars="0"/>
              <w:rPr>
                <w:rStyle w:val="27"/>
                <w:rFonts w:hint="eastAsia" w:asciiTheme="minorEastAsia" w:hAnsiTheme="minorEastAsia" w:cstheme="minorEastAsia"/>
                <w:b w:val="0"/>
                <w:bCs/>
                <w:sz w:val="28"/>
                <w:szCs w:val="28"/>
                <w:shd w:val="clear" w:color="auto" w:fill="FFFFFF"/>
              </w:rPr>
            </w:pPr>
            <w:r>
              <w:rPr>
                <w:rStyle w:val="27"/>
                <w:rFonts w:hint="eastAsia" w:asciiTheme="minorEastAsia" w:hAnsiTheme="minorEastAsia" w:cstheme="minorEastAsia"/>
                <w:b w:val="0"/>
                <w:bCs/>
                <w:sz w:val="28"/>
                <w:szCs w:val="28"/>
                <w:shd w:val="clear" w:color="auto" w:fill="FFFFFF"/>
                <w:lang w:bidi="ar"/>
              </w:rPr>
              <w:t>专业系统</w:t>
            </w:r>
          </w:p>
        </w:tc>
        <w:tc>
          <w:tcPr>
            <w:tcW w:w="1550" w:type="dxa"/>
            <w:vMerge w:val="restart"/>
            <w:tcBorders>
              <w:tl2br w:val="nil"/>
              <w:tr2bl w:val="nil"/>
            </w:tcBorders>
            <w:tcMar>
              <w:top w:w="15" w:type="dxa"/>
              <w:left w:w="15" w:type="dxa"/>
              <w:right w:w="15" w:type="dxa"/>
            </w:tcMar>
            <w:vAlign w:val="center"/>
          </w:tcPr>
          <w:p>
            <w:pPr>
              <w:ind w:firstLine="0" w:firstLineChars="0"/>
              <w:rPr>
                <w:rStyle w:val="27"/>
                <w:rFonts w:hint="eastAsia" w:asciiTheme="minorEastAsia" w:hAnsiTheme="minorEastAsia" w:cstheme="minorEastAsia"/>
                <w:b w:val="0"/>
                <w:bCs/>
                <w:sz w:val="28"/>
                <w:szCs w:val="28"/>
                <w:shd w:val="clear" w:color="auto" w:fill="FFFFFF"/>
              </w:rPr>
            </w:pPr>
            <w:r>
              <w:rPr>
                <w:rStyle w:val="27"/>
                <w:rFonts w:hint="eastAsia" w:asciiTheme="minorEastAsia" w:hAnsiTheme="minorEastAsia" w:cstheme="minorEastAsia"/>
                <w:b w:val="0"/>
                <w:bCs/>
                <w:sz w:val="28"/>
                <w:szCs w:val="28"/>
                <w:shd w:val="clear" w:color="auto" w:fill="FFFFFF"/>
                <w:lang w:bidi="ar"/>
              </w:rPr>
              <w:t>应用系统运行Bug排查与修复</w:t>
            </w:r>
          </w:p>
        </w:tc>
        <w:tc>
          <w:tcPr>
            <w:tcW w:w="5479" w:type="dxa"/>
            <w:tcBorders>
              <w:tl2br w:val="nil"/>
              <w:tr2bl w:val="nil"/>
            </w:tcBorders>
            <w:tcMar>
              <w:top w:w="15" w:type="dxa"/>
              <w:left w:w="15" w:type="dxa"/>
              <w:right w:w="15" w:type="dxa"/>
            </w:tcMar>
            <w:vAlign w:val="center"/>
          </w:tcPr>
          <w:p>
            <w:pPr>
              <w:ind w:firstLine="0" w:firstLineChars="0"/>
              <w:rPr>
                <w:rStyle w:val="27"/>
                <w:rFonts w:hint="eastAsia" w:asciiTheme="minorEastAsia" w:hAnsiTheme="minorEastAsia" w:cstheme="minorEastAsia"/>
                <w:b w:val="0"/>
                <w:bCs/>
                <w:sz w:val="28"/>
                <w:szCs w:val="28"/>
                <w:shd w:val="clear" w:color="auto" w:fill="FFFFFF"/>
              </w:rPr>
            </w:pPr>
            <w:r>
              <w:rPr>
                <w:rStyle w:val="27"/>
                <w:rFonts w:hint="eastAsia" w:asciiTheme="minorEastAsia" w:hAnsiTheme="minorEastAsia" w:cstheme="minorEastAsia"/>
                <w:b w:val="0"/>
                <w:bCs/>
                <w:sz w:val="28"/>
                <w:szCs w:val="28"/>
                <w:shd w:val="clear" w:color="auto" w:fill="FFFFFF"/>
                <w:lang w:bidi="ar"/>
              </w:rPr>
              <w:t>应用系统运行Bug排查与修复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897" w:type="dxa"/>
            <w:tcBorders>
              <w:tl2br w:val="nil"/>
              <w:tr2bl w:val="nil"/>
            </w:tcBorders>
            <w:tcMar>
              <w:top w:w="15" w:type="dxa"/>
              <w:left w:w="15" w:type="dxa"/>
              <w:right w:w="15" w:type="dxa"/>
            </w:tcMar>
            <w:vAlign w:val="center"/>
          </w:tcPr>
          <w:p>
            <w:pPr>
              <w:ind w:firstLine="280" w:firstLineChars="100"/>
              <w:rPr>
                <w:rStyle w:val="27"/>
                <w:rFonts w:hint="eastAsia" w:asciiTheme="minorEastAsia" w:hAnsiTheme="minorEastAsia" w:cstheme="minorEastAsia"/>
                <w:b w:val="0"/>
                <w:bCs/>
                <w:sz w:val="28"/>
                <w:szCs w:val="28"/>
                <w:shd w:val="clear" w:color="auto" w:fill="FFFFFF"/>
              </w:rPr>
            </w:pPr>
            <w:r>
              <w:rPr>
                <w:rStyle w:val="27"/>
                <w:rFonts w:hint="eastAsia" w:asciiTheme="minorEastAsia" w:hAnsiTheme="minorEastAsia" w:cstheme="minorEastAsia"/>
                <w:b w:val="0"/>
                <w:bCs/>
                <w:sz w:val="28"/>
                <w:szCs w:val="28"/>
                <w:shd w:val="clear" w:color="auto" w:fill="FFFFFF"/>
                <w:lang w:bidi="ar"/>
              </w:rPr>
              <w:t>2</w:t>
            </w:r>
          </w:p>
        </w:tc>
        <w:tc>
          <w:tcPr>
            <w:tcW w:w="654" w:type="dxa"/>
            <w:vMerge w:val="continue"/>
            <w:tcBorders>
              <w:tl2br w:val="nil"/>
              <w:tr2bl w:val="nil"/>
            </w:tcBorders>
            <w:tcMar>
              <w:top w:w="15" w:type="dxa"/>
              <w:left w:w="15" w:type="dxa"/>
              <w:right w:w="15" w:type="dxa"/>
            </w:tcMar>
            <w:vAlign w:val="center"/>
          </w:tcPr>
          <w:p>
            <w:pPr>
              <w:ind w:firstLine="560" w:firstLineChars="200"/>
              <w:rPr>
                <w:rStyle w:val="27"/>
                <w:rFonts w:hint="eastAsia" w:asciiTheme="minorEastAsia" w:hAnsiTheme="minorEastAsia" w:cstheme="minorEastAsia"/>
                <w:b w:val="0"/>
                <w:bCs/>
                <w:sz w:val="28"/>
                <w:szCs w:val="28"/>
                <w:shd w:val="clear" w:color="auto" w:fill="FFFFFF"/>
              </w:rPr>
            </w:pPr>
          </w:p>
        </w:tc>
        <w:tc>
          <w:tcPr>
            <w:tcW w:w="1550" w:type="dxa"/>
            <w:vMerge w:val="continue"/>
            <w:tcBorders>
              <w:tl2br w:val="nil"/>
              <w:tr2bl w:val="nil"/>
            </w:tcBorders>
            <w:tcMar>
              <w:top w:w="15" w:type="dxa"/>
              <w:left w:w="15" w:type="dxa"/>
              <w:right w:w="15" w:type="dxa"/>
            </w:tcMar>
            <w:vAlign w:val="center"/>
          </w:tcPr>
          <w:p>
            <w:pPr>
              <w:ind w:firstLine="560" w:firstLineChars="200"/>
              <w:rPr>
                <w:rStyle w:val="27"/>
                <w:rFonts w:hint="eastAsia" w:asciiTheme="minorEastAsia" w:hAnsiTheme="minorEastAsia" w:cstheme="minorEastAsia"/>
                <w:b w:val="0"/>
                <w:bCs/>
                <w:sz w:val="28"/>
                <w:szCs w:val="28"/>
                <w:shd w:val="clear" w:color="auto" w:fill="FFFFFF"/>
              </w:rPr>
            </w:pPr>
          </w:p>
        </w:tc>
        <w:tc>
          <w:tcPr>
            <w:tcW w:w="5479" w:type="dxa"/>
            <w:tcBorders>
              <w:tl2br w:val="nil"/>
              <w:tr2bl w:val="nil"/>
            </w:tcBorders>
            <w:tcMar>
              <w:top w:w="15" w:type="dxa"/>
              <w:left w:w="15" w:type="dxa"/>
              <w:right w:w="15" w:type="dxa"/>
            </w:tcMar>
            <w:vAlign w:val="center"/>
          </w:tcPr>
          <w:p>
            <w:pPr>
              <w:ind w:firstLine="0" w:firstLineChars="0"/>
              <w:rPr>
                <w:rStyle w:val="27"/>
                <w:rFonts w:hint="eastAsia" w:asciiTheme="minorEastAsia" w:hAnsiTheme="minorEastAsia" w:cstheme="minorEastAsia"/>
                <w:b w:val="0"/>
                <w:bCs/>
                <w:sz w:val="28"/>
                <w:szCs w:val="28"/>
                <w:shd w:val="clear" w:color="auto" w:fill="FFFFFF"/>
              </w:rPr>
            </w:pPr>
            <w:r>
              <w:rPr>
                <w:rStyle w:val="27"/>
                <w:rFonts w:hint="eastAsia" w:asciiTheme="minorEastAsia" w:hAnsiTheme="minorEastAsia" w:cstheme="minorEastAsia"/>
                <w:b w:val="0"/>
                <w:bCs/>
                <w:sz w:val="28"/>
                <w:szCs w:val="28"/>
                <w:shd w:val="clear" w:color="auto" w:fill="FFFFFF"/>
                <w:lang w:bidi="ar"/>
              </w:rPr>
              <w:t>应用系统运行情况监控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897" w:type="dxa"/>
            <w:tcBorders>
              <w:tl2br w:val="nil"/>
              <w:tr2bl w:val="nil"/>
            </w:tcBorders>
            <w:tcMar>
              <w:top w:w="15" w:type="dxa"/>
              <w:left w:w="15" w:type="dxa"/>
              <w:right w:w="15" w:type="dxa"/>
            </w:tcMar>
            <w:vAlign w:val="center"/>
          </w:tcPr>
          <w:p>
            <w:pPr>
              <w:ind w:firstLine="280" w:firstLineChars="100"/>
              <w:rPr>
                <w:rStyle w:val="27"/>
                <w:rFonts w:hint="eastAsia" w:asciiTheme="minorEastAsia" w:hAnsiTheme="minorEastAsia" w:cstheme="minorEastAsia"/>
                <w:b w:val="0"/>
                <w:bCs/>
                <w:sz w:val="28"/>
                <w:szCs w:val="28"/>
                <w:shd w:val="clear" w:color="auto" w:fill="FFFFFF"/>
              </w:rPr>
            </w:pPr>
            <w:r>
              <w:rPr>
                <w:rStyle w:val="27"/>
                <w:rFonts w:hint="eastAsia" w:asciiTheme="minorEastAsia" w:hAnsiTheme="minorEastAsia" w:cstheme="minorEastAsia"/>
                <w:b w:val="0"/>
                <w:bCs/>
                <w:sz w:val="28"/>
                <w:szCs w:val="28"/>
                <w:shd w:val="clear" w:color="auto" w:fill="FFFFFF"/>
                <w:lang w:bidi="ar"/>
              </w:rPr>
              <w:t>3</w:t>
            </w:r>
          </w:p>
        </w:tc>
        <w:tc>
          <w:tcPr>
            <w:tcW w:w="654" w:type="dxa"/>
            <w:vMerge w:val="continue"/>
            <w:tcBorders>
              <w:tl2br w:val="nil"/>
              <w:tr2bl w:val="nil"/>
            </w:tcBorders>
            <w:tcMar>
              <w:top w:w="15" w:type="dxa"/>
              <w:left w:w="15" w:type="dxa"/>
              <w:right w:w="15" w:type="dxa"/>
            </w:tcMar>
            <w:vAlign w:val="center"/>
          </w:tcPr>
          <w:p>
            <w:pPr>
              <w:ind w:firstLine="560" w:firstLineChars="200"/>
              <w:rPr>
                <w:rStyle w:val="27"/>
                <w:rFonts w:hint="eastAsia" w:asciiTheme="minorEastAsia" w:hAnsiTheme="minorEastAsia" w:cstheme="minorEastAsia"/>
                <w:b w:val="0"/>
                <w:bCs/>
                <w:sz w:val="28"/>
                <w:szCs w:val="28"/>
                <w:shd w:val="clear" w:color="auto" w:fill="FFFFFF"/>
              </w:rPr>
            </w:pPr>
          </w:p>
        </w:tc>
        <w:tc>
          <w:tcPr>
            <w:tcW w:w="1550" w:type="dxa"/>
            <w:vMerge w:val="continue"/>
            <w:tcBorders>
              <w:tl2br w:val="nil"/>
              <w:tr2bl w:val="nil"/>
            </w:tcBorders>
            <w:tcMar>
              <w:top w:w="15" w:type="dxa"/>
              <w:left w:w="15" w:type="dxa"/>
              <w:right w:w="15" w:type="dxa"/>
            </w:tcMar>
            <w:vAlign w:val="center"/>
          </w:tcPr>
          <w:p>
            <w:pPr>
              <w:ind w:firstLine="560" w:firstLineChars="200"/>
              <w:rPr>
                <w:rStyle w:val="27"/>
                <w:rFonts w:hint="eastAsia" w:asciiTheme="minorEastAsia" w:hAnsiTheme="minorEastAsia" w:cstheme="minorEastAsia"/>
                <w:b w:val="0"/>
                <w:bCs/>
                <w:sz w:val="28"/>
                <w:szCs w:val="28"/>
                <w:shd w:val="clear" w:color="auto" w:fill="FFFFFF"/>
              </w:rPr>
            </w:pPr>
          </w:p>
        </w:tc>
        <w:tc>
          <w:tcPr>
            <w:tcW w:w="5479" w:type="dxa"/>
            <w:tcBorders>
              <w:tl2br w:val="nil"/>
              <w:tr2bl w:val="nil"/>
            </w:tcBorders>
            <w:tcMar>
              <w:top w:w="15" w:type="dxa"/>
              <w:left w:w="15" w:type="dxa"/>
              <w:right w:w="15" w:type="dxa"/>
            </w:tcMar>
            <w:vAlign w:val="center"/>
          </w:tcPr>
          <w:p>
            <w:pPr>
              <w:ind w:firstLine="0" w:firstLineChars="0"/>
              <w:rPr>
                <w:rStyle w:val="27"/>
                <w:rFonts w:hint="eastAsia" w:asciiTheme="minorEastAsia" w:hAnsiTheme="minorEastAsia" w:cstheme="minorEastAsia"/>
                <w:b w:val="0"/>
                <w:bCs/>
                <w:sz w:val="28"/>
                <w:szCs w:val="28"/>
                <w:shd w:val="clear" w:color="auto" w:fill="FFFFFF"/>
              </w:rPr>
            </w:pPr>
            <w:r>
              <w:rPr>
                <w:rStyle w:val="27"/>
                <w:rFonts w:hint="eastAsia" w:asciiTheme="minorEastAsia" w:hAnsiTheme="minorEastAsia" w:cstheme="minorEastAsia"/>
                <w:b w:val="0"/>
                <w:bCs/>
                <w:sz w:val="28"/>
                <w:szCs w:val="28"/>
                <w:shd w:val="clear" w:color="auto" w:fill="FFFFFF"/>
                <w:lang w:bidi="ar"/>
              </w:rPr>
              <w:t>修复后的应用系统测试与发布上线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897" w:type="dxa"/>
            <w:tcBorders>
              <w:tl2br w:val="nil"/>
              <w:tr2bl w:val="nil"/>
            </w:tcBorders>
            <w:tcMar>
              <w:top w:w="15" w:type="dxa"/>
              <w:left w:w="15" w:type="dxa"/>
              <w:right w:w="15" w:type="dxa"/>
            </w:tcMar>
            <w:vAlign w:val="center"/>
          </w:tcPr>
          <w:p>
            <w:pPr>
              <w:ind w:firstLine="280" w:firstLineChars="100"/>
              <w:rPr>
                <w:rStyle w:val="27"/>
                <w:rFonts w:hint="eastAsia" w:asciiTheme="minorEastAsia" w:hAnsiTheme="minorEastAsia" w:cstheme="minorEastAsia"/>
                <w:b w:val="0"/>
                <w:bCs/>
                <w:sz w:val="28"/>
                <w:szCs w:val="28"/>
                <w:shd w:val="clear" w:color="auto" w:fill="FFFFFF"/>
                <w:lang w:bidi="ar"/>
              </w:rPr>
            </w:pPr>
            <w:r>
              <w:rPr>
                <w:rStyle w:val="27"/>
                <w:rFonts w:hint="eastAsia" w:asciiTheme="minorEastAsia" w:hAnsiTheme="minorEastAsia" w:cstheme="minorEastAsia"/>
                <w:b w:val="0"/>
                <w:bCs/>
                <w:sz w:val="28"/>
                <w:szCs w:val="28"/>
                <w:shd w:val="clear" w:color="auto" w:fill="FFFFFF"/>
                <w:lang w:bidi="ar"/>
              </w:rPr>
              <w:t>4</w:t>
            </w:r>
          </w:p>
        </w:tc>
        <w:tc>
          <w:tcPr>
            <w:tcW w:w="654" w:type="dxa"/>
            <w:vMerge w:val="continue"/>
            <w:tcBorders>
              <w:tl2br w:val="nil"/>
              <w:tr2bl w:val="nil"/>
            </w:tcBorders>
            <w:tcMar>
              <w:top w:w="15" w:type="dxa"/>
              <w:left w:w="15" w:type="dxa"/>
              <w:right w:w="15" w:type="dxa"/>
            </w:tcMar>
            <w:vAlign w:val="center"/>
          </w:tcPr>
          <w:p>
            <w:pPr>
              <w:ind w:firstLine="560" w:firstLineChars="200"/>
              <w:rPr>
                <w:rStyle w:val="27"/>
                <w:rFonts w:hint="eastAsia" w:asciiTheme="minorEastAsia" w:hAnsiTheme="minorEastAsia" w:cstheme="minorEastAsia"/>
                <w:b w:val="0"/>
                <w:bCs/>
                <w:sz w:val="28"/>
                <w:szCs w:val="28"/>
                <w:shd w:val="clear" w:color="auto" w:fill="FFFFFF"/>
              </w:rPr>
            </w:pPr>
          </w:p>
        </w:tc>
        <w:tc>
          <w:tcPr>
            <w:tcW w:w="1550" w:type="dxa"/>
            <w:tcBorders>
              <w:tl2br w:val="nil"/>
              <w:tr2bl w:val="nil"/>
            </w:tcBorders>
            <w:tcMar>
              <w:top w:w="15" w:type="dxa"/>
              <w:left w:w="15" w:type="dxa"/>
              <w:right w:w="15" w:type="dxa"/>
            </w:tcMar>
            <w:vAlign w:val="center"/>
          </w:tcPr>
          <w:p>
            <w:pPr>
              <w:ind w:firstLine="0" w:firstLineChars="0"/>
              <w:rPr>
                <w:rStyle w:val="27"/>
                <w:rFonts w:hint="eastAsia" w:asciiTheme="minorEastAsia" w:hAnsiTheme="minorEastAsia" w:cstheme="minorEastAsia"/>
                <w:b w:val="0"/>
                <w:bCs/>
                <w:sz w:val="28"/>
                <w:szCs w:val="28"/>
                <w:shd w:val="clear" w:color="auto" w:fill="FFFFFF"/>
                <w:lang w:bidi="ar"/>
              </w:rPr>
            </w:pPr>
            <w:r>
              <w:rPr>
                <w:rStyle w:val="27"/>
                <w:rFonts w:hint="eastAsia" w:asciiTheme="minorEastAsia" w:hAnsiTheme="minorEastAsia" w:cstheme="minorEastAsia"/>
                <w:b w:val="0"/>
                <w:bCs/>
                <w:sz w:val="28"/>
                <w:szCs w:val="28"/>
                <w:shd w:val="clear" w:color="auto" w:fill="FFFFFF"/>
              </w:rPr>
              <w:t>其他系统的接入与调试</w:t>
            </w:r>
          </w:p>
        </w:tc>
        <w:tc>
          <w:tcPr>
            <w:tcW w:w="5479" w:type="dxa"/>
            <w:tcBorders>
              <w:tl2br w:val="nil"/>
              <w:tr2bl w:val="nil"/>
            </w:tcBorders>
            <w:tcMar>
              <w:top w:w="15" w:type="dxa"/>
              <w:left w:w="15" w:type="dxa"/>
              <w:right w:w="15" w:type="dxa"/>
            </w:tcMar>
            <w:vAlign w:val="center"/>
          </w:tcPr>
          <w:p>
            <w:pPr>
              <w:ind w:firstLine="0" w:firstLineChars="0"/>
              <w:rPr>
                <w:rStyle w:val="27"/>
                <w:rFonts w:hint="eastAsia" w:asciiTheme="minorEastAsia" w:hAnsiTheme="minorEastAsia" w:cstheme="minorEastAsia"/>
                <w:b w:val="0"/>
                <w:bCs/>
                <w:sz w:val="28"/>
                <w:szCs w:val="28"/>
                <w:shd w:val="clear" w:color="auto" w:fill="FFFFFF"/>
                <w:lang w:bidi="ar"/>
              </w:rPr>
            </w:pPr>
            <w:r>
              <w:rPr>
                <w:rStyle w:val="27"/>
                <w:rFonts w:hint="eastAsia" w:asciiTheme="minorEastAsia" w:hAnsiTheme="minorEastAsia" w:cstheme="minorEastAsia"/>
                <w:b w:val="0"/>
                <w:bCs/>
                <w:sz w:val="28"/>
                <w:szCs w:val="28"/>
                <w:shd w:val="clear" w:color="auto" w:fill="FFFFFF"/>
              </w:rPr>
              <w:t>在系统运维期间对需要各种方式进行对接的工作提供实际性的支撑，包括但不限于修改/增加接口，配合其他项目工程师进行技术沟通及对接工作等。</w:t>
            </w:r>
          </w:p>
        </w:tc>
      </w:tr>
    </w:tbl>
    <w:p>
      <w:pPr>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三、成果文件</w:t>
      </w:r>
    </w:p>
    <w:p>
      <w:pPr>
        <w:pStyle w:val="2"/>
        <w:rPr>
          <w:rFonts w:hint="eastAsia" w:asciiTheme="minorEastAsia" w:hAnsiTheme="minorEastAsia" w:cstheme="minorEastAsia"/>
          <w:sz w:val="28"/>
          <w:szCs w:val="28"/>
        </w:rPr>
      </w:pPr>
      <w:r>
        <w:rPr>
          <w:rFonts w:hint="eastAsia" w:asciiTheme="minorEastAsia" w:hAnsiTheme="minorEastAsia" w:cstheme="minorEastAsia"/>
          <w:sz w:val="28"/>
          <w:szCs w:val="28"/>
        </w:rPr>
        <w:t>1、桩基质量数据库（约60个项目的完整数据，包括在建项目约50个，竣工项目约10个）。</w:t>
      </w:r>
    </w:p>
    <w:p>
      <w:pPr>
        <w:pStyle w:val="2"/>
        <w:rPr>
          <w:rFonts w:hint="eastAsia" w:asciiTheme="minorEastAsia" w:hAnsiTheme="minorEastAsia" w:cstheme="minorEastAsia"/>
          <w:sz w:val="28"/>
          <w:szCs w:val="28"/>
        </w:rPr>
      </w:pPr>
      <w:r>
        <w:rPr>
          <w:rFonts w:hint="eastAsia" w:asciiTheme="minorEastAsia" w:hAnsiTheme="minorEastAsia" w:cstheme="minorEastAsia"/>
          <w:sz w:val="28"/>
          <w:szCs w:val="28"/>
        </w:rPr>
        <w:t>2、操作手册</w:t>
      </w:r>
    </w:p>
    <w:p>
      <w:pPr>
        <w:pStyle w:val="2"/>
        <w:rPr>
          <w:rFonts w:hint="eastAsia" w:asciiTheme="minorEastAsia" w:hAnsiTheme="minorEastAsia" w:cstheme="minorEastAsia"/>
          <w:sz w:val="28"/>
          <w:szCs w:val="28"/>
        </w:rPr>
      </w:pPr>
      <w:r>
        <w:rPr>
          <w:rFonts w:hint="eastAsia" w:asciiTheme="minorEastAsia" w:hAnsiTheme="minorEastAsia" w:cstheme="minorEastAsia"/>
          <w:sz w:val="28"/>
          <w:szCs w:val="28"/>
        </w:rPr>
        <w:t>3、培训资料。</w:t>
      </w:r>
    </w:p>
    <w:p>
      <w:pPr>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四、验收要求</w:t>
      </w:r>
    </w:p>
    <w:p>
      <w:pPr>
        <w:ind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1、按照磋商文件服务内容进行验收。</w:t>
      </w:r>
    </w:p>
    <w:p>
      <w:pPr>
        <w:ind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2、成交人须按磋商文件要求递交成果文件。质量验收标准制定须组织专家评审论证。</w:t>
      </w:r>
    </w:p>
    <w:p>
      <w:pPr>
        <w:ind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3、验收方式：成交人按磋商文件及合同约定完成所有工作后，应向采购人提供相关资料及验收申请；所有服务成果经采购人验收通过后，采购人于7日内结合服务期内成交人的履约情况按照《横琴粤澳深度合作区城市规划和建设局建设工程桩基施工过程质量数据采集分析第三方技术支撑服务项目考核表》（详见附件）进行服务考核评价。</w:t>
      </w:r>
    </w:p>
    <w:p>
      <w:pPr>
        <w:ind w:firstLine="560" w:firstLineChars="200"/>
        <w:rPr>
          <w:sz w:val="28"/>
          <w:szCs w:val="28"/>
        </w:rPr>
      </w:pPr>
      <w:r>
        <w:rPr>
          <w:rFonts w:hint="eastAsia" w:asciiTheme="minorEastAsia" w:hAnsiTheme="minorEastAsia" w:cstheme="minorEastAsia"/>
          <w:sz w:val="28"/>
          <w:szCs w:val="28"/>
        </w:rPr>
        <w:t>4、验收标准：《横琴粤澳深度合作区城市规划和建设局建设工程桩基施工过程质量数据采集分析第三方技术支撑服务项目考核表》要求进行验收。</w:t>
      </w:r>
      <w:r>
        <w:rPr>
          <w:rFonts w:hint="eastAsia"/>
          <w:sz w:val="28"/>
          <w:szCs w:val="28"/>
        </w:rPr>
        <w:t xml:space="preserve"> </w:t>
      </w:r>
    </w:p>
    <w:p>
      <w:pPr>
        <w:pStyle w:val="2"/>
        <w:spacing w:after="156" w:afterLines="50"/>
        <w:ind w:left="0" w:leftChars="0" w:firstLine="560" w:firstLineChars="200"/>
        <w:rPr>
          <w:sz w:val="28"/>
          <w:szCs w:val="28"/>
        </w:rPr>
      </w:pPr>
      <w:r>
        <w:rPr>
          <w:rFonts w:hint="eastAsia"/>
          <w:sz w:val="28"/>
          <w:szCs w:val="28"/>
        </w:rPr>
        <w:t>5、服务考核评价</w:t>
      </w:r>
    </w:p>
    <w:p>
      <w:pPr>
        <w:pStyle w:val="2"/>
        <w:numPr>
          <w:ilvl w:val="255"/>
          <w:numId w:val="0"/>
        </w:numPr>
        <w:ind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服务考核评价分为优秀（90分（不含）以上）、良好（80分（不含）-90分）、合格（70分（不含）-80分）和不合格（70分（含）以下）。成交人服务考核评分结果与结算费用相挂钩，若服务考核评价达到优秀，则按项目合同金额的100%进行结算；若服务考核评价达到良好，则按项目合同金额的98%进行结算；若服务考核评价合格，则按项目合同金额的95%进行结算；若服务考核评价不合格，则按项目合同金额的90%进行结算。</w:t>
      </w:r>
    </w:p>
    <w:p>
      <w:pPr>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五、服务期限</w:t>
      </w:r>
    </w:p>
    <w:p>
      <w:pPr>
        <w:ind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自合同签订之日起1年内完成。</w:t>
      </w:r>
    </w:p>
    <w:p>
      <w:pPr>
        <w:numPr>
          <w:ilvl w:val="255"/>
          <w:numId w:val="0"/>
        </w:numPr>
        <w:spacing w:line="432" w:lineRule="auto"/>
        <w:ind w:left="0" w:leftChars="0"/>
        <w:rPr>
          <w:rFonts w:hint="eastAsia" w:asciiTheme="minorEastAsia" w:hAnsiTheme="minorEastAsia" w:cstheme="minorEastAsia"/>
          <w:b/>
          <w:bCs/>
          <w:sz w:val="28"/>
          <w:szCs w:val="28"/>
        </w:rPr>
      </w:pPr>
      <w:r>
        <w:rPr>
          <w:rFonts w:hint="eastAsia" w:asciiTheme="minorEastAsia" w:hAnsiTheme="minorEastAsia" w:cstheme="minorEastAsia"/>
          <w:b/>
          <w:bCs/>
          <w:sz w:val="28"/>
          <w:szCs w:val="28"/>
        </w:rPr>
        <w:t>六、项目团队人员要求</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1、项目经理1人，工程类中级及以上职称或计算机技术与软件专业技术资格（中级及以上），且具备5年以上工程管理或信息管理工作经验。</w:t>
      </w:r>
    </w:p>
    <w:p>
      <w:pPr>
        <w:pStyle w:val="2"/>
        <w:ind w:left="0" w:leftChars="0" w:firstLine="560" w:firstLineChars="200"/>
      </w:pPr>
      <w:r>
        <w:rPr>
          <w:rFonts w:hint="eastAsia" w:asciiTheme="minorEastAsia" w:hAnsiTheme="minorEastAsia" w:cstheme="minorEastAsia"/>
          <w:sz w:val="28"/>
          <w:szCs w:val="28"/>
        </w:rPr>
        <w:t>2、团队成员至少2人，具有工程类助理及以上职称或计算机技术与软件专业技术资格（初级及以上）且具有2年或以上工程管理或信息管理工作经验。</w:t>
      </w:r>
    </w:p>
    <w:p>
      <w:pPr>
        <w:numPr>
          <w:ilvl w:val="255"/>
          <w:numId w:val="0"/>
        </w:numPr>
        <w:spacing w:after="156" w:afterLines="50"/>
        <w:ind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3、采购人向成交人发布工作指令后，成交人单位成员须在采购人要求的时间前到达指定地点。</w:t>
      </w:r>
    </w:p>
    <w:p>
      <w:pPr>
        <w:spacing w:after="156" w:afterLines="50"/>
        <w:ind w:firstLine="560" w:firstLineChars="200"/>
      </w:pPr>
      <w:r>
        <w:rPr>
          <w:rFonts w:hint="eastAsia" w:asciiTheme="minorEastAsia" w:hAnsiTheme="minorEastAsia" w:cstheme="minorEastAsia"/>
          <w:sz w:val="28"/>
          <w:szCs w:val="28"/>
        </w:rPr>
        <w:t>4、若遇到自然灾害或突发事件等情况，成交人须做好应急响应措施，采购人若有指令，成交人须立即应急响应，按采购人完成要求工作内容。</w:t>
      </w:r>
    </w:p>
    <w:p>
      <w:pPr>
        <w:pStyle w:val="2"/>
        <w:numPr>
          <w:ilvl w:val="255"/>
          <w:numId w:val="0"/>
        </w:numPr>
        <w:spacing w:after="156" w:afterLines="50"/>
        <w:rPr>
          <w:rFonts w:hint="eastAsia" w:ascii="仿宋_GB2312" w:hAnsi="仿宋_GB2312" w:eastAsia="仿宋_GB2312" w:cs="仿宋_GB2312"/>
          <w:sz w:val="24"/>
          <w:szCs w:val="24"/>
        </w:rPr>
      </w:pPr>
      <w:r>
        <w:rPr>
          <w:rFonts w:hint="eastAsia" w:asciiTheme="minorEastAsia" w:hAnsiTheme="minorEastAsia" w:cstheme="minorEastAsia"/>
          <w:b/>
          <w:bCs/>
          <w:sz w:val="28"/>
          <w:szCs w:val="28"/>
        </w:rPr>
        <w:t>七、付款方式</w:t>
      </w:r>
    </w:p>
    <w:p>
      <w:pPr>
        <w:spacing w:after="156" w:afterLines="50"/>
        <w:ind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1、第一次支付比例60%,乙方签订合同后5个工作日内，采购人向成交人支付合同总价款的60%。</w:t>
      </w:r>
    </w:p>
    <w:p>
      <w:pPr>
        <w:spacing w:after="156" w:afterLines="50"/>
        <w:ind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2、本合同全部履约完成，且所有服务成果经采购人验收通过后，采购人对成交人合同期服务进行考核评价，并按照考核评价结果进行项目结算。采购人在完成项目结算后15日内支付合同尾款。具体结算原则如下：</w:t>
      </w:r>
    </w:p>
    <w:p>
      <w:pPr>
        <w:spacing w:after="156" w:afterLines="50"/>
        <w:ind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1）若成交人服务考核评价达到优秀，则按合同总价款的100%进行结算；若成交人服务考核评价达到良好，则按合同总价款的98%进行结算；若服务考核评价合格，则按合同总价款的95%进行结算；若服务考核评价不合格，则按合同总价款的90%进行结算。</w:t>
      </w:r>
    </w:p>
    <w:p>
      <w:pPr>
        <w:spacing w:after="156" w:afterLines="50"/>
        <w:ind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（2）合同尾款=项目合同金额*考核评价的百分比-已支付的费用-违约金（如有）。 </w:t>
      </w:r>
    </w:p>
    <w:p>
      <w:pPr>
        <w:spacing w:after="156" w:afterLines="50"/>
        <w:ind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注：1、成交人凭以下有效文件与甲方结算： （1）合同； （2）成交人开具的符合采购人要求的正式发票； （3）考核表及相关资料； （4）成交通知书。 </w:t>
      </w:r>
    </w:p>
    <w:p>
      <w:pPr>
        <w:ind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2、每次支付款前，成交人应及时向采购人提供相应金额的正式发票，并对其真实性、合法性负责，若成交人提供的不合规的发票给采购人带来损失，相应责任由成交人承担。</w:t>
      </w:r>
    </w:p>
    <w:p>
      <w:pPr>
        <w:pStyle w:val="2"/>
        <w:ind w:left="0" w:leftChars="0"/>
        <w:rPr>
          <w:rFonts w:hint="eastAsia" w:asciiTheme="minorEastAsia" w:hAnsiTheme="minorEastAsia" w:cstheme="minorEastAsia"/>
          <w:b/>
          <w:bCs/>
          <w:kern w:val="2"/>
          <w:sz w:val="28"/>
          <w:szCs w:val="28"/>
        </w:rPr>
      </w:pPr>
      <w:r>
        <w:rPr>
          <w:rFonts w:hint="eastAsia" w:asciiTheme="minorEastAsia" w:hAnsiTheme="minorEastAsia" w:cstheme="minorEastAsia"/>
          <w:b/>
          <w:bCs/>
          <w:kern w:val="2"/>
          <w:sz w:val="28"/>
          <w:szCs w:val="28"/>
        </w:rPr>
        <w:t>八、双方的权利和义务</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（一）采购人权利和义务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（1）指定相对固定人员为本项目的总负责人，代表采购人与成交人接洽并负责本工作内容的决策、协调、发出指令和接收成交人的报告。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（2）提供必要的咨询服务的技术资料。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（3）根据合同约定的相关条款，按时支付成交人服务费用。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（4）为成交人咨询服务工作条件提供必要的便利。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（5）采购人对桩基检测项目研究过程的决策、控制、实施等环节实行全面管理，协调和监督项目工作开展，控制项目工作过程，进行项目成果验收。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（6）检查成交人项目人员到位情况，如因人力、能力不足致使项目工作不能按计划完成时，可要求成交人增加或替换相应的技术人员，直至采购人认可，成交人不得拒绝。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（7）采购人有权向成交人询问项目工作进展及相关情况，并要求成交人在指定时间内作出答复。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（8）采购人有权对成交人提交的阶段性成果、最终成果等相关工作文件进行审核并提出修改意见。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（9）采购人认为成交人工作人员未按照合同要求履行职责，有权要求成交人限期更换人员。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（10）采购人对成交人在委托权限范围内完成委托事项有指导、监督权利。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（11）采购人应将项目所需相关档案资料、信息数据等移交给成交人，成交人应予签收。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（12）采购人对成交人按照合同约定所履行的服务提供必要的支持与协助。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（二）成交人的权利与义务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（1）成交人所提供的服务应符合国家的有关法律、法规和行业标准的规定。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（2）成交人应保证组建一支由具有丰富的桩基检测管理能力和经验的工作人员所组成的工作团队；成交人应保证团队人员的稳定性，因特殊原因需临时替换或变更人员时，应征得采购人代表的同意。</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（3）成交人应委派固定的有丰富项目管理经验人员作为项目总负责人，代表成交人对本服务工作负责，并接受和贯彻采购人的指示，按时向采购人呈交成果报告。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（4）成交人所提供的建议、请示、报告和通知均应采用书面形式。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（5）成交人应独立完成服务工作，不得接受被服务项目单位的礼品馈赠、宴请及其它不当利益。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（6）成交人应按照合同的内容和要求完成各项服务。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（7）成交人应充分了解采购人意图和思路，认真研讨工作方案，开展各项工作。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（8）成交人应充分协调内部资源，保证工作质量。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（9）成交人应积极为采购人的日常任务和专项工作提供技术支持。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（10）成交人有权根据合同约定收取相应的服务费。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（11）采购人需要成交人配合的工作（包括但不限于与检测相关其它工作需求）成交人需积极配合。</w:t>
      </w:r>
    </w:p>
    <w:p>
      <w:pPr>
        <w:pStyle w:val="2"/>
        <w:ind w:left="0" w:leftChars="0"/>
        <w:rPr>
          <w:rFonts w:hint="eastAsia" w:asciiTheme="minorEastAsia" w:hAnsiTheme="minorEastAsia" w:eastAsiaTheme="minorEastAsia" w:cstheme="minorEastAsia"/>
          <w:b/>
          <w:bCs/>
          <w:sz w:val="28"/>
          <w:szCs w:val="28"/>
        </w:rPr>
      </w:pPr>
      <w:r>
        <w:rPr>
          <w:rFonts w:hint="eastAsia" w:asciiTheme="minorEastAsia" w:hAnsiTheme="minorEastAsia" w:cstheme="minorEastAsia"/>
          <w:b/>
          <w:bCs/>
          <w:sz w:val="28"/>
          <w:szCs w:val="28"/>
        </w:rPr>
        <w:t>九、违约责任</w:t>
      </w:r>
    </w:p>
    <w:p>
      <w:pPr>
        <w:pStyle w:val="2"/>
        <w:ind w:left="0" w:leftChars="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（一）采购人违约责任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采购人未按合同约定的期限向成交人支付合同价款的，成交人书面函告后给予采购人20个工作日的延期付款宽限期，宽限期内不视为采购人违约。宽限期届满，采购人仍未支付的，将自宽限期届满之日起，以逾期支付款项为基数，按全国银行间同业拆借中心公布的1年期贷款市场报价利率(LPR)向成交人支付逾期付款违约金，逾期付款违约金上限为逾期支付金额的10%。成交人不再向采购人主张其他任何违约责任。</w:t>
      </w:r>
    </w:p>
    <w:p>
      <w:pPr>
        <w:pStyle w:val="2"/>
        <w:ind w:left="0" w:leftChars="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（二）成交人违约责任 </w:t>
      </w:r>
    </w:p>
    <w:p>
      <w:pPr>
        <w:pStyle w:val="2"/>
        <w:ind w:left="0" w:leftChars="0" w:firstLine="280" w:firstLineChars="1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1、成交人有以下行为的，采购人有权解除合同，要求成交人立即归还已收到的款项及采购人的全部资料，逾期归还的，每逾期1天按已支付金额的1‰向采购人支付违约金。     </w:t>
      </w:r>
    </w:p>
    <w:p>
      <w:pPr>
        <w:pStyle w:val="2"/>
        <w:ind w:left="0" w:leftChars="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（1）串通各参建单位，出具与事实不符的现场评定意见或报告。 </w:t>
      </w:r>
    </w:p>
    <w:p>
      <w:pPr>
        <w:pStyle w:val="2"/>
        <w:ind w:left="0" w:leftChars="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（2）利用本项目业务关系，向相关单位及人员索要或接受礼金、有价证券、贵重物品、好处费、感谢费等。 </w:t>
      </w:r>
    </w:p>
    <w:p>
      <w:pPr>
        <w:pStyle w:val="2"/>
        <w:ind w:left="0" w:leftChars="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（3）外泄采购人提供的检测相关资料。 </w:t>
      </w:r>
    </w:p>
    <w:p>
      <w:pPr>
        <w:pStyle w:val="2"/>
        <w:ind w:left="0" w:leftChars="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（4）成交人提供的服务不符合采购文件、投标文件或本项目要求，经发函整改仍不符合要求。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2、除合同另有约定外，成交人未能按合同规定时间完成所有工作并提交成果文件的，每延误一天，采购人有权在尚未支付的合同款项中扣除合同总金额的1‰，最高扣除额不超过合同总金额的10%。</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3、成交人必须在合同约定服务期内，完成检测系统与横琴智慧建设监管平台的数据对接，未按要求对接的应向采购人支付合同总金额10%的违约金。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 xml:space="preserve">（三）违约方应赔偿守约方包括但不限于实际损失及仲裁费、律师费、保全费、执行费、交通费、调查费等一切损失。 </w:t>
      </w:r>
    </w:p>
    <w:p>
      <w:pPr>
        <w:pStyle w:val="2"/>
        <w:ind w:left="0" w:leftChars="0" w:firstLine="560" w:firstLineChars="200"/>
        <w:rPr>
          <w:rFonts w:hint="eastAsia" w:asciiTheme="minorEastAsia" w:hAnsiTheme="minorEastAsia" w:cstheme="minorEastAsia"/>
          <w:sz w:val="28"/>
          <w:szCs w:val="28"/>
        </w:rPr>
      </w:pPr>
      <w:r>
        <w:rPr>
          <w:rFonts w:hint="eastAsia" w:asciiTheme="minorEastAsia" w:hAnsiTheme="minorEastAsia" w:cstheme="minorEastAsia"/>
          <w:sz w:val="28"/>
          <w:szCs w:val="28"/>
        </w:rPr>
        <w:t>（四）成交人其他违约责任按《中华人民共和国民法典》及相关法律法规处理。</w:t>
      </w:r>
    </w:p>
    <w:p>
      <w:pPr>
        <w:pStyle w:val="70"/>
        <w:jc w:val="center"/>
        <w:rPr>
          <w:rFonts w:hint="default"/>
          <w:b/>
          <w:sz w:val="28"/>
        </w:rPr>
      </w:pPr>
    </w:p>
    <w:p>
      <w:pPr>
        <w:pStyle w:val="70"/>
        <w:jc w:val="center"/>
        <w:rPr>
          <w:rFonts w:hint="default"/>
        </w:rPr>
      </w:pPr>
      <w:r>
        <w:rPr>
          <w:b/>
          <w:sz w:val="28"/>
        </w:rPr>
        <w:t>项目考核表</w:t>
      </w:r>
    </w:p>
    <w:p>
      <w:pPr>
        <w:pStyle w:val="70"/>
        <w:jc w:val="both"/>
        <w:rPr>
          <w:rFonts w:hint="default"/>
        </w:rPr>
      </w:pPr>
      <w:r>
        <w:rPr>
          <w:b/>
          <w:sz w:val="21"/>
        </w:rPr>
        <w:t>被考核单位:</w:t>
      </w:r>
    </w:p>
    <w:p>
      <w:pPr>
        <w:pStyle w:val="70"/>
        <w:jc w:val="both"/>
        <w:rPr>
          <w:rFonts w:hint="default"/>
        </w:rPr>
      </w:pPr>
      <w:r>
        <w:rPr>
          <w:b/>
          <w:sz w:val="21"/>
        </w:rPr>
        <w:t>考核期:     年    月    日     至     年     月    日</w:t>
      </w:r>
    </w:p>
    <w:tbl>
      <w:tblPr>
        <w:tblStyle w:val="25"/>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54"/>
        <w:gridCol w:w="887"/>
        <w:gridCol w:w="1275"/>
        <w:gridCol w:w="438"/>
        <w:gridCol w:w="1825"/>
        <w:gridCol w:w="287"/>
        <w:gridCol w:w="634"/>
        <w:gridCol w:w="912"/>
        <w:gridCol w:w="870"/>
      </w:tblGrid>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4" w:type="dxa"/>
            <w:tcBorders>
              <w:top w:val="single" w:color="000000" w:sz="4" w:space="0"/>
              <w:left w:val="single" w:color="000000" w:sz="4" w:space="0"/>
              <w:bottom w:val="single" w:color="auto" w:sz="4" w:space="0"/>
              <w:right w:val="single" w:color="000000" w:sz="4" w:space="0"/>
            </w:tcBorders>
            <w:tcMar>
              <w:top w:w="0" w:type="dxa"/>
              <w:left w:w="105" w:type="dxa"/>
              <w:bottom w:w="0" w:type="dxa"/>
              <w:right w:w="105" w:type="dxa"/>
            </w:tcMar>
          </w:tcPr>
          <w:p>
            <w:pPr>
              <w:pStyle w:val="70"/>
              <w:jc w:val="center"/>
              <w:rPr>
                <w:rFonts w:hint="default"/>
                <w:sz w:val="24"/>
                <w:szCs w:val="24"/>
              </w:rPr>
            </w:pPr>
            <w:r>
              <w:rPr>
                <w:b/>
                <w:color w:val="000000"/>
                <w:sz w:val="24"/>
                <w:szCs w:val="24"/>
              </w:rPr>
              <w:t>序号</w:t>
            </w:r>
          </w:p>
        </w:tc>
        <w:tc>
          <w:tcPr>
            <w:tcW w:w="887" w:type="dxa"/>
            <w:tcBorders>
              <w:top w:val="single" w:color="000000" w:sz="4" w:space="0"/>
              <w:left w:val="single" w:color="000000" w:sz="4" w:space="0"/>
              <w:bottom w:val="single" w:color="auto" w:sz="4" w:space="0"/>
              <w:right w:val="single" w:color="000000" w:sz="4" w:space="0"/>
            </w:tcBorders>
            <w:tcMar>
              <w:top w:w="0" w:type="dxa"/>
              <w:left w:w="105" w:type="dxa"/>
              <w:bottom w:w="0" w:type="dxa"/>
              <w:right w:w="105" w:type="dxa"/>
            </w:tcMar>
          </w:tcPr>
          <w:p>
            <w:pPr>
              <w:pStyle w:val="70"/>
              <w:jc w:val="center"/>
              <w:rPr>
                <w:rFonts w:hint="default"/>
                <w:b/>
                <w:color w:val="000000"/>
                <w:sz w:val="24"/>
                <w:szCs w:val="24"/>
              </w:rPr>
            </w:pPr>
            <w:r>
              <w:rPr>
                <w:b/>
                <w:color w:val="000000"/>
                <w:sz w:val="24"/>
                <w:szCs w:val="24"/>
              </w:rPr>
              <w:t>类别</w:t>
            </w:r>
          </w:p>
        </w:tc>
        <w:tc>
          <w:tcPr>
            <w:tcW w:w="1275" w:type="dxa"/>
            <w:tcBorders>
              <w:top w:val="single" w:color="000000" w:sz="4" w:space="0"/>
              <w:left w:val="single" w:color="000000" w:sz="4" w:space="0"/>
              <w:bottom w:val="single" w:color="auto" w:sz="4" w:space="0"/>
              <w:right w:val="single" w:color="000000" w:sz="4" w:space="0"/>
            </w:tcBorders>
            <w:tcMar>
              <w:top w:w="0" w:type="dxa"/>
              <w:left w:w="105" w:type="dxa"/>
              <w:bottom w:w="0" w:type="dxa"/>
              <w:right w:w="105" w:type="dxa"/>
            </w:tcMar>
          </w:tcPr>
          <w:p>
            <w:pPr>
              <w:pStyle w:val="70"/>
              <w:rPr>
                <w:rFonts w:hint="default"/>
                <w:sz w:val="24"/>
                <w:szCs w:val="24"/>
              </w:rPr>
            </w:pPr>
            <w:r>
              <w:rPr>
                <w:b/>
                <w:color w:val="000000"/>
                <w:sz w:val="24"/>
                <w:szCs w:val="24"/>
              </w:rPr>
              <w:t>考核内容</w:t>
            </w:r>
          </w:p>
        </w:tc>
        <w:tc>
          <w:tcPr>
            <w:tcW w:w="2550" w:type="dxa"/>
            <w:gridSpan w:val="3"/>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rPr>
            </w:pPr>
            <w:r>
              <w:rPr>
                <w:b/>
                <w:color w:val="000000"/>
                <w:sz w:val="24"/>
                <w:szCs w:val="24"/>
              </w:rPr>
              <w:t>扣分标准</w:t>
            </w:r>
          </w:p>
        </w:tc>
        <w:tc>
          <w:tcPr>
            <w:tcW w:w="63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r>
              <w:rPr>
                <w:b/>
                <w:color w:val="000000"/>
                <w:sz w:val="24"/>
                <w:szCs w:val="24"/>
              </w:rPr>
              <w:t>分值</w:t>
            </w:r>
          </w:p>
        </w:tc>
        <w:tc>
          <w:tcPr>
            <w:tcW w:w="912"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r>
              <w:rPr>
                <w:b/>
                <w:color w:val="000000"/>
                <w:sz w:val="24"/>
                <w:szCs w:val="24"/>
              </w:rPr>
              <w:t>扣分情形</w:t>
            </w:r>
          </w:p>
        </w:tc>
        <w:tc>
          <w:tcPr>
            <w:tcW w:w="87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r>
              <w:rPr>
                <w:b/>
                <w:color w:val="000000"/>
                <w:sz w:val="24"/>
                <w:szCs w:val="24"/>
              </w:rPr>
              <w:t>得分</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1047" w:hRule="atLeast"/>
        </w:trPr>
        <w:tc>
          <w:tcPr>
            <w:tcW w:w="45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70"/>
              <w:jc w:val="center"/>
              <w:rPr>
                <w:rFonts w:hint="default"/>
                <w:color w:val="000000"/>
                <w:sz w:val="24"/>
                <w:szCs w:val="24"/>
                <w:lang w:eastAsia="zh-CN"/>
              </w:rPr>
            </w:pPr>
            <w:r>
              <w:rPr>
                <w:color w:val="000000"/>
                <w:sz w:val="24"/>
                <w:szCs w:val="24"/>
                <w:lang w:eastAsia="zh-CN"/>
              </w:rPr>
              <w:t>1</w:t>
            </w:r>
          </w:p>
        </w:tc>
        <w:tc>
          <w:tcPr>
            <w:tcW w:w="887" w:type="dxa"/>
            <w:vMerge w:val="restart"/>
            <w:tcBorders>
              <w:top w:val="single" w:color="auto" w:sz="4" w:space="0"/>
              <w:left w:val="single" w:color="auto" w:sz="4" w:space="0"/>
              <w:right w:val="single" w:color="auto" w:sz="4" w:space="0"/>
            </w:tcBorders>
            <w:tcMar>
              <w:top w:w="0" w:type="dxa"/>
              <w:left w:w="105" w:type="dxa"/>
              <w:bottom w:w="0" w:type="dxa"/>
              <w:right w:w="105" w:type="dxa"/>
            </w:tcMar>
          </w:tcPr>
          <w:p>
            <w:pPr>
              <w:pStyle w:val="70"/>
              <w:rPr>
                <w:rFonts w:hint="default"/>
                <w:color w:val="000000"/>
                <w:sz w:val="24"/>
                <w:szCs w:val="24"/>
                <w:lang w:eastAsia="zh-CN"/>
              </w:rPr>
            </w:pPr>
            <w:r>
              <w:rPr>
                <w:color w:val="000000"/>
                <w:sz w:val="24"/>
                <w:szCs w:val="24"/>
              </w:rPr>
              <w:t>技术咨询指导服务</w:t>
            </w:r>
          </w:p>
        </w:tc>
        <w:tc>
          <w:tcPr>
            <w:tcW w:w="127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70"/>
              <w:rPr>
                <w:rFonts w:hint="default"/>
                <w:color w:val="000000"/>
                <w:sz w:val="24"/>
                <w:szCs w:val="24"/>
                <w:lang w:eastAsia="zh-CN"/>
              </w:rPr>
            </w:pPr>
            <w:r>
              <w:rPr>
                <w:color w:val="000000"/>
                <w:sz w:val="24"/>
                <w:szCs w:val="24"/>
                <w:lang w:eastAsia="zh-CN"/>
              </w:rPr>
              <w:t>桩基检测数据采集情况</w:t>
            </w:r>
          </w:p>
        </w:tc>
        <w:tc>
          <w:tcPr>
            <w:tcW w:w="2550" w:type="dxa"/>
            <w:gridSpan w:val="3"/>
            <w:tcBorders>
              <w:top w:val="nil"/>
              <w:left w:val="single" w:color="auto" w:sz="4" w:space="0"/>
              <w:bottom w:val="single" w:color="000000" w:sz="4" w:space="0"/>
              <w:right w:val="single" w:color="000000" w:sz="4" w:space="0"/>
            </w:tcBorders>
            <w:tcMar>
              <w:top w:w="0" w:type="dxa"/>
              <w:left w:w="105" w:type="dxa"/>
              <w:bottom w:w="0" w:type="dxa"/>
              <w:right w:w="105" w:type="dxa"/>
            </w:tcMar>
          </w:tcPr>
          <w:p>
            <w:pPr>
              <w:pStyle w:val="70"/>
              <w:numPr>
                <w:ilvl w:val="0"/>
                <w:numId w:val="7"/>
              </w:numPr>
              <w:rPr>
                <w:rFonts w:hint="default"/>
                <w:sz w:val="24"/>
                <w:szCs w:val="24"/>
                <w:lang w:eastAsia="zh-CN"/>
              </w:rPr>
            </w:pPr>
            <w:r>
              <w:rPr>
                <w:sz w:val="24"/>
                <w:szCs w:val="24"/>
                <w:lang w:eastAsia="zh-CN"/>
              </w:rPr>
              <w:t>项目</w:t>
            </w:r>
            <w:r>
              <w:rPr>
                <w:sz w:val="24"/>
                <w:szCs w:val="24"/>
              </w:rPr>
              <w:t>检测数据</w:t>
            </w:r>
            <w:r>
              <w:rPr>
                <w:sz w:val="24"/>
                <w:szCs w:val="24"/>
                <w:lang w:eastAsia="zh-CN"/>
              </w:rPr>
              <w:t>采集不全面，历史项目和在建项目合计：50%</w:t>
            </w:r>
            <w:r>
              <w:rPr>
                <w:rFonts w:hint="default"/>
                <w:sz w:val="24"/>
                <w:szCs w:val="24"/>
                <w:lang w:eastAsia="zh-CN"/>
              </w:rPr>
              <w:t>≤</w:t>
            </w:r>
            <w:r>
              <w:rPr>
                <w:sz w:val="24"/>
                <w:szCs w:val="24"/>
                <w:lang w:eastAsia="zh-CN"/>
              </w:rPr>
              <w:t>采集数量&lt;80%，</w:t>
            </w:r>
            <w:r>
              <w:rPr>
                <w:sz w:val="24"/>
                <w:szCs w:val="24"/>
              </w:rPr>
              <w:t>扣</w:t>
            </w:r>
            <w:r>
              <w:rPr>
                <w:sz w:val="24"/>
                <w:szCs w:val="24"/>
                <w:lang w:eastAsia="zh-CN"/>
              </w:rPr>
              <w:t>2</w:t>
            </w:r>
            <w:r>
              <w:rPr>
                <w:sz w:val="24"/>
                <w:szCs w:val="24"/>
              </w:rPr>
              <w:t>分/次</w:t>
            </w:r>
            <w:r>
              <w:rPr>
                <w:sz w:val="24"/>
                <w:szCs w:val="24"/>
                <w:lang w:eastAsia="zh-CN"/>
              </w:rPr>
              <w:t>；采集数量&lt;50%，</w:t>
            </w:r>
            <w:r>
              <w:rPr>
                <w:sz w:val="24"/>
                <w:szCs w:val="24"/>
              </w:rPr>
              <w:t>扣</w:t>
            </w:r>
            <w:r>
              <w:rPr>
                <w:sz w:val="24"/>
                <w:szCs w:val="24"/>
                <w:lang w:eastAsia="zh-CN"/>
              </w:rPr>
              <w:t>1</w:t>
            </w:r>
            <w:r>
              <w:rPr>
                <w:sz w:val="24"/>
                <w:szCs w:val="24"/>
              </w:rPr>
              <w:t>分/次</w:t>
            </w:r>
            <w:r>
              <w:rPr>
                <w:sz w:val="24"/>
                <w:szCs w:val="24"/>
                <w:lang w:eastAsia="zh-CN"/>
              </w:rPr>
              <w:t>；</w:t>
            </w:r>
          </w:p>
          <w:p>
            <w:pPr>
              <w:pStyle w:val="70"/>
              <w:numPr>
                <w:ilvl w:val="0"/>
                <w:numId w:val="7"/>
              </w:numPr>
              <w:rPr>
                <w:rFonts w:hint="default"/>
                <w:sz w:val="24"/>
                <w:szCs w:val="24"/>
                <w:lang w:eastAsia="zh-CN"/>
              </w:rPr>
            </w:pPr>
            <w:r>
              <w:rPr>
                <w:sz w:val="24"/>
                <w:szCs w:val="24"/>
                <w:lang w:eastAsia="zh-CN"/>
              </w:rPr>
              <w:t>每个项目采集的桩检测数据数量与实际数量的占比：50%</w:t>
            </w:r>
            <w:r>
              <w:rPr>
                <w:rFonts w:hint="default"/>
                <w:sz w:val="24"/>
                <w:szCs w:val="24"/>
                <w:lang w:eastAsia="zh-CN"/>
              </w:rPr>
              <w:t>≤</w:t>
            </w:r>
            <w:r>
              <w:rPr>
                <w:sz w:val="24"/>
                <w:szCs w:val="24"/>
                <w:lang w:eastAsia="zh-CN"/>
              </w:rPr>
              <w:t>采集数量占比&lt;80%，</w:t>
            </w:r>
            <w:r>
              <w:rPr>
                <w:sz w:val="24"/>
                <w:szCs w:val="24"/>
              </w:rPr>
              <w:t>扣</w:t>
            </w:r>
            <w:r>
              <w:rPr>
                <w:sz w:val="24"/>
                <w:szCs w:val="24"/>
                <w:lang w:eastAsia="zh-CN"/>
              </w:rPr>
              <w:t>2</w:t>
            </w:r>
            <w:r>
              <w:rPr>
                <w:sz w:val="24"/>
                <w:szCs w:val="24"/>
              </w:rPr>
              <w:t>分/次</w:t>
            </w:r>
            <w:r>
              <w:rPr>
                <w:sz w:val="24"/>
                <w:szCs w:val="24"/>
                <w:lang w:eastAsia="zh-CN"/>
              </w:rPr>
              <w:t>；采集数量占&lt;50%，</w:t>
            </w:r>
            <w:r>
              <w:rPr>
                <w:sz w:val="24"/>
                <w:szCs w:val="24"/>
              </w:rPr>
              <w:t>扣</w:t>
            </w:r>
            <w:r>
              <w:rPr>
                <w:sz w:val="24"/>
                <w:szCs w:val="24"/>
                <w:lang w:eastAsia="zh-CN"/>
              </w:rPr>
              <w:t>1</w:t>
            </w:r>
            <w:r>
              <w:rPr>
                <w:sz w:val="24"/>
                <w:szCs w:val="24"/>
              </w:rPr>
              <w:t>分/次</w:t>
            </w:r>
            <w:r>
              <w:rPr>
                <w:sz w:val="24"/>
                <w:szCs w:val="24"/>
                <w:lang w:eastAsia="zh-CN"/>
              </w:rPr>
              <w:t xml:space="preserve">； </w:t>
            </w:r>
          </w:p>
          <w:p>
            <w:pPr>
              <w:pStyle w:val="70"/>
              <w:numPr>
                <w:ilvl w:val="0"/>
                <w:numId w:val="7"/>
              </w:numPr>
              <w:rPr>
                <w:rFonts w:hint="default"/>
                <w:sz w:val="24"/>
                <w:szCs w:val="24"/>
              </w:rPr>
            </w:pPr>
            <w:r>
              <w:rPr>
                <w:sz w:val="24"/>
                <w:szCs w:val="24"/>
                <w:lang w:eastAsia="zh-CN"/>
              </w:rPr>
              <w:t>收集的数据在</w:t>
            </w:r>
            <w:r>
              <w:rPr>
                <w:sz w:val="24"/>
                <w:szCs w:val="24"/>
              </w:rPr>
              <w:t>平台表单、图片</w:t>
            </w:r>
            <w:r>
              <w:rPr>
                <w:sz w:val="24"/>
                <w:szCs w:val="24"/>
                <w:lang w:eastAsia="zh-CN"/>
              </w:rPr>
              <w:t>等录入不准确、不完整；</w:t>
            </w:r>
            <w:r>
              <w:rPr>
                <w:sz w:val="24"/>
                <w:szCs w:val="24"/>
              </w:rPr>
              <w:t>不具备风险问题预警分析的</w:t>
            </w:r>
            <w:r>
              <w:rPr>
                <w:sz w:val="24"/>
                <w:szCs w:val="24"/>
                <w:lang w:eastAsia="zh-CN"/>
              </w:rPr>
              <w:t>，</w:t>
            </w:r>
            <w:r>
              <w:rPr>
                <w:sz w:val="24"/>
                <w:szCs w:val="24"/>
              </w:rPr>
              <w:t>扣0.5分/项次；</w:t>
            </w:r>
          </w:p>
        </w:tc>
        <w:tc>
          <w:tcPr>
            <w:tcW w:w="63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color w:val="000000"/>
                <w:sz w:val="24"/>
                <w:szCs w:val="24"/>
                <w:lang w:eastAsia="zh-CN"/>
              </w:rPr>
            </w:pPr>
            <w:r>
              <w:rPr>
                <w:color w:val="000000"/>
                <w:sz w:val="24"/>
                <w:szCs w:val="24"/>
                <w:lang w:eastAsia="zh-CN"/>
              </w:rPr>
              <w:t>9</w:t>
            </w:r>
          </w:p>
        </w:tc>
        <w:tc>
          <w:tcPr>
            <w:tcW w:w="91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lang w:eastAsia="zh-CN"/>
              </w:rPr>
            </w:pPr>
          </w:p>
        </w:tc>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rPr>
                <w:rFonts w:eastAsiaTheme="minorEastAsia"/>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1047" w:hRule="atLeast"/>
        </w:trPr>
        <w:tc>
          <w:tcPr>
            <w:tcW w:w="45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70"/>
              <w:jc w:val="center"/>
              <w:rPr>
                <w:rFonts w:hint="default"/>
                <w:color w:val="000000"/>
                <w:sz w:val="24"/>
                <w:szCs w:val="24"/>
                <w:lang w:eastAsia="zh-CN"/>
              </w:rPr>
            </w:pPr>
            <w:r>
              <w:rPr>
                <w:color w:val="000000"/>
                <w:sz w:val="24"/>
                <w:szCs w:val="24"/>
                <w:lang w:eastAsia="zh-CN"/>
              </w:rPr>
              <w:t>2</w:t>
            </w:r>
          </w:p>
        </w:tc>
        <w:tc>
          <w:tcPr>
            <w:tcW w:w="887" w:type="dxa"/>
            <w:vMerge w:val="continue"/>
            <w:tcBorders>
              <w:left w:val="single" w:color="auto" w:sz="4" w:space="0"/>
              <w:bottom w:val="single" w:color="auto" w:sz="4" w:space="0"/>
              <w:right w:val="single" w:color="auto" w:sz="4" w:space="0"/>
            </w:tcBorders>
            <w:tcMar>
              <w:top w:w="0" w:type="dxa"/>
              <w:left w:w="105" w:type="dxa"/>
              <w:bottom w:w="0" w:type="dxa"/>
              <w:right w:w="105" w:type="dxa"/>
            </w:tcMar>
          </w:tcPr>
          <w:p>
            <w:pPr>
              <w:pStyle w:val="70"/>
              <w:rPr>
                <w:rFonts w:hint="default"/>
                <w:color w:val="000000"/>
                <w:sz w:val="24"/>
                <w:szCs w:val="24"/>
              </w:rPr>
            </w:pPr>
          </w:p>
        </w:tc>
        <w:tc>
          <w:tcPr>
            <w:tcW w:w="127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70"/>
              <w:rPr>
                <w:rFonts w:hint="default"/>
                <w:color w:val="000000"/>
                <w:sz w:val="24"/>
                <w:szCs w:val="24"/>
                <w:lang w:eastAsia="zh-CN"/>
              </w:rPr>
            </w:pPr>
            <w:r>
              <w:rPr>
                <w:sz w:val="24"/>
                <w:szCs w:val="24"/>
                <w:lang w:eastAsia="zh-CN"/>
              </w:rPr>
              <w:t>服务情况</w:t>
            </w:r>
          </w:p>
        </w:tc>
        <w:tc>
          <w:tcPr>
            <w:tcW w:w="2550" w:type="dxa"/>
            <w:gridSpan w:val="3"/>
            <w:tcBorders>
              <w:top w:val="nil"/>
              <w:left w:val="single" w:color="auto"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lang w:eastAsia="zh-CN"/>
              </w:rPr>
            </w:pPr>
            <w:r>
              <w:rPr>
                <w:sz w:val="24"/>
                <w:szCs w:val="24"/>
                <w:lang w:eastAsia="zh-CN"/>
              </w:rPr>
              <w:t>服务人员弄虚作假，不能按要求配合工作，扣</w:t>
            </w:r>
            <w:r>
              <w:rPr>
                <w:color w:val="000000"/>
                <w:sz w:val="24"/>
                <w:szCs w:val="24"/>
                <w:lang w:eastAsia="zh-CN"/>
              </w:rPr>
              <w:t>5分</w:t>
            </w:r>
            <w:r>
              <w:rPr>
                <w:sz w:val="24"/>
                <w:szCs w:val="24"/>
              </w:rPr>
              <w:t>/</w:t>
            </w:r>
            <w:r>
              <w:rPr>
                <w:sz w:val="24"/>
                <w:szCs w:val="24"/>
                <w:lang w:eastAsia="zh-CN"/>
              </w:rPr>
              <w:t>次</w:t>
            </w:r>
          </w:p>
        </w:tc>
        <w:tc>
          <w:tcPr>
            <w:tcW w:w="63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color w:val="000000"/>
                <w:sz w:val="24"/>
                <w:szCs w:val="24"/>
                <w:lang w:eastAsia="zh-CN"/>
              </w:rPr>
            </w:pPr>
            <w:r>
              <w:rPr>
                <w:color w:val="000000"/>
                <w:sz w:val="24"/>
                <w:szCs w:val="24"/>
                <w:lang w:eastAsia="zh-CN"/>
              </w:rPr>
              <w:t>10</w:t>
            </w:r>
          </w:p>
        </w:tc>
        <w:tc>
          <w:tcPr>
            <w:tcW w:w="91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lang w:eastAsia="zh-CN"/>
              </w:rPr>
            </w:pPr>
          </w:p>
        </w:tc>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rPr>
                <w:rFonts w:eastAsiaTheme="minorEastAsia"/>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70"/>
              <w:jc w:val="center"/>
              <w:rPr>
                <w:rFonts w:hint="default"/>
                <w:color w:val="000000"/>
                <w:sz w:val="24"/>
                <w:szCs w:val="24"/>
                <w:lang w:eastAsia="zh-CN"/>
              </w:rPr>
            </w:pPr>
            <w:r>
              <w:rPr>
                <w:color w:val="000000"/>
                <w:sz w:val="24"/>
                <w:szCs w:val="24"/>
                <w:lang w:eastAsia="zh-CN"/>
              </w:rPr>
              <w:t>3</w:t>
            </w:r>
          </w:p>
        </w:tc>
        <w:tc>
          <w:tcPr>
            <w:tcW w:w="887" w:type="dxa"/>
            <w:vMerge w:val="restar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70"/>
              <w:rPr>
                <w:rFonts w:hint="default"/>
                <w:sz w:val="24"/>
                <w:szCs w:val="24"/>
              </w:rPr>
            </w:pPr>
            <w:r>
              <w:rPr>
                <w:sz w:val="24"/>
                <w:szCs w:val="24"/>
              </w:rPr>
              <w:t>互联网系统技术服务</w:t>
            </w:r>
          </w:p>
        </w:tc>
        <w:tc>
          <w:tcPr>
            <w:tcW w:w="1275"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tcPr>
          <w:p>
            <w:pPr>
              <w:pStyle w:val="70"/>
              <w:rPr>
                <w:rFonts w:hint="default"/>
                <w:color w:val="000000"/>
                <w:sz w:val="24"/>
                <w:szCs w:val="24"/>
                <w:lang w:eastAsia="zh-CN"/>
              </w:rPr>
            </w:pPr>
            <w:r>
              <w:rPr>
                <w:sz w:val="24"/>
                <w:szCs w:val="24"/>
                <w:lang w:eastAsia="zh-CN"/>
              </w:rPr>
              <w:t>数据与</w:t>
            </w:r>
            <w:r>
              <w:rPr>
                <w:color w:val="000000"/>
                <w:sz w:val="24"/>
                <w:szCs w:val="24"/>
                <w:lang w:eastAsia="zh-CN"/>
              </w:rPr>
              <w:t>智慧建设监管平台对接情况</w:t>
            </w:r>
          </w:p>
        </w:tc>
        <w:tc>
          <w:tcPr>
            <w:tcW w:w="2550" w:type="dxa"/>
            <w:gridSpan w:val="3"/>
            <w:tcBorders>
              <w:top w:val="nil"/>
              <w:left w:val="single" w:color="auto" w:sz="4" w:space="0"/>
              <w:bottom w:val="single" w:color="000000" w:sz="4" w:space="0"/>
              <w:right w:val="single" w:color="000000" w:sz="4" w:space="0"/>
            </w:tcBorders>
            <w:tcMar>
              <w:top w:w="0" w:type="dxa"/>
              <w:left w:w="105" w:type="dxa"/>
              <w:bottom w:w="0" w:type="dxa"/>
              <w:right w:w="105" w:type="dxa"/>
            </w:tcMar>
          </w:tcPr>
          <w:p>
            <w:pPr>
              <w:pStyle w:val="70"/>
              <w:rPr>
                <w:rFonts w:hint="default"/>
                <w:color w:val="000000"/>
                <w:sz w:val="24"/>
                <w:szCs w:val="24"/>
                <w:lang w:eastAsia="zh-CN"/>
              </w:rPr>
            </w:pPr>
            <w:r>
              <w:rPr>
                <w:color w:val="000000"/>
                <w:sz w:val="24"/>
                <w:szCs w:val="24"/>
                <w:lang w:eastAsia="zh-CN"/>
              </w:rPr>
              <w:t>不能将桩数据与项目和桩信息进行绑定，相关预警分析标准/指标/算法通过接口对接的方式推送至平台，扣10分；</w:t>
            </w:r>
          </w:p>
        </w:tc>
        <w:tc>
          <w:tcPr>
            <w:tcW w:w="63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color w:val="000000"/>
                <w:sz w:val="24"/>
                <w:szCs w:val="24"/>
                <w:lang w:eastAsia="zh-CN"/>
              </w:rPr>
            </w:pPr>
            <w:r>
              <w:rPr>
                <w:color w:val="000000"/>
                <w:sz w:val="24"/>
                <w:szCs w:val="24"/>
                <w:lang w:eastAsia="zh-CN"/>
              </w:rPr>
              <w:t>10</w:t>
            </w:r>
          </w:p>
        </w:tc>
        <w:tc>
          <w:tcPr>
            <w:tcW w:w="91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p>
        </w:tc>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rPr>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4" w:type="dxa"/>
            <w:tcBorders>
              <w:top w:val="single" w:color="auto" w:sz="4" w:space="0"/>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color w:val="000000"/>
                <w:sz w:val="24"/>
                <w:szCs w:val="24"/>
                <w:lang w:eastAsia="zh-CN"/>
              </w:rPr>
            </w:pPr>
            <w:r>
              <w:rPr>
                <w:color w:val="000000"/>
                <w:sz w:val="24"/>
                <w:szCs w:val="24"/>
                <w:lang w:eastAsia="zh-CN"/>
              </w:rPr>
              <w:t>4</w:t>
            </w:r>
          </w:p>
        </w:tc>
        <w:tc>
          <w:tcPr>
            <w:tcW w:w="887" w:type="dxa"/>
            <w:vMerge w:val="continue"/>
            <w:tcBorders>
              <w:top w:val="single" w:color="auto" w:sz="4" w:space="0"/>
              <w:left w:val="single" w:color="000000" w:sz="4" w:space="0"/>
              <w:right w:val="single" w:color="000000" w:sz="4" w:space="0"/>
            </w:tcBorders>
            <w:tcMar>
              <w:top w:w="0" w:type="dxa"/>
              <w:left w:w="105" w:type="dxa"/>
              <w:bottom w:w="0" w:type="dxa"/>
              <w:right w:w="105" w:type="dxa"/>
            </w:tcMar>
          </w:tcPr>
          <w:p>
            <w:pPr>
              <w:pStyle w:val="70"/>
              <w:rPr>
                <w:rFonts w:hint="default"/>
                <w:sz w:val="24"/>
                <w:szCs w:val="24"/>
              </w:rPr>
            </w:pPr>
          </w:p>
        </w:tc>
        <w:tc>
          <w:tcPr>
            <w:tcW w:w="1275" w:type="dxa"/>
            <w:tcBorders>
              <w:top w:val="single" w:color="auto" w:sz="4" w:space="0"/>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lang w:eastAsia="zh-CN"/>
              </w:rPr>
            </w:pPr>
            <w:r>
              <w:rPr>
                <w:sz w:val="24"/>
                <w:szCs w:val="24"/>
                <w:lang w:eastAsia="zh-CN"/>
              </w:rPr>
              <w:t>各应用模块的功能情况</w:t>
            </w:r>
          </w:p>
        </w:tc>
        <w:tc>
          <w:tcPr>
            <w:tcW w:w="255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color w:val="000000"/>
                <w:sz w:val="24"/>
                <w:szCs w:val="24"/>
                <w:lang w:eastAsia="zh-CN"/>
              </w:rPr>
            </w:pPr>
            <w:r>
              <w:rPr>
                <w:color w:val="000000"/>
                <w:sz w:val="24"/>
                <w:szCs w:val="24"/>
                <w:lang w:eastAsia="zh-CN"/>
              </w:rPr>
              <w:t>模块的功能不满足采购人要求，扣5分</w:t>
            </w:r>
            <w:r>
              <w:rPr>
                <w:sz w:val="24"/>
                <w:szCs w:val="24"/>
              </w:rPr>
              <w:t>/项</w:t>
            </w:r>
          </w:p>
        </w:tc>
        <w:tc>
          <w:tcPr>
            <w:tcW w:w="63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color w:val="000000"/>
                <w:sz w:val="24"/>
                <w:szCs w:val="24"/>
                <w:lang w:eastAsia="zh-CN"/>
              </w:rPr>
            </w:pPr>
            <w:r>
              <w:rPr>
                <w:color w:val="000000"/>
                <w:sz w:val="24"/>
                <w:szCs w:val="24"/>
                <w:lang w:eastAsia="zh-CN"/>
              </w:rPr>
              <w:t>10</w:t>
            </w:r>
          </w:p>
        </w:tc>
        <w:tc>
          <w:tcPr>
            <w:tcW w:w="91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p>
        </w:tc>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rPr>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color w:val="000000"/>
                <w:sz w:val="24"/>
                <w:szCs w:val="24"/>
                <w:lang w:eastAsia="zh-CN"/>
              </w:rPr>
            </w:pPr>
            <w:r>
              <w:rPr>
                <w:color w:val="000000"/>
                <w:sz w:val="24"/>
                <w:szCs w:val="24"/>
                <w:lang w:eastAsia="zh-CN"/>
              </w:rPr>
              <w:t>5</w:t>
            </w:r>
          </w:p>
        </w:tc>
        <w:tc>
          <w:tcPr>
            <w:tcW w:w="887" w:type="dxa"/>
            <w:vMerge w:val="continue"/>
            <w:tcBorders>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rPr>
            </w:pPr>
          </w:p>
        </w:tc>
        <w:tc>
          <w:tcPr>
            <w:tcW w:w="127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lang w:eastAsia="zh-CN"/>
              </w:rPr>
            </w:pPr>
            <w:r>
              <w:rPr>
                <w:sz w:val="24"/>
                <w:szCs w:val="24"/>
                <w:lang w:eastAsia="zh-CN"/>
              </w:rPr>
              <w:t>模块预警功能失效</w:t>
            </w:r>
          </w:p>
        </w:tc>
        <w:tc>
          <w:tcPr>
            <w:tcW w:w="255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color w:val="000000"/>
                <w:sz w:val="24"/>
                <w:szCs w:val="24"/>
                <w:lang w:eastAsia="zh-CN"/>
              </w:rPr>
            </w:pPr>
            <w:r>
              <w:rPr>
                <w:sz w:val="24"/>
                <w:szCs w:val="24"/>
                <w:lang w:eastAsia="zh-CN"/>
              </w:rPr>
              <w:t>模块预警功能失效</w:t>
            </w:r>
          </w:p>
        </w:tc>
        <w:tc>
          <w:tcPr>
            <w:tcW w:w="63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color w:val="000000"/>
                <w:sz w:val="24"/>
                <w:szCs w:val="24"/>
                <w:lang w:eastAsia="zh-CN"/>
              </w:rPr>
            </w:pPr>
            <w:r>
              <w:rPr>
                <w:color w:val="000000"/>
                <w:sz w:val="24"/>
                <w:szCs w:val="24"/>
                <w:lang w:eastAsia="zh-CN"/>
              </w:rPr>
              <w:t>8</w:t>
            </w:r>
          </w:p>
        </w:tc>
        <w:tc>
          <w:tcPr>
            <w:tcW w:w="91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p>
          <w:p>
            <w:pPr>
              <w:rPr>
                <w:sz w:val="24"/>
                <w:szCs w:val="24"/>
              </w:rPr>
            </w:pPr>
          </w:p>
        </w:tc>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rPr>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1542" w:hRule="atLeast"/>
        </w:trPr>
        <w:tc>
          <w:tcPr>
            <w:tcW w:w="45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color w:val="000000"/>
                <w:sz w:val="24"/>
                <w:szCs w:val="24"/>
                <w:lang w:eastAsia="zh-CN"/>
              </w:rPr>
            </w:pPr>
            <w:r>
              <w:rPr>
                <w:color w:val="000000"/>
                <w:sz w:val="24"/>
                <w:szCs w:val="24"/>
                <w:lang w:eastAsia="zh-CN"/>
              </w:rPr>
              <w:t>6</w:t>
            </w:r>
          </w:p>
        </w:tc>
        <w:tc>
          <w:tcPr>
            <w:tcW w:w="887"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lang w:eastAsia="zh-CN"/>
              </w:rPr>
            </w:pPr>
            <w:r>
              <w:rPr>
                <w:sz w:val="24"/>
                <w:szCs w:val="24"/>
                <w:lang w:eastAsia="zh-CN"/>
              </w:rPr>
              <w:t>培训</w:t>
            </w:r>
          </w:p>
        </w:tc>
        <w:tc>
          <w:tcPr>
            <w:tcW w:w="127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color w:val="000000"/>
                <w:sz w:val="24"/>
                <w:szCs w:val="24"/>
                <w:lang w:eastAsia="zh-CN"/>
              </w:rPr>
            </w:pPr>
            <w:r>
              <w:rPr>
                <w:color w:val="000000"/>
                <w:sz w:val="24"/>
                <w:szCs w:val="24"/>
                <w:lang w:eastAsia="zh-CN"/>
              </w:rPr>
              <w:t>培训完成情况</w:t>
            </w:r>
          </w:p>
        </w:tc>
        <w:tc>
          <w:tcPr>
            <w:tcW w:w="255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color w:val="000000"/>
                <w:sz w:val="24"/>
                <w:szCs w:val="24"/>
                <w:lang w:eastAsia="zh-CN"/>
              </w:rPr>
            </w:pPr>
            <w:r>
              <w:rPr>
                <w:color w:val="000000"/>
                <w:sz w:val="24"/>
                <w:szCs w:val="24"/>
                <w:lang w:eastAsia="zh-CN"/>
              </w:rPr>
              <w:t>未完成桩基检测相关培训，或培训内容或培训次数不满足要求，扣5分</w:t>
            </w:r>
            <w:r>
              <w:rPr>
                <w:sz w:val="24"/>
                <w:szCs w:val="24"/>
              </w:rPr>
              <w:t>/项</w:t>
            </w:r>
            <w:r>
              <w:rPr>
                <w:sz w:val="24"/>
                <w:szCs w:val="24"/>
                <w:lang w:eastAsia="zh-CN"/>
              </w:rPr>
              <w:t>次；</w:t>
            </w:r>
          </w:p>
        </w:tc>
        <w:tc>
          <w:tcPr>
            <w:tcW w:w="63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color w:val="000000"/>
                <w:sz w:val="24"/>
                <w:szCs w:val="24"/>
                <w:lang w:eastAsia="zh-CN"/>
              </w:rPr>
            </w:pPr>
            <w:r>
              <w:rPr>
                <w:color w:val="000000"/>
                <w:sz w:val="24"/>
                <w:szCs w:val="24"/>
                <w:lang w:eastAsia="zh-CN"/>
              </w:rPr>
              <w:t>10</w:t>
            </w:r>
          </w:p>
        </w:tc>
        <w:tc>
          <w:tcPr>
            <w:tcW w:w="91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p>
        </w:tc>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rPr>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717" w:hRule="atLeast"/>
        </w:trPr>
        <w:tc>
          <w:tcPr>
            <w:tcW w:w="45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color w:val="000000"/>
                <w:sz w:val="24"/>
                <w:szCs w:val="24"/>
                <w:lang w:eastAsia="zh-CN"/>
              </w:rPr>
            </w:pPr>
            <w:r>
              <w:rPr>
                <w:color w:val="000000"/>
                <w:sz w:val="24"/>
                <w:szCs w:val="24"/>
                <w:lang w:eastAsia="zh-CN"/>
              </w:rPr>
              <w:t>7</w:t>
            </w:r>
          </w:p>
        </w:tc>
        <w:tc>
          <w:tcPr>
            <w:tcW w:w="887"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lang w:eastAsia="zh-CN"/>
              </w:rPr>
            </w:pPr>
            <w:r>
              <w:rPr>
                <w:sz w:val="24"/>
                <w:szCs w:val="24"/>
                <w:lang w:eastAsia="zh-CN"/>
              </w:rPr>
              <w:t>成果文件</w:t>
            </w:r>
          </w:p>
        </w:tc>
        <w:tc>
          <w:tcPr>
            <w:tcW w:w="127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color w:val="000000"/>
                <w:sz w:val="24"/>
                <w:szCs w:val="24"/>
                <w:lang w:eastAsia="zh-CN"/>
              </w:rPr>
            </w:pPr>
            <w:r>
              <w:rPr>
                <w:color w:val="000000"/>
                <w:sz w:val="24"/>
                <w:szCs w:val="24"/>
                <w:lang w:eastAsia="zh-CN"/>
              </w:rPr>
              <w:t>成果文件完成情况</w:t>
            </w:r>
          </w:p>
        </w:tc>
        <w:tc>
          <w:tcPr>
            <w:tcW w:w="255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color w:val="000000"/>
                <w:sz w:val="24"/>
                <w:szCs w:val="24"/>
                <w:lang w:eastAsia="zh-CN"/>
              </w:rPr>
            </w:pPr>
            <w:r>
              <w:rPr>
                <w:color w:val="000000"/>
                <w:sz w:val="24"/>
                <w:szCs w:val="24"/>
                <w:lang w:eastAsia="zh-CN"/>
              </w:rPr>
              <w:t>完成的成果文件质量或数量不满足要求，扣2分</w:t>
            </w:r>
            <w:r>
              <w:rPr>
                <w:sz w:val="24"/>
                <w:szCs w:val="24"/>
              </w:rPr>
              <w:t>/项</w:t>
            </w:r>
            <w:r>
              <w:rPr>
                <w:sz w:val="24"/>
                <w:szCs w:val="24"/>
                <w:lang w:eastAsia="zh-CN"/>
              </w:rPr>
              <w:t>次</w:t>
            </w:r>
          </w:p>
        </w:tc>
        <w:tc>
          <w:tcPr>
            <w:tcW w:w="63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color w:val="000000"/>
                <w:sz w:val="24"/>
                <w:szCs w:val="24"/>
                <w:lang w:eastAsia="zh-CN"/>
              </w:rPr>
            </w:pPr>
            <w:r>
              <w:rPr>
                <w:color w:val="000000"/>
                <w:sz w:val="24"/>
                <w:szCs w:val="24"/>
                <w:lang w:eastAsia="zh-CN"/>
              </w:rPr>
              <w:t>8</w:t>
            </w:r>
          </w:p>
        </w:tc>
        <w:tc>
          <w:tcPr>
            <w:tcW w:w="91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p>
        </w:tc>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rPr>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lang w:eastAsia="zh-CN"/>
              </w:rPr>
            </w:pPr>
            <w:r>
              <w:rPr>
                <w:color w:val="000000"/>
                <w:sz w:val="24"/>
                <w:szCs w:val="24"/>
                <w:lang w:eastAsia="zh-CN"/>
              </w:rPr>
              <w:t>8</w:t>
            </w:r>
          </w:p>
        </w:tc>
        <w:tc>
          <w:tcPr>
            <w:tcW w:w="887"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color w:val="000000"/>
                <w:sz w:val="24"/>
                <w:szCs w:val="24"/>
                <w:lang w:eastAsia="zh-CN"/>
              </w:rPr>
            </w:pPr>
            <w:r>
              <w:rPr>
                <w:color w:val="000000"/>
                <w:sz w:val="24"/>
                <w:szCs w:val="24"/>
                <w:lang w:eastAsia="zh-CN"/>
              </w:rPr>
              <w:t>质量标准</w:t>
            </w:r>
          </w:p>
        </w:tc>
        <w:tc>
          <w:tcPr>
            <w:tcW w:w="127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lang w:eastAsia="zh-CN"/>
              </w:rPr>
            </w:pPr>
            <w:r>
              <w:rPr>
                <w:sz w:val="24"/>
                <w:szCs w:val="24"/>
                <w:lang w:eastAsia="zh-CN"/>
              </w:rPr>
              <w:t>质量标准建立情况</w:t>
            </w:r>
          </w:p>
        </w:tc>
        <w:tc>
          <w:tcPr>
            <w:tcW w:w="255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rPr>
            </w:pPr>
            <w:r>
              <w:rPr>
                <w:sz w:val="24"/>
                <w:szCs w:val="24"/>
                <w:lang w:eastAsia="zh-CN"/>
              </w:rPr>
              <w:t>质量标准建立不完善，未能对标现行规范参数，扣7分</w:t>
            </w:r>
          </w:p>
        </w:tc>
        <w:tc>
          <w:tcPr>
            <w:tcW w:w="63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lang w:eastAsia="zh-CN"/>
              </w:rPr>
            </w:pPr>
            <w:r>
              <w:rPr>
                <w:color w:val="000000"/>
                <w:sz w:val="24"/>
                <w:szCs w:val="24"/>
                <w:lang w:eastAsia="zh-CN"/>
              </w:rPr>
              <w:t>7</w:t>
            </w:r>
          </w:p>
        </w:tc>
        <w:tc>
          <w:tcPr>
            <w:tcW w:w="91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p>
        </w:tc>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rPr>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lang w:eastAsia="zh-CN"/>
              </w:rPr>
            </w:pPr>
            <w:r>
              <w:rPr>
                <w:color w:val="000000"/>
                <w:sz w:val="24"/>
                <w:szCs w:val="24"/>
                <w:lang w:eastAsia="zh-CN"/>
              </w:rPr>
              <w:t>9</w:t>
            </w:r>
          </w:p>
        </w:tc>
        <w:tc>
          <w:tcPr>
            <w:tcW w:w="887"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color w:val="000000"/>
                <w:sz w:val="24"/>
                <w:szCs w:val="24"/>
                <w:lang w:eastAsia="zh-CN"/>
              </w:rPr>
            </w:pPr>
            <w:r>
              <w:rPr>
                <w:color w:val="000000"/>
                <w:sz w:val="24"/>
                <w:szCs w:val="24"/>
                <w:lang w:eastAsia="zh-CN"/>
              </w:rPr>
              <w:t>仪器设备</w:t>
            </w:r>
          </w:p>
        </w:tc>
        <w:tc>
          <w:tcPr>
            <w:tcW w:w="127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lang w:eastAsia="zh-CN"/>
              </w:rPr>
            </w:pPr>
            <w:r>
              <w:rPr>
                <w:sz w:val="24"/>
                <w:szCs w:val="24"/>
                <w:lang w:eastAsia="zh-CN"/>
              </w:rPr>
              <w:t>检测、监测设备情况</w:t>
            </w:r>
          </w:p>
        </w:tc>
        <w:tc>
          <w:tcPr>
            <w:tcW w:w="255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rPr>
            </w:pPr>
            <w:r>
              <w:rPr>
                <w:sz w:val="24"/>
                <w:szCs w:val="24"/>
                <w:lang w:eastAsia="zh-CN"/>
              </w:rPr>
              <w:t>检测、监测设备不能实现对接，扣10分</w:t>
            </w:r>
          </w:p>
        </w:tc>
        <w:tc>
          <w:tcPr>
            <w:tcW w:w="63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r>
              <w:rPr>
                <w:color w:val="000000"/>
                <w:sz w:val="24"/>
                <w:szCs w:val="24"/>
              </w:rPr>
              <w:t>10</w:t>
            </w:r>
          </w:p>
        </w:tc>
        <w:tc>
          <w:tcPr>
            <w:tcW w:w="91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p>
        </w:tc>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rPr>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lang w:eastAsia="zh-CN"/>
              </w:rPr>
            </w:pPr>
            <w:r>
              <w:rPr>
                <w:color w:val="000000"/>
                <w:sz w:val="24"/>
                <w:szCs w:val="24"/>
                <w:lang w:eastAsia="zh-CN"/>
              </w:rPr>
              <w:t>10</w:t>
            </w:r>
          </w:p>
        </w:tc>
        <w:tc>
          <w:tcPr>
            <w:tcW w:w="887"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color w:val="000000"/>
                <w:sz w:val="24"/>
                <w:szCs w:val="24"/>
                <w:lang w:eastAsia="zh-CN"/>
              </w:rPr>
            </w:pPr>
            <w:r>
              <w:rPr>
                <w:color w:val="000000"/>
                <w:sz w:val="24"/>
                <w:szCs w:val="24"/>
                <w:lang w:eastAsia="zh-CN"/>
              </w:rPr>
              <w:t>评审</w:t>
            </w:r>
          </w:p>
        </w:tc>
        <w:tc>
          <w:tcPr>
            <w:tcW w:w="127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lang w:eastAsia="zh-CN"/>
              </w:rPr>
            </w:pPr>
            <w:r>
              <w:rPr>
                <w:sz w:val="24"/>
                <w:szCs w:val="24"/>
                <w:lang w:eastAsia="zh-CN"/>
              </w:rPr>
              <w:t>评审情况</w:t>
            </w:r>
          </w:p>
        </w:tc>
        <w:tc>
          <w:tcPr>
            <w:tcW w:w="255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rPr>
            </w:pPr>
            <w:r>
              <w:rPr>
                <w:sz w:val="24"/>
                <w:szCs w:val="24"/>
                <w:lang w:eastAsia="zh-CN"/>
              </w:rPr>
              <w:t>未按要求组织专家评审，扣8分</w:t>
            </w:r>
          </w:p>
        </w:tc>
        <w:tc>
          <w:tcPr>
            <w:tcW w:w="63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lang w:eastAsia="zh-CN"/>
              </w:rPr>
            </w:pPr>
            <w:r>
              <w:rPr>
                <w:color w:val="000000"/>
                <w:sz w:val="24"/>
                <w:szCs w:val="24"/>
                <w:lang w:eastAsia="zh-CN"/>
              </w:rPr>
              <w:t>8</w:t>
            </w:r>
          </w:p>
        </w:tc>
        <w:tc>
          <w:tcPr>
            <w:tcW w:w="91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p>
        </w:tc>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rPr>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both"/>
              <w:rPr>
                <w:rFonts w:hint="default"/>
                <w:sz w:val="24"/>
                <w:szCs w:val="24"/>
                <w:lang w:eastAsia="zh-CN"/>
              </w:rPr>
            </w:pPr>
            <w:r>
              <w:rPr>
                <w:color w:val="000000"/>
                <w:sz w:val="24"/>
                <w:szCs w:val="24"/>
              </w:rPr>
              <w:t>1</w:t>
            </w:r>
            <w:r>
              <w:rPr>
                <w:color w:val="000000"/>
                <w:sz w:val="24"/>
                <w:szCs w:val="24"/>
                <w:lang w:eastAsia="zh-CN"/>
              </w:rPr>
              <w:t>1</w:t>
            </w:r>
          </w:p>
        </w:tc>
        <w:tc>
          <w:tcPr>
            <w:tcW w:w="887" w:type="dxa"/>
            <w:vMerge w:val="restart"/>
            <w:tcBorders>
              <w:top w:val="nil"/>
              <w:left w:val="single" w:color="000000" w:sz="4" w:space="0"/>
              <w:right w:val="single" w:color="000000" w:sz="4" w:space="0"/>
            </w:tcBorders>
            <w:tcMar>
              <w:top w:w="0" w:type="dxa"/>
              <w:left w:w="105" w:type="dxa"/>
              <w:bottom w:w="0" w:type="dxa"/>
              <w:right w:w="105" w:type="dxa"/>
            </w:tcMar>
          </w:tcPr>
          <w:p>
            <w:pPr>
              <w:pStyle w:val="70"/>
              <w:rPr>
                <w:rFonts w:hint="default"/>
                <w:color w:val="000000"/>
                <w:sz w:val="24"/>
                <w:szCs w:val="24"/>
                <w:lang w:eastAsia="zh-CN"/>
              </w:rPr>
            </w:pPr>
            <w:r>
              <w:rPr>
                <w:color w:val="000000"/>
                <w:sz w:val="24"/>
                <w:szCs w:val="24"/>
                <w:lang w:eastAsia="zh-CN"/>
              </w:rPr>
              <w:t>其他</w:t>
            </w:r>
          </w:p>
        </w:tc>
        <w:tc>
          <w:tcPr>
            <w:tcW w:w="127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rPr>
            </w:pPr>
            <w:r>
              <w:rPr>
                <w:color w:val="000000"/>
                <w:sz w:val="24"/>
                <w:szCs w:val="24"/>
              </w:rPr>
              <w:t>违反法律法规，被政府相关部门处罚；或被新闻媒体曝光批评</w:t>
            </w:r>
          </w:p>
        </w:tc>
        <w:tc>
          <w:tcPr>
            <w:tcW w:w="255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rPr>
            </w:pPr>
            <w:r>
              <w:rPr>
                <w:color w:val="000000"/>
                <w:sz w:val="24"/>
                <w:szCs w:val="24"/>
              </w:rPr>
              <w:t>被新闻媒体曝光批评的扣10分；</w:t>
            </w:r>
            <w:r>
              <w:rPr>
                <w:sz w:val="24"/>
                <w:szCs w:val="24"/>
              </w:rPr>
              <w:br w:type="textWrapping"/>
            </w:r>
            <w:r>
              <w:rPr>
                <w:color w:val="000000"/>
                <w:sz w:val="24"/>
                <w:szCs w:val="24"/>
              </w:rPr>
              <w:t>违法违规等情节严重的剩余费用全部扣除，退回此前已支付份额费用，同时移交有关部门处理。</w:t>
            </w:r>
          </w:p>
        </w:tc>
        <w:tc>
          <w:tcPr>
            <w:tcW w:w="63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r>
              <w:rPr>
                <w:color w:val="000000"/>
                <w:sz w:val="24"/>
                <w:szCs w:val="24"/>
              </w:rPr>
              <w:t>10</w:t>
            </w:r>
          </w:p>
        </w:tc>
        <w:tc>
          <w:tcPr>
            <w:tcW w:w="91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p>
        </w:tc>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rPr>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lang w:eastAsia="zh-CN"/>
              </w:rPr>
            </w:pPr>
            <w:r>
              <w:rPr>
                <w:color w:val="000000"/>
                <w:sz w:val="24"/>
                <w:szCs w:val="24"/>
              </w:rPr>
              <w:t>1</w:t>
            </w:r>
            <w:r>
              <w:rPr>
                <w:color w:val="000000"/>
                <w:sz w:val="24"/>
                <w:szCs w:val="24"/>
                <w:lang w:eastAsia="zh-CN"/>
              </w:rPr>
              <w:t>2</w:t>
            </w:r>
          </w:p>
        </w:tc>
        <w:tc>
          <w:tcPr>
            <w:tcW w:w="887" w:type="dxa"/>
            <w:vMerge w:val="continue"/>
            <w:tcBorders>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color w:val="000000"/>
                <w:sz w:val="24"/>
                <w:szCs w:val="24"/>
              </w:rPr>
            </w:pPr>
          </w:p>
        </w:tc>
        <w:tc>
          <w:tcPr>
            <w:tcW w:w="127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rPr>
            </w:pPr>
            <w:r>
              <w:rPr>
                <w:color w:val="000000"/>
                <w:sz w:val="24"/>
                <w:szCs w:val="24"/>
              </w:rPr>
              <w:t>巡查人员是否存在“吃拿卡要”，接受贵重礼品馈赠，或以权谋私为亲友介绍、承接工程和推销建筑材料等</w:t>
            </w:r>
          </w:p>
        </w:tc>
        <w:tc>
          <w:tcPr>
            <w:tcW w:w="255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rPr>
            </w:pPr>
            <w:r>
              <w:rPr>
                <w:color w:val="000000"/>
                <w:sz w:val="24"/>
                <w:szCs w:val="24"/>
              </w:rPr>
              <w:t>发现一起，剩余费用全部扣除，并解除合同，同时移交有关部门处理</w:t>
            </w:r>
          </w:p>
        </w:tc>
        <w:tc>
          <w:tcPr>
            <w:tcW w:w="63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r>
              <w:rPr>
                <w:color w:val="000000"/>
                <w:sz w:val="24"/>
                <w:szCs w:val="24"/>
              </w:rPr>
              <w:t>解除合同</w:t>
            </w:r>
          </w:p>
        </w:tc>
        <w:tc>
          <w:tcPr>
            <w:tcW w:w="91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p>
        </w:tc>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rPr>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5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lang w:eastAsia="zh-CN"/>
              </w:rPr>
            </w:pPr>
            <w:r>
              <w:rPr>
                <w:color w:val="000000"/>
                <w:sz w:val="24"/>
                <w:szCs w:val="24"/>
              </w:rPr>
              <w:t>1</w:t>
            </w:r>
            <w:r>
              <w:rPr>
                <w:color w:val="000000"/>
                <w:sz w:val="24"/>
                <w:szCs w:val="24"/>
                <w:lang w:eastAsia="zh-CN"/>
              </w:rPr>
              <w:t>3</w:t>
            </w:r>
          </w:p>
        </w:tc>
        <w:tc>
          <w:tcPr>
            <w:tcW w:w="887"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color w:val="000000"/>
                <w:sz w:val="24"/>
                <w:szCs w:val="24"/>
                <w:lang w:eastAsia="zh-CN"/>
              </w:rPr>
            </w:pPr>
            <w:r>
              <w:rPr>
                <w:color w:val="000000"/>
                <w:sz w:val="24"/>
                <w:szCs w:val="24"/>
                <w:lang w:eastAsia="zh-CN"/>
              </w:rPr>
              <w:t>奖励情况</w:t>
            </w:r>
          </w:p>
        </w:tc>
        <w:tc>
          <w:tcPr>
            <w:tcW w:w="1275"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lang w:eastAsia="zh-CN"/>
              </w:rPr>
            </w:pPr>
            <w:r>
              <w:rPr>
                <w:sz w:val="24"/>
                <w:szCs w:val="24"/>
                <w:lang w:eastAsia="zh-CN"/>
              </w:rPr>
              <w:t>日常检测</w:t>
            </w:r>
          </w:p>
        </w:tc>
        <w:tc>
          <w:tcPr>
            <w:tcW w:w="2550"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rPr>
            </w:pPr>
            <w:r>
              <w:rPr>
                <w:color w:val="000000"/>
                <w:sz w:val="24"/>
                <w:szCs w:val="24"/>
                <w:lang w:eastAsia="zh-CN"/>
              </w:rPr>
              <w:t>检测</w:t>
            </w:r>
            <w:r>
              <w:rPr>
                <w:color w:val="000000"/>
                <w:sz w:val="24"/>
                <w:szCs w:val="24"/>
              </w:rPr>
              <w:t>过程中发现</w:t>
            </w:r>
            <w:r>
              <w:rPr>
                <w:color w:val="000000"/>
                <w:sz w:val="24"/>
                <w:szCs w:val="24"/>
                <w:lang w:eastAsia="zh-CN"/>
              </w:rPr>
              <w:t>施工单位</w:t>
            </w:r>
            <w:r>
              <w:rPr>
                <w:color w:val="000000"/>
                <w:sz w:val="24"/>
                <w:szCs w:val="24"/>
              </w:rPr>
              <w:t>严重违法违规现象及时反馈，未造成严重后果的，1次加5分</w:t>
            </w:r>
          </w:p>
        </w:tc>
        <w:tc>
          <w:tcPr>
            <w:tcW w:w="634"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r>
              <w:rPr>
                <w:color w:val="000000"/>
                <w:sz w:val="24"/>
                <w:szCs w:val="24"/>
              </w:rPr>
              <w:t>/</w:t>
            </w:r>
          </w:p>
        </w:tc>
        <w:tc>
          <w:tcPr>
            <w:tcW w:w="912"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p>
          <w:p/>
        </w:tc>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rPr>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4879" w:type="dxa"/>
            <w:gridSpan w:val="5"/>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r>
              <w:rPr>
                <w:color w:val="000000"/>
                <w:sz w:val="24"/>
                <w:szCs w:val="24"/>
              </w:rPr>
              <w:t>总分值100分（最终考核总分在100分内）</w:t>
            </w:r>
          </w:p>
        </w:tc>
        <w:tc>
          <w:tcPr>
            <w:tcW w:w="1833" w:type="dxa"/>
            <w:gridSpan w:val="3"/>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r>
              <w:rPr>
                <w:color w:val="000000"/>
                <w:sz w:val="24"/>
                <w:szCs w:val="24"/>
              </w:rPr>
              <w:t>合计分数</w:t>
            </w:r>
          </w:p>
        </w:tc>
        <w:tc>
          <w:tcPr>
            <w:tcW w:w="870" w:type="dxa"/>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82" w:type="dxa"/>
            <w:gridSpan w:val="9"/>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r>
              <w:rPr>
                <w:color w:val="000000"/>
                <w:sz w:val="24"/>
                <w:szCs w:val="24"/>
              </w:rPr>
              <w:t>考核结果：□优秀    □良好    □合格  □不合格</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54" w:type="dxa"/>
            <w:gridSpan w:val="4"/>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both"/>
              <w:rPr>
                <w:rFonts w:hint="default"/>
                <w:sz w:val="24"/>
                <w:szCs w:val="24"/>
              </w:rPr>
            </w:pPr>
            <w:r>
              <w:rPr>
                <w:color w:val="000000"/>
                <w:sz w:val="24"/>
                <w:szCs w:val="24"/>
              </w:rPr>
              <w:t>被考核单位代表人签字：</w:t>
            </w:r>
          </w:p>
        </w:tc>
        <w:tc>
          <w:tcPr>
            <w:tcW w:w="4528" w:type="dxa"/>
            <w:gridSpan w:val="5"/>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r>
              <w:rPr>
                <w:color w:val="000000"/>
                <w:sz w:val="24"/>
                <w:szCs w:val="24"/>
              </w:rPr>
              <w:t>被考核单位(盖章）</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3054" w:type="dxa"/>
            <w:gridSpan w:val="4"/>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both"/>
              <w:rPr>
                <w:rFonts w:hint="default"/>
                <w:sz w:val="24"/>
                <w:szCs w:val="24"/>
              </w:rPr>
            </w:pPr>
            <w:r>
              <w:rPr>
                <w:color w:val="000000"/>
                <w:sz w:val="24"/>
                <w:szCs w:val="24"/>
              </w:rPr>
              <w:t>考核人员签字：</w:t>
            </w:r>
          </w:p>
        </w:tc>
        <w:tc>
          <w:tcPr>
            <w:tcW w:w="4528" w:type="dxa"/>
            <w:gridSpan w:val="5"/>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jc w:val="center"/>
              <w:rPr>
                <w:rFonts w:hint="default"/>
                <w:sz w:val="24"/>
                <w:szCs w:val="24"/>
              </w:rPr>
            </w:pPr>
            <w:r>
              <w:rPr>
                <w:color w:val="000000"/>
                <w:sz w:val="24"/>
                <w:szCs w:val="24"/>
              </w:rPr>
              <w:t>考核单位(盖章）</w:t>
            </w:r>
          </w:p>
        </w:tc>
      </w:tr>
      <w:tr>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7582" w:type="dxa"/>
            <w:gridSpan w:val="9"/>
            <w:tcBorders>
              <w:top w:val="nil"/>
              <w:left w:val="single" w:color="000000" w:sz="4" w:space="0"/>
              <w:bottom w:val="single" w:color="000000" w:sz="4" w:space="0"/>
              <w:right w:val="single" w:color="000000" w:sz="4" w:space="0"/>
            </w:tcBorders>
            <w:tcMar>
              <w:top w:w="0" w:type="dxa"/>
              <w:left w:w="105" w:type="dxa"/>
              <w:bottom w:w="0" w:type="dxa"/>
              <w:right w:w="105" w:type="dxa"/>
            </w:tcMar>
          </w:tcPr>
          <w:p>
            <w:pPr>
              <w:pStyle w:val="70"/>
              <w:rPr>
                <w:rFonts w:hint="default"/>
                <w:sz w:val="24"/>
                <w:szCs w:val="24"/>
              </w:rPr>
            </w:pPr>
            <w:r>
              <w:rPr>
                <w:color w:val="000000"/>
                <w:sz w:val="24"/>
                <w:szCs w:val="24"/>
              </w:rPr>
              <w:t>备注：1、以上每项考核内容的分值扣完为止。</w:t>
            </w:r>
            <w:r>
              <w:rPr>
                <w:sz w:val="24"/>
                <w:szCs w:val="24"/>
              </w:rPr>
              <w:br w:type="textWrapping"/>
            </w:r>
            <w:r>
              <w:rPr>
                <w:sz w:val="24"/>
                <w:szCs w:val="24"/>
                <w:lang w:eastAsia="zh-CN"/>
              </w:rPr>
              <w:t>2</w:t>
            </w:r>
            <w:r>
              <w:rPr>
                <w:color w:val="000000"/>
                <w:sz w:val="24"/>
                <w:szCs w:val="24"/>
              </w:rPr>
              <w:t>、考核得分90分（不含）以上为优秀、80分（不含）-90分为良好、70分（不含）-80分为合格、70分（含）以下为不合格。</w:t>
            </w:r>
          </w:p>
        </w:tc>
      </w:tr>
    </w:tbl>
    <w:p>
      <w:pPr>
        <w:spacing w:line="360" w:lineRule="auto"/>
        <w:jc w:val="both"/>
        <w:rPr>
          <w:rFonts w:hint="eastAsia" w:ascii="仿宋_GB2312" w:hAnsi="仿宋_GB2312" w:eastAsia="仿宋_GB2312" w:cs="仿宋_GB2312"/>
          <w:b/>
          <w:sz w:val="44"/>
        </w:rPr>
      </w:pPr>
    </w:p>
    <w:p>
      <w:pPr>
        <w:rPr>
          <w:rFonts w:hint="eastAsia" w:ascii="仿宋_GB2312" w:hAnsi="仿宋_GB2312" w:eastAsia="仿宋_GB2312" w:cs="仿宋_GB2312"/>
          <w:sz w:val="28"/>
          <w:szCs w:val="28"/>
        </w:rPr>
      </w:pPr>
      <w:r>
        <w:rPr>
          <w:rFonts w:ascii="仿宋_GB2312" w:hAnsi="仿宋_GB2312" w:eastAsia="仿宋_GB2312" w:cs="仿宋_GB2312"/>
          <w:sz w:val="28"/>
          <w:szCs w:val="28"/>
        </w:rPr>
        <w:br w:type="page"/>
      </w:r>
    </w:p>
    <w:p>
      <w:pPr>
        <w:pStyle w:val="23"/>
        <w:spacing w:line="360" w:lineRule="auto"/>
        <w:ind w:firstLine="560" w:firstLineChars="200"/>
        <w:rPr>
          <w:rFonts w:hint="eastAsia" w:ascii="仿宋_GB2312" w:hAnsi="仿宋_GB2312" w:eastAsia="仿宋_GB2312" w:cs="仿宋_GB2312"/>
          <w:color w:val="auto"/>
          <w:sz w:val="28"/>
          <w:szCs w:val="28"/>
        </w:rPr>
      </w:pPr>
    </w:p>
    <w:p>
      <w:pPr>
        <w:rPr>
          <w:rFonts w:hint="eastAsia" w:ascii="仿宋_GB2312" w:hAnsi="仿宋_GB2312" w:eastAsia="仿宋_GB2312" w:cs="仿宋_GB2312"/>
        </w:rPr>
      </w:pPr>
    </w:p>
    <w:p>
      <w:pPr>
        <w:pStyle w:val="8"/>
        <w:rPr>
          <w:rFonts w:hint="eastAsia" w:ascii="仿宋_GB2312" w:hAnsi="仿宋_GB2312" w:eastAsia="仿宋_GB2312" w:cs="仿宋_GB2312"/>
        </w:rPr>
      </w:pPr>
    </w:p>
    <w:p>
      <w:pPr>
        <w:rPr>
          <w:rFonts w:hint="eastAsia" w:ascii="仿宋_GB2312" w:hAnsi="仿宋_GB2312" w:eastAsia="仿宋_GB2312" w:cs="仿宋_GB2312"/>
        </w:rPr>
      </w:pPr>
    </w:p>
    <w:p>
      <w:pPr>
        <w:pStyle w:val="8"/>
        <w:rPr>
          <w:rFonts w:hint="eastAsia" w:ascii="仿宋_GB2312" w:hAnsi="仿宋_GB2312" w:eastAsia="仿宋_GB2312" w:cs="仿宋_GB2312"/>
        </w:rPr>
      </w:pPr>
    </w:p>
    <w:p>
      <w:pPr>
        <w:spacing w:line="360" w:lineRule="auto"/>
        <w:jc w:val="center"/>
        <w:rPr>
          <w:rFonts w:hint="eastAsia" w:ascii="仿宋_GB2312" w:hAnsi="仿宋_GB2312" w:eastAsia="仿宋_GB2312" w:cs="仿宋_GB2312"/>
          <w:b/>
          <w:sz w:val="44"/>
        </w:rPr>
      </w:pPr>
    </w:p>
    <w:p>
      <w:pPr>
        <w:pStyle w:val="14"/>
      </w:pPr>
    </w:p>
    <w:p>
      <w:pPr>
        <w:spacing w:line="360" w:lineRule="auto"/>
        <w:jc w:val="center"/>
        <w:rPr>
          <w:rFonts w:hint="eastAsia" w:ascii="仿宋_GB2312" w:hAnsi="仿宋_GB2312" w:eastAsia="仿宋_GB2312" w:cs="仿宋_GB2312"/>
          <w:b/>
          <w:sz w:val="44"/>
        </w:rPr>
      </w:pPr>
      <w:r>
        <w:rPr>
          <w:rFonts w:hint="eastAsia" w:ascii="仿宋_GB2312" w:hAnsi="仿宋_GB2312" w:eastAsia="仿宋_GB2312" w:cs="仿宋_GB2312"/>
          <w:b/>
          <w:sz w:val="44"/>
        </w:rPr>
        <w:t>第六章</w:t>
      </w:r>
    </w:p>
    <w:p>
      <w:pPr>
        <w:spacing w:line="360" w:lineRule="auto"/>
        <w:jc w:val="center"/>
        <w:rPr>
          <w:rFonts w:hint="eastAsia" w:ascii="仿宋_GB2312" w:hAnsi="仿宋_GB2312" w:eastAsia="仿宋_GB2312" w:cs="仿宋_GB2312"/>
          <w:b/>
          <w:sz w:val="44"/>
        </w:rPr>
      </w:pPr>
    </w:p>
    <w:p>
      <w:pPr>
        <w:tabs>
          <w:tab w:val="left" w:pos="720"/>
        </w:tabs>
        <w:spacing w:line="360" w:lineRule="auto"/>
        <w:jc w:val="center"/>
        <w:rPr>
          <w:rFonts w:hint="eastAsia" w:ascii="仿宋_GB2312" w:hAnsi="仿宋_GB2312" w:eastAsia="仿宋_GB2312" w:cs="仿宋_GB2312"/>
          <w:b/>
          <w:color w:val="000000" w:themeColor="text1"/>
          <w:sz w:val="72"/>
          <w:szCs w:val="72"/>
          <w14:textFill>
            <w14:solidFill>
              <w14:schemeClr w14:val="tx1"/>
            </w14:solidFill>
          </w14:textFill>
        </w:rPr>
      </w:pPr>
      <w:bookmarkStart w:id="159" w:name="_Toc416770248"/>
      <w:bookmarkStart w:id="160" w:name="_Toc410738972"/>
      <w:bookmarkStart w:id="161" w:name="_Toc416771358"/>
      <w:bookmarkStart w:id="162" w:name="_Toc410736172"/>
      <w:r>
        <w:rPr>
          <w:rFonts w:hint="eastAsia" w:ascii="仿宋_GB2312" w:hAnsi="仿宋_GB2312" w:eastAsia="仿宋_GB2312" w:cs="仿宋_GB2312"/>
          <w:b/>
          <w:sz w:val="44"/>
        </w:rPr>
        <w:t>合同条款</w:t>
      </w:r>
      <w:bookmarkEnd w:id="159"/>
      <w:bookmarkEnd w:id="160"/>
      <w:bookmarkEnd w:id="161"/>
      <w:bookmarkEnd w:id="162"/>
      <w:r>
        <w:rPr>
          <w:rFonts w:hint="eastAsia" w:ascii="仿宋_GB2312" w:hAnsi="仿宋_GB2312" w:eastAsia="仿宋_GB2312" w:cs="仿宋_GB2312"/>
        </w:rPr>
        <w:br w:type="page"/>
      </w:r>
    </w:p>
    <w:p>
      <w:pPr>
        <w:jc w:val="center"/>
        <w:rPr>
          <w:rStyle w:val="27"/>
          <w:rFonts w:hint="eastAsia" w:ascii="仿宋_GB2312" w:hAnsi="仿宋_GB2312" w:eastAsia="仿宋_GB2312" w:cs="仿宋_GB2312"/>
          <w:sz w:val="44"/>
          <w:szCs w:val="44"/>
        </w:rPr>
      </w:pPr>
      <w:r>
        <w:rPr>
          <w:rStyle w:val="27"/>
          <w:rFonts w:hint="eastAsia" w:ascii="仿宋_GB2312" w:hAnsi="仿宋_GB2312" w:eastAsia="仿宋_GB2312" w:cs="仿宋_GB2312"/>
          <w:sz w:val="44"/>
          <w:szCs w:val="44"/>
        </w:rPr>
        <w:t>横琴粤澳深度合作区政府采购项目</w:t>
      </w: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jc w:val="center"/>
        <w:rPr>
          <w:rFonts w:hint="eastAsia" w:ascii="仿宋_GB2312" w:hAnsi="仿宋_GB2312" w:eastAsia="仿宋_GB2312" w:cs="仿宋_GB2312"/>
          <w:b/>
          <w:sz w:val="84"/>
          <w:szCs w:val="84"/>
        </w:rPr>
      </w:pPr>
      <w:r>
        <w:rPr>
          <w:rFonts w:hint="eastAsia" w:ascii="仿宋_GB2312" w:hAnsi="仿宋_GB2312" w:eastAsia="仿宋_GB2312" w:cs="仿宋_GB2312"/>
          <w:b/>
          <w:sz w:val="84"/>
          <w:szCs w:val="84"/>
        </w:rPr>
        <w:t>合 同 书</w:t>
      </w: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spacing w:line="600" w:lineRule="auto"/>
        <w:ind w:left="2086" w:leftChars="190" w:hanging="1687" w:hangingChars="600"/>
        <w:rPr>
          <w:rFonts w:hint="eastAsia" w:ascii="仿宋_GB2312" w:hAnsi="仿宋_GB2312" w:eastAsia="仿宋_GB2312" w:cs="仿宋_GB2312"/>
          <w:spacing w:val="-20"/>
          <w:sz w:val="28"/>
          <w:szCs w:val="28"/>
          <w:u w:val="single"/>
        </w:rPr>
      </w:pPr>
      <w:r>
        <w:rPr>
          <w:rFonts w:hint="eastAsia" w:ascii="仿宋_GB2312" w:hAnsi="仿宋_GB2312" w:eastAsia="仿宋_GB2312" w:cs="仿宋_GB2312"/>
          <w:b/>
          <w:sz w:val="28"/>
          <w:szCs w:val="28"/>
        </w:rPr>
        <w:t>工程名称：</w:t>
      </w:r>
      <w:r>
        <w:rPr>
          <w:rFonts w:hint="eastAsia" w:ascii="仿宋_GB2312" w:hAnsi="仿宋_GB2312" w:eastAsia="仿宋_GB2312" w:cs="仿宋_GB2312"/>
          <w:b/>
          <w:sz w:val="28"/>
          <w:szCs w:val="28"/>
          <w:u w:val="single"/>
        </w:rPr>
        <w:t>横琴粤澳深度合作区城市规划和建设局建设工程桩基施工过程质量数据采集分析第三方技术支撑服务项目</w:t>
      </w:r>
      <w:r>
        <w:rPr>
          <w:rStyle w:val="27"/>
          <w:rFonts w:hint="eastAsia" w:ascii="仿宋_GB2312" w:hAnsi="仿宋_GB2312" w:eastAsia="仿宋_GB2312" w:cs="仿宋_GB2312"/>
          <w:spacing w:val="-20"/>
          <w:sz w:val="28"/>
          <w:szCs w:val="28"/>
          <w:u w:val="single"/>
        </w:rPr>
        <w:t xml:space="preserve">         </w:t>
      </w:r>
    </w:p>
    <w:p>
      <w:pPr>
        <w:spacing w:line="600" w:lineRule="auto"/>
        <w:ind w:firstLine="562" w:firstLineChars="200"/>
        <w:rPr>
          <w:rFonts w:hint="eastAsia" w:ascii="仿宋_GB2312" w:hAnsi="仿宋_GB2312" w:eastAsia="仿宋_GB2312" w:cs="仿宋_GB2312"/>
          <w:b/>
          <w:sz w:val="28"/>
          <w:szCs w:val="28"/>
          <w:u w:val="single"/>
        </w:rPr>
      </w:pPr>
      <w:r>
        <w:rPr>
          <w:rFonts w:hint="eastAsia" w:ascii="仿宋_GB2312" w:hAnsi="仿宋_GB2312" w:eastAsia="仿宋_GB2312" w:cs="仿宋_GB2312"/>
          <w:b/>
          <w:sz w:val="28"/>
          <w:szCs w:val="28"/>
        </w:rPr>
        <w:t>甲方：</w:t>
      </w:r>
      <w:r>
        <w:rPr>
          <w:rFonts w:hint="eastAsia" w:ascii="仿宋_GB2312" w:hAnsi="仿宋_GB2312" w:eastAsia="仿宋_GB2312" w:cs="仿宋_GB2312"/>
          <w:b/>
          <w:spacing w:val="20"/>
          <w:sz w:val="28"/>
          <w:szCs w:val="28"/>
          <w:u w:val="single"/>
        </w:rPr>
        <w:t>横琴粤澳深度合作区城市规划和建设局</w:t>
      </w:r>
      <w:r>
        <w:rPr>
          <w:rFonts w:hint="eastAsia" w:ascii="仿宋_GB2312" w:hAnsi="仿宋_GB2312" w:eastAsia="仿宋_GB2312" w:cs="仿宋_GB2312"/>
          <w:b/>
          <w:sz w:val="28"/>
          <w:szCs w:val="28"/>
          <w:u w:val="single"/>
        </w:rPr>
        <w:t xml:space="preserve">     </w:t>
      </w:r>
    </w:p>
    <w:p>
      <w:pPr>
        <w:spacing w:line="600" w:lineRule="auto"/>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乙方：</w:t>
      </w:r>
      <w:r>
        <w:rPr>
          <w:rFonts w:hint="eastAsia" w:ascii="仿宋_GB2312" w:hAnsi="仿宋_GB2312" w:eastAsia="仿宋_GB2312" w:cs="仿宋_GB2312"/>
          <w:b/>
          <w:sz w:val="28"/>
          <w:szCs w:val="28"/>
          <w:u w:val="single"/>
        </w:rPr>
        <w:t xml:space="preserve">       </w:t>
      </w:r>
    </w:p>
    <w:p>
      <w:pPr>
        <w:spacing w:line="480" w:lineRule="auto"/>
        <w:ind w:firstLine="1320" w:firstLineChars="550"/>
        <w:rPr>
          <w:rFonts w:hint="eastAsia" w:ascii="仿宋_GB2312" w:hAnsi="仿宋_GB2312" w:eastAsia="仿宋_GB2312" w:cs="仿宋_GB2312"/>
          <w:sz w:val="24"/>
        </w:rPr>
      </w:pPr>
    </w:p>
    <w:p>
      <w:pPr>
        <w:spacing w:line="720" w:lineRule="auto"/>
        <w:ind w:firstLine="1265" w:firstLineChars="450"/>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签订日期：       年      月      日</w:t>
      </w: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pStyle w:val="14"/>
      </w:pPr>
    </w:p>
    <w:p>
      <w:pPr>
        <w:rPr>
          <w:rFonts w:hint="eastAsia" w:ascii="仿宋_GB2312" w:hAnsi="仿宋_GB2312" w:eastAsia="仿宋_GB2312" w:cs="仿宋_GB2312"/>
        </w:rPr>
      </w:pPr>
    </w:p>
    <w:p>
      <w:pPr>
        <w:tabs>
          <w:tab w:val="left" w:pos="840"/>
        </w:tabs>
        <w:spacing w:line="480" w:lineRule="auto"/>
        <w:ind w:firstLine="454"/>
        <w:rPr>
          <w:rFonts w:hint="eastAsia" w:ascii="仿宋_GB2312" w:hAnsi="仿宋_GB2312" w:eastAsia="仿宋_GB2312" w:cs="仿宋_GB2312"/>
          <w:b/>
          <w:sz w:val="24"/>
        </w:rPr>
      </w:pPr>
      <w:r>
        <w:rPr>
          <w:rFonts w:hint="eastAsia" w:ascii="仿宋_GB2312" w:hAnsi="仿宋_GB2312" w:eastAsia="仿宋_GB2312" w:cs="仿宋_GB2312"/>
          <w:b/>
          <w:sz w:val="24"/>
        </w:rPr>
        <w:t>甲方：</w:t>
      </w:r>
      <w:r>
        <w:rPr>
          <w:rFonts w:hint="eastAsia" w:ascii="仿宋_GB2312" w:hAnsi="仿宋_GB2312" w:eastAsia="仿宋_GB2312" w:cs="仿宋_GB2312"/>
          <w:b/>
          <w:spacing w:val="20"/>
          <w:sz w:val="28"/>
          <w:szCs w:val="28"/>
          <w:u w:val="single"/>
        </w:rPr>
        <w:t>横琴粤澳深度合作区城市规划和建设局</w:t>
      </w:r>
      <w:r>
        <w:rPr>
          <w:rFonts w:hint="eastAsia" w:ascii="仿宋_GB2312" w:hAnsi="仿宋_GB2312" w:eastAsia="仿宋_GB2312" w:cs="仿宋_GB2312"/>
          <w:b/>
          <w:sz w:val="24"/>
          <w:szCs w:val="28"/>
          <w:u w:val="single"/>
        </w:rPr>
        <w:t xml:space="preserve">       </w:t>
      </w:r>
    </w:p>
    <w:p>
      <w:pPr>
        <w:tabs>
          <w:tab w:val="left" w:pos="840"/>
        </w:tabs>
        <w:spacing w:line="480" w:lineRule="auto"/>
        <w:ind w:firstLine="454"/>
        <w:rPr>
          <w:rFonts w:hint="eastAsia" w:ascii="仿宋_GB2312" w:hAnsi="仿宋_GB2312" w:eastAsia="仿宋_GB2312" w:cs="仿宋_GB2312"/>
          <w:b/>
          <w:sz w:val="22"/>
        </w:rPr>
      </w:pPr>
      <w:r>
        <w:rPr>
          <w:rFonts w:hint="eastAsia" w:ascii="仿宋_GB2312" w:hAnsi="仿宋_GB2312" w:eastAsia="仿宋_GB2312" w:cs="仿宋_GB2312"/>
          <w:b/>
          <w:sz w:val="24"/>
        </w:rPr>
        <w:t>乙方：</w:t>
      </w:r>
      <w:r>
        <w:rPr>
          <w:rFonts w:hint="eastAsia" w:ascii="仿宋_GB2312" w:hAnsi="仿宋_GB2312" w:eastAsia="仿宋_GB2312" w:cs="仿宋_GB2312"/>
          <w:b/>
          <w:sz w:val="24"/>
          <w:szCs w:val="28"/>
          <w:u w:val="single"/>
        </w:rPr>
        <w:t xml:space="preserve">                                                      </w:t>
      </w:r>
    </w:p>
    <w:p>
      <w:pPr>
        <w:rPr>
          <w:rFonts w:hint="eastAsia" w:ascii="仿宋_GB2312" w:hAnsi="仿宋_GB2312" w:eastAsia="仿宋_GB2312" w:cs="仿宋_GB2312"/>
        </w:rPr>
      </w:pPr>
      <w:r>
        <w:rPr>
          <w:rFonts w:hint="eastAsia" w:ascii="仿宋_GB2312" w:hAnsi="仿宋_GB2312" w:eastAsia="仿宋_GB2312" w:cs="仿宋_GB2312"/>
        </w:rPr>
        <w:t xml:space="preserve"> </w:t>
      </w:r>
    </w:p>
    <w:p>
      <w:pPr>
        <w:spacing w:line="432" w:lineRule="auto"/>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sz w:val="24"/>
        </w:rPr>
        <w:t>根据</w:t>
      </w:r>
      <w:r>
        <w:rPr>
          <w:rFonts w:hint="eastAsia" w:ascii="仿宋_GB2312" w:hAnsi="仿宋_GB2312" w:eastAsia="仿宋_GB2312" w:cs="仿宋_GB2312"/>
          <w:iCs/>
          <w:sz w:val="24"/>
          <w:szCs w:val="24"/>
        </w:rPr>
        <w:t>横琴粤澳深度合作区城市规划和建设局建设工程桩基施工过程质量数据采集分析第三方技术支撑服务项目</w:t>
      </w:r>
      <w:r>
        <w:rPr>
          <w:rFonts w:hint="eastAsia" w:ascii="仿宋_GB2312" w:hAnsi="仿宋_GB2312" w:eastAsia="仿宋_GB2312" w:cs="仿宋_GB2312"/>
          <w:bCs/>
          <w:sz w:val="24"/>
        </w:rPr>
        <w:t>采购内容及采购结果，</w:t>
      </w:r>
      <w:r>
        <w:rPr>
          <w:rFonts w:hint="eastAsia" w:ascii="仿宋_GB2312" w:hAnsi="仿宋_GB2312" w:eastAsia="仿宋_GB2312" w:cs="仿宋_GB2312"/>
          <w:sz w:val="24"/>
        </w:rPr>
        <w:t>依照《中华人民共和国民法典》及有关法律、法规，遵循平等、自愿、公平和诚实信用的原则，</w:t>
      </w:r>
      <w:r>
        <w:rPr>
          <w:rFonts w:hint="eastAsia" w:ascii="仿宋_GB2312" w:hAnsi="仿宋_GB2312" w:eastAsia="仿宋_GB2312" w:cs="仿宋_GB2312"/>
          <w:bCs/>
          <w:sz w:val="24"/>
        </w:rPr>
        <w:t>双方协商一致，订立以下合同：</w:t>
      </w:r>
    </w:p>
    <w:p>
      <w:pPr>
        <w:rPr>
          <w:rFonts w:hint="eastAsia" w:ascii="仿宋_GB2312" w:hAnsi="仿宋_GB2312" w:eastAsia="仿宋_GB2312" w:cs="仿宋_GB2312"/>
          <w:bCs/>
          <w:sz w:val="24"/>
          <w:szCs w:val="24"/>
        </w:rPr>
      </w:pPr>
    </w:p>
    <w:p>
      <w:pPr>
        <w:spacing w:line="432" w:lineRule="auto"/>
        <w:rPr>
          <w:rFonts w:hint="eastAsia" w:ascii="仿宋_GB2312" w:hAnsi="仿宋_GB2312" w:eastAsia="仿宋_GB2312" w:cs="仿宋_GB2312"/>
          <w:sz w:val="24"/>
          <w:szCs w:val="24"/>
        </w:rPr>
      </w:pPr>
      <w:r>
        <w:rPr>
          <w:rFonts w:hint="eastAsia" w:ascii="仿宋_GB2312" w:hAnsi="仿宋_GB2312" w:eastAsia="仿宋_GB2312" w:cs="仿宋_GB2312"/>
          <w:b/>
          <w:sz w:val="24"/>
        </w:rPr>
        <w:t>一、项目名称：</w:t>
      </w:r>
      <w:r>
        <w:rPr>
          <w:rFonts w:hint="eastAsia" w:ascii="仿宋_GB2312" w:hAnsi="仿宋_GB2312" w:eastAsia="仿宋_GB2312" w:cs="仿宋_GB2312"/>
          <w:sz w:val="24"/>
          <w:szCs w:val="24"/>
        </w:rPr>
        <w:t>横琴粤澳深度合作区城市规划和建设局建设工程桩基施工过程质量数据采集分析第三方技术支撑服务项目（以下简称“本项目”）</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b/>
          <w:sz w:val="24"/>
        </w:rPr>
        <w:t>二、项目服务范围：</w:t>
      </w:r>
      <w:r>
        <w:rPr>
          <w:rFonts w:hint="eastAsia" w:ascii="仿宋_GB2312" w:hAnsi="仿宋_GB2312" w:eastAsia="仿宋_GB2312" w:cs="仿宋_GB2312"/>
          <w:bCs/>
          <w:sz w:val="24"/>
          <w:szCs w:val="24"/>
        </w:rPr>
        <w:t>详见竞争性磋商文件</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b/>
          <w:sz w:val="24"/>
        </w:rPr>
        <w:t>三、服务期限：</w:t>
      </w:r>
      <w:r>
        <w:rPr>
          <w:rFonts w:hint="eastAsia" w:ascii="仿宋_GB2312" w:hAnsi="仿宋_GB2312" w:eastAsia="仿宋_GB2312" w:cs="仿宋_GB2312"/>
          <w:sz w:val="24"/>
          <w:szCs w:val="24"/>
        </w:rPr>
        <w:t>自合同签订之日起1年内完成。</w:t>
      </w:r>
    </w:p>
    <w:p>
      <w:pPr>
        <w:numPr>
          <w:ilvl w:val="255"/>
          <w:numId w:val="0"/>
        </w:numPr>
        <w:spacing w:line="432" w:lineRule="auto"/>
        <w:rPr>
          <w:rFonts w:hint="eastAsia" w:ascii="仿宋_GB2312" w:hAnsi="仿宋_GB2312" w:eastAsia="仿宋_GB2312" w:cs="仿宋_GB2312"/>
          <w:b/>
          <w:sz w:val="24"/>
        </w:rPr>
      </w:pPr>
      <w:r>
        <w:rPr>
          <w:rFonts w:hint="eastAsia" w:ascii="仿宋_GB2312" w:hAnsi="仿宋_GB2312" w:eastAsia="仿宋_GB2312" w:cs="仿宋_GB2312"/>
          <w:b/>
          <w:sz w:val="24"/>
        </w:rPr>
        <w:t>四、合同价</w:t>
      </w:r>
    </w:p>
    <w:p>
      <w:pPr>
        <w:numPr>
          <w:ilvl w:val="255"/>
          <w:numId w:val="0"/>
        </w:numPr>
        <w:snapToGrid w:val="0"/>
        <w:spacing w:line="360" w:lineRule="auto"/>
        <w:ind w:firstLine="480" w:firstLineChars="200"/>
        <w:rPr>
          <w:rFonts w:hint="eastAsia" w:ascii="仿宋_GB2312" w:hAnsi="仿宋_GB2312" w:eastAsia="仿宋_GB2312" w:cs="仿宋_GB2312"/>
          <w:b/>
          <w:bCs/>
          <w:sz w:val="24"/>
          <w:szCs w:val="24"/>
          <w:u w:val="single"/>
        </w:rPr>
      </w:pPr>
      <w:r>
        <w:rPr>
          <w:rFonts w:hint="eastAsia" w:ascii="仿宋_GB2312" w:hAnsi="仿宋_GB2312" w:eastAsia="仿宋_GB2312" w:cs="仿宋_GB2312"/>
          <w:color w:val="000000"/>
          <w:kern w:val="2"/>
          <w:sz w:val="24"/>
          <w:szCs w:val="24"/>
        </w:rPr>
        <w:t xml:space="preserve">合同价：人民币 </w:t>
      </w:r>
      <w:r>
        <w:rPr>
          <w:rFonts w:hint="eastAsia" w:ascii="仿宋_GB2312" w:hAnsi="仿宋_GB2312" w:eastAsia="仿宋_GB2312" w:cs="仿宋_GB2312"/>
          <w:b/>
          <w:bCs/>
          <w:sz w:val="24"/>
          <w:szCs w:val="24"/>
          <w:u w:val="single"/>
        </w:rPr>
        <w:t xml:space="preserve">           </w:t>
      </w:r>
    </w:p>
    <w:p>
      <w:pPr>
        <w:pStyle w:val="23"/>
        <w:numPr>
          <w:ilvl w:val="255"/>
          <w:numId w:val="0"/>
        </w:numPr>
        <w:adjustRightInd w:val="0"/>
        <w:snapToGrid w:val="0"/>
        <w:spacing w:after="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项目是总价包干制，该合同价包含完成本项目的人力成本、设备成本、管理费、检测费用、专家评审劳务费（如有）、差旅费、交通费、利润、税金等其他费用，即完成本项目并提交最终成果所需的全部费用。甲方不向乙方或第三方另行支付其他费用。乙方漏报或不报，甲方将视为该漏报或不报部分的费用已包括在合同价中而不另支付。</w:t>
      </w:r>
    </w:p>
    <w:p>
      <w:pPr>
        <w:numPr>
          <w:ilvl w:val="255"/>
          <w:numId w:val="0"/>
        </w:numPr>
        <w:spacing w:line="432" w:lineRule="auto"/>
        <w:rPr>
          <w:rFonts w:hint="eastAsia" w:ascii="仿宋_GB2312" w:hAnsi="仿宋_GB2312" w:eastAsia="仿宋_GB2312" w:cs="仿宋_GB2312"/>
          <w:b/>
          <w:sz w:val="24"/>
        </w:rPr>
      </w:pPr>
      <w:r>
        <w:rPr>
          <w:rFonts w:hint="eastAsia" w:ascii="仿宋_GB2312" w:hAnsi="仿宋_GB2312" w:eastAsia="仿宋_GB2312" w:cs="仿宋_GB2312"/>
          <w:b/>
          <w:sz w:val="24"/>
        </w:rPr>
        <w:t>五、项目团队人员要求</w:t>
      </w:r>
    </w:p>
    <w:p>
      <w:pPr>
        <w:numPr>
          <w:ilvl w:val="255"/>
          <w:numId w:val="0"/>
        </w:numPr>
        <w:spacing w:line="432"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1、项目经理1人，工程类中级及以上职称或计算机技术与软件专业技术资格（中级及以上），且具备5年以上工程管理或信息管理工作经验。</w:t>
      </w:r>
    </w:p>
    <w:p>
      <w:pPr>
        <w:numPr>
          <w:ilvl w:val="255"/>
          <w:numId w:val="0"/>
        </w:numPr>
        <w:spacing w:line="432"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2、团队成员至少2人，具有工程类助理及以上职称或计算机技术与软件专业技术资格（初级及以上）且具有2年或以上工程管理或信息管理工作经验。</w:t>
      </w:r>
    </w:p>
    <w:p>
      <w:pPr>
        <w:numPr>
          <w:ilvl w:val="255"/>
          <w:numId w:val="0"/>
        </w:numPr>
        <w:spacing w:line="432"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3、甲方向乙方发布工作指令后，乙方单位成员须在甲方要求的时间前到达指定地点。</w:t>
      </w:r>
    </w:p>
    <w:p>
      <w:pPr>
        <w:numPr>
          <w:ilvl w:val="255"/>
          <w:numId w:val="0"/>
        </w:numPr>
        <w:spacing w:line="432"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4、若遇到自然灾害或突发事件等情况，乙方须做好应急响应措施，甲方若有指令，乙方须立即应急响应，按甲方完成要求工作内容。</w:t>
      </w:r>
    </w:p>
    <w:p>
      <w:pPr>
        <w:numPr>
          <w:ilvl w:val="255"/>
          <w:numId w:val="0"/>
        </w:numPr>
        <w:spacing w:line="432" w:lineRule="auto"/>
        <w:rPr>
          <w:rFonts w:hint="eastAsia" w:ascii="仿宋_GB2312" w:hAnsi="仿宋_GB2312" w:eastAsia="仿宋_GB2312" w:cs="仿宋_GB2312"/>
          <w:b/>
          <w:sz w:val="24"/>
        </w:rPr>
      </w:pPr>
      <w:r>
        <w:rPr>
          <w:rFonts w:hint="eastAsia" w:ascii="仿宋_GB2312" w:hAnsi="仿宋_GB2312" w:eastAsia="仿宋_GB2312" w:cs="仿宋_GB2312"/>
          <w:b/>
          <w:sz w:val="24"/>
        </w:rPr>
        <w:t>六、服务内容及要求</w:t>
      </w:r>
    </w:p>
    <w:p>
      <w:pPr>
        <w:spacing w:line="360" w:lineRule="auto"/>
        <w:rPr>
          <w:rStyle w:val="27"/>
          <w:rFonts w:hint="eastAsia" w:ascii="仿宋_GB2312" w:hAnsi="仿宋_GB2312" w:eastAsia="仿宋_GB2312" w:cs="仿宋_GB2312"/>
          <w:bCs/>
          <w:sz w:val="24"/>
          <w:szCs w:val="24"/>
          <w:shd w:val="clear" w:color="auto" w:fill="FFFFFF"/>
        </w:rPr>
      </w:pPr>
      <w:r>
        <w:rPr>
          <w:rStyle w:val="27"/>
          <w:rFonts w:hint="eastAsia" w:ascii="仿宋_GB2312" w:hAnsi="仿宋_GB2312" w:eastAsia="仿宋_GB2312" w:cs="仿宋_GB2312"/>
          <w:bCs/>
          <w:sz w:val="24"/>
          <w:szCs w:val="24"/>
          <w:shd w:val="clear" w:color="auto" w:fill="FFFFFF"/>
        </w:rPr>
        <w:t>（一）三种桩型全施工周期的数据采集、分析、预警，以及建立基桩质量管理标准（包括：水泥搅拌桩、预制管桩、灌注桩）</w:t>
      </w:r>
    </w:p>
    <w:p>
      <w:pPr>
        <w:numPr>
          <w:ilvl w:val="0"/>
          <w:numId w:val="8"/>
        </w:numPr>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信息采集分析内容</w:t>
      </w:r>
    </w:p>
    <w:p>
      <w:pPr>
        <w:pStyle w:val="2"/>
        <w:spacing w:line="360" w:lineRule="auto"/>
        <w:ind w:left="0" w:leftChars="0"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在服务期内收集合作区部分在建项目三种桩型的全施工周期数据，作为数据分析的基础。</w:t>
      </w:r>
    </w:p>
    <w:p>
      <w:pPr>
        <w:numPr>
          <w:ilvl w:val="0"/>
          <w:numId w:val="9"/>
        </w:numPr>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搅拌桩的水泥浆流量、压力、水灰比、搅拌转速、提升/下沉速度等参数；</w:t>
      </w:r>
    </w:p>
    <w:p>
      <w:pPr>
        <w:numPr>
          <w:ilvl w:val="0"/>
          <w:numId w:val="9"/>
        </w:numPr>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灌注桩的沉渣厚度、桩径、桩长、垂直度等参数；</w:t>
      </w:r>
    </w:p>
    <w:p>
      <w:pPr>
        <w:numPr>
          <w:ilvl w:val="0"/>
          <w:numId w:val="9"/>
        </w:numPr>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预制管桩的垂直度、压力等参数。</w:t>
      </w:r>
    </w:p>
    <w:p>
      <w:pPr>
        <w:pStyle w:val="9"/>
        <w:numPr>
          <w:ilvl w:val="0"/>
          <w:numId w:val="8"/>
        </w:numPr>
        <w:spacing w:line="360" w:lineRule="auto"/>
        <w:ind w:firstLine="480" w:firstLineChars="200"/>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制定三种桩型质量管理标准</w:t>
      </w:r>
    </w:p>
    <w:p>
      <w:pPr>
        <w:pStyle w:val="9"/>
        <w:spacing w:line="360" w:lineRule="auto"/>
        <w:ind w:firstLine="480" w:firstLineChars="200"/>
        <w:rPr>
          <w:rStyle w:val="27"/>
          <w:rFonts w:hint="eastAsia" w:ascii="仿宋_GB2312" w:hAnsi="仿宋_GB2312" w:eastAsia="仿宋_GB2312" w:cs="仿宋_GB2312"/>
          <w:sz w:val="24"/>
          <w:szCs w:val="24"/>
          <w:shd w:val="clear" w:color="auto" w:fill="FFFFFF"/>
        </w:rPr>
      </w:pPr>
      <w:r>
        <w:rPr>
          <w:rFonts w:hint="eastAsia" w:ascii="仿宋_GB2312" w:hAnsi="仿宋_GB2312" w:eastAsia="仿宋_GB2312" w:cs="仿宋_GB2312"/>
          <w:sz w:val="24"/>
          <w:szCs w:val="24"/>
        </w:rPr>
        <w:t>根据三种桩型从施工准备、施工过程、施工验收等流程的质量控制参数，以及目前的施工监测、检测技术参数，制定具有实践意义的基桩质量管理标准。</w:t>
      </w:r>
    </w:p>
    <w:p>
      <w:pPr>
        <w:pStyle w:val="9"/>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3、数据分析</w:t>
      </w:r>
    </w:p>
    <w:p>
      <w:pPr>
        <w:pStyle w:val="9"/>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对</w:t>
      </w:r>
      <w:r>
        <w:rPr>
          <w:rStyle w:val="27"/>
          <w:rFonts w:hint="eastAsia" w:ascii="仿宋_GB2312" w:hAnsi="仿宋_GB2312" w:eastAsia="仿宋_GB2312" w:cs="仿宋_GB2312"/>
          <w:b w:val="0"/>
          <w:bCs/>
          <w:sz w:val="24"/>
          <w:szCs w:val="24"/>
          <w:shd w:val="clear" w:color="auto" w:fill="FFFFFF"/>
        </w:rPr>
        <w:t>三种桩型质量管理标准</w:t>
      </w:r>
      <w:r>
        <w:rPr>
          <w:rStyle w:val="27"/>
          <w:rFonts w:hint="eastAsia" w:ascii="仿宋_GB2312" w:hAnsi="仿宋_GB2312" w:eastAsia="仿宋_GB2312" w:cs="仿宋_GB2312"/>
          <w:b w:val="0"/>
          <w:sz w:val="24"/>
          <w:szCs w:val="24"/>
          <w:shd w:val="clear" w:color="auto" w:fill="FFFFFF"/>
        </w:rPr>
        <w:t>，对标《建筑地基基础工程施工质量验收标准》（GB50202-2018）、《建筑桩基技术规范》（JGJ94-2008）等国家、行业及地方规范要求，进行质量管理标准数据分析，分析与现行规范的差异情况，罗列</w:t>
      </w:r>
      <w:r>
        <w:rPr>
          <w:rFonts w:hint="eastAsia" w:ascii="仿宋_GB2312" w:hAnsi="仿宋_GB2312" w:eastAsia="仿宋_GB2312" w:cs="仿宋_GB2312"/>
          <w:sz w:val="24"/>
          <w:szCs w:val="24"/>
        </w:rPr>
        <w:t>各种桩的</w:t>
      </w:r>
      <w:r>
        <w:rPr>
          <w:rStyle w:val="27"/>
          <w:rFonts w:hint="eastAsia" w:ascii="仿宋_GB2312" w:hAnsi="仿宋_GB2312" w:eastAsia="仿宋_GB2312" w:cs="仿宋_GB2312"/>
          <w:b w:val="0"/>
          <w:sz w:val="24"/>
          <w:szCs w:val="24"/>
          <w:shd w:val="clear" w:color="auto" w:fill="FFFFFF"/>
        </w:rPr>
        <w:t>的重要指标和一般指标；并写出各个阶段三类桩（</w:t>
      </w:r>
      <w:r>
        <w:rPr>
          <w:rFonts w:hint="eastAsia" w:ascii="仿宋_GB2312" w:hAnsi="仿宋_GB2312" w:eastAsia="仿宋_GB2312" w:cs="仿宋_GB2312"/>
          <w:sz w:val="24"/>
          <w:szCs w:val="24"/>
        </w:rPr>
        <w:t>包含单桩/群桩</w:t>
      </w:r>
      <w:r>
        <w:rPr>
          <w:rStyle w:val="27"/>
          <w:rFonts w:hint="eastAsia" w:ascii="仿宋_GB2312" w:hAnsi="仿宋_GB2312" w:eastAsia="仿宋_GB2312" w:cs="仿宋_GB2312"/>
          <w:b w:val="0"/>
          <w:sz w:val="24"/>
          <w:szCs w:val="24"/>
          <w:shd w:val="clear" w:color="auto" w:fill="FFFFFF"/>
        </w:rPr>
        <w:t>）</w:t>
      </w:r>
      <w:r>
        <w:rPr>
          <w:rFonts w:hint="eastAsia" w:ascii="仿宋_GB2312" w:hAnsi="仿宋_GB2312" w:eastAsia="仿宋_GB2312" w:cs="仿宋_GB2312"/>
          <w:sz w:val="24"/>
          <w:szCs w:val="24"/>
        </w:rPr>
        <w:t>验收合规性参数指标。</w:t>
      </w:r>
    </w:p>
    <w:p>
      <w:pPr>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 xml:space="preserve">4、一桩一档体系数据报告   </w:t>
      </w:r>
    </w:p>
    <w:p>
      <w:pPr>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根据桩基管理体系与数据分析成果，输出“一桩一档”体系数据报告。报告应包含以下模块：</w:t>
      </w:r>
    </w:p>
    <w:p>
      <w:pPr>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（1）基础信息：桩编号、项目名称、桩型、设计参数、施工单位等；</w:t>
      </w:r>
    </w:p>
    <w:p>
      <w:pPr>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（2）检测或监测数据曲线：关键参数实时变化曲线（如搅拌桩水泥浆流量-时间曲线）、偏差分析（与规范阈值对比）等；</w:t>
      </w:r>
    </w:p>
    <w:p>
      <w:pPr>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（3）质量评估：施工过程预警记录、验收结论等。</w:t>
      </w:r>
    </w:p>
    <w:p>
      <w:pPr>
        <w:spacing w:line="360" w:lineRule="auto"/>
        <w:rPr>
          <w:rStyle w:val="27"/>
          <w:rFonts w:hint="eastAsia" w:ascii="仿宋_GB2312" w:hAnsi="仿宋_GB2312" w:eastAsia="仿宋_GB2312" w:cs="仿宋_GB2312"/>
          <w:bCs/>
          <w:sz w:val="24"/>
          <w:szCs w:val="24"/>
          <w:shd w:val="clear" w:color="auto" w:fill="FFFFFF"/>
        </w:rPr>
      </w:pPr>
      <w:r>
        <w:rPr>
          <w:rStyle w:val="27"/>
          <w:rFonts w:hint="eastAsia" w:ascii="仿宋_GB2312" w:hAnsi="仿宋_GB2312" w:eastAsia="仿宋_GB2312" w:cs="仿宋_GB2312"/>
          <w:bCs/>
          <w:sz w:val="24"/>
          <w:szCs w:val="24"/>
          <w:shd w:val="clear" w:color="auto" w:fill="FFFFFF"/>
        </w:rPr>
        <w:t>（二）项目信息采集</w:t>
      </w:r>
    </w:p>
    <w:p>
      <w:pPr>
        <w:spacing w:line="360" w:lineRule="auto"/>
        <w:ind w:firstLine="480" w:firstLineChars="200"/>
        <w:rPr>
          <w:rFonts w:hint="eastAsia" w:ascii="仿宋_GB2312" w:hAnsi="仿宋_GB2312" w:eastAsia="仿宋_GB2312" w:cs="仿宋_GB2312"/>
          <w:sz w:val="24"/>
          <w:szCs w:val="24"/>
        </w:rPr>
      </w:pPr>
      <w:r>
        <w:rPr>
          <w:rStyle w:val="27"/>
          <w:rFonts w:hint="eastAsia" w:ascii="仿宋_GB2312" w:hAnsi="仿宋_GB2312" w:eastAsia="仿宋_GB2312" w:cs="仿宋_GB2312"/>
          <w:b w:val="0"/>
          <w:sz w:val="24"/>
          <w:szCs w:val="24"/>
          <w:shd w:val="clear" w:color="auto" w:fill="FFFFFF"/>
        </w:rPr>
        <w:t>对所有在建项目</w:t>
      </w:r>
      <w:r>
        <w:rPr>
          <w:rFonts w:hint="eastAsia" w:ascii="仿宋_GB2312" w:hAnsi="仿宋_GB2312" w:eastAsia="仿宋_GB2312" w:cs="仿宋_GB2312"/>
          <w:sz w:val="24"/>
          <w:szCs w:val="24"/>
        </w:rPr>
        <w:t>通过人工服务将桩基施工数据等准确、完整进行收集。</w:t>
      </w:r>
      <w:r>
        <w:rPr>
          <w:rStyle w:val="27"/>
          <w:rFonts w:hint="eastAsia" w:ascii="仿宋_GB2312" w:hAnsi="仿宋_GB2312" w:eastAsia="仿宋_GB2312" w:cs="仿宋_GB2312"/>
          <w:b w:val="0"/>
          <w:sz w:val="24"/>
          <w:szCs w:val="24"/>
          <w:shd w:val="clear" w:color="auto" w:fill="FFFFFF"/>
        </w:rPr>
        <w:t>在现有智慧建设监管平台系统构建对桩基工程日常动态监管，为实现平台自动触发预警打好基础。</w:t>
      </w:r>
    </w:p>
    <w:p>
      <w:pPr>
        <w:spacing w:line="360" w:lineRule="auto"/>
        <w:rPr>
          <w:rStyle w:val="27"/>
          <w:rFonts w:hint="eastAsia" w:ascii="仿宋_GB2312" w:hAnsi="仿宋_GB2312" w:eastAsia="仿宋_GB2312" w:cs="仿宋_GB2312"/>
          <w:bCs/>
          <w:sz w:val="24"/>
          <w:szCs w:val="24"/>
          <w:shd w:val="clear" w:color="auto" w:fill="FFFFFF"/>
        </w:rPr>
      </w:pPr>
      <w:r>
        <w:rPr>
          <w:rStyle w:val="27"/>
          <w:rFonts w:hint="eastAsia" w:ascii="仿宋_GB2312" w:hAnsi="仿宋_GB2312" w:eastAsia="仿宋_GB2312" w:cs="仿宋_GB2312"/>
          <w:bCs/>
          <w:sz w:val="24"/>
          <w:szCs w:val="24"/>
          <w:shd w:val="clear" w:color="auto" w:fill="FFFFFF"/>
        </w:rPr>
        <w:t>（三）互联网系统技术服务</w:t>
      </w:r>
    </w:p>
    <w:p>
      <w:pPr>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综合上述（一）和（二）服务内容，通过专业系统提供桩基（包括但不限于搅拌桩、管桩和灌注桩）监测设备相关数据和表单数据，专业系统通过接口或数据库权限开放的方式获取智慧建设监管平台的项目及桩信息，将桩数据与项目和桩信息进行绑定，相关原始数据、过程数据、结果数据及预警分析标准/指标/算法通过接口对接的方式推送至智慧建设监管平台。专业系统应独立部署至政务云并集成至智慧建设监管平台（包括手机端和PC端等多种端），与智慧建设监管平台统一账号权限。专业系统需推送待办、系统消息和公告等信息至智慧建设监管平台统一门户，支持在智慧建设监管平台处理相关待办、系统消息和公告等信息，并支持智慧建设监管平台统一门户发送待办给专业系统。专业系统需提供全量数据库及相关数据，支持智慧建设监管平台直接从数据库抓取所有数据。专业系统需公开发布所有对接设备接口文档和相关规则，并支持所有厂商设备主动对接本系统，提供免费联试联调服务。专业系统应不设置任何类别的许可及许可证限制，以及各类订阅费用、使用费用等相关收费项目，需完全</w:t>
      </w:r>
      <w:r>
        <w:rPr>
          <w:rStyle w:val="27"/>
          <w:rFonts w:hint="eastAsia" w:ascii="仿宋_GB2312" w:hAnsi="仿宋_GB2312" w:eastAsia="仿宋_GB2312" w:cs="仿宋_GB2312"/>
          <w:b w:val="0"/>
          <w:sz w:val="24"/>
          <w:szCs w:val="24"/>
          <w:shd w:val="clear" w:color="auto" w:fill="FFFFFF"/>
          <w:lang w:val="en-US" w:eastAsia="zh-CN"/>
        </w:rPr>
        <w:t>永久</w:t>
      </w:r>
      <w:r>
        <w:rPr>
          <w:rStyle w:val="27"/>
          <w:rFonts w:hint="eastAsia" w:ascii="仿宋_GB2312" w:hAnsi="仿宋_GB2312" w:eastAsia="仿宋_GB2312" w:cs="仿宋_GB2312"/>
          <w:b w:val="0"/>
          <w:sz w:val="24"/>
          <w:szCs w:val="24"/>
          <w:shd w:val="clear" w:color="auto" w:fill="FFFFFF"/>
        </w:rPr>
        <w:t>免费提供给采购方及采购方授权的用户使用。</w:t>
      </w:r>
    </w:p>
    <w:p>
      <w:pPr>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1、</w:t>
      </w:r>
      <w:r>
        <w:rPr>
          <w:rStyle w:val="27"/>
          <w:rFonts w:hint="eastAsia" w:ascii="仿宋_GB2312" w:hAnsi="仿宋_GB2312" w:eastAsia="仿宋_GB2312" w:cs="仿宋_GB2312"/>
          <w:b w:val="0"/>
          <w:sz w:val="24"/>
          <w:szCs w:val="24"/>
          <w:shd w:val="clear" w:color="auto" w:fill="FFFFFF"/>
          <w:lang w:eastAsia="zh-Hans"/>
        </w:rPr>
        <w:t>应用模块：</w:t>
      </w:r>
      <w:r>
        <w:rPr>
          <w:rStyle w:val="27"/>
          <w:rFonts w:hint="eastAsia" w:ascii="仿宋_GB2312" w:hAnsi="仿宋_GB2312" w:eastAsia="仿宋_GB2312" w:cs="仿宋_GB2312"/>
          <w:b w:val="0"/>
          <w:sz w:val="24"/>
          <w:szCs w:val="24"/>
          <w:shd w:val="clear" w:color="auto" w:fill="FFFFFF"/>
        </w:rPr>
        <w:t>搅拌桩模块</w:t>
      </w:r>
    </w:p>
    <w:p>
      <w:pPr>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专业系统通过已采集的桩基施工数据与质量验收标准库的预设标准值进行自动对比，对有偏差项进行质量异常预警输出。如：可对采集的水泥浆流量、压力、密度、水灰比，钻进与提升速度，桩身垂直度，桩深等数据进行实时分析，通过将实时数据与设计标准和现行技术规范中的阈值进行比对，当数据超出正常范围时，自动发出质量异常预警，如水泥浆流量低于规定值时，提示可能存在供浆不足的问题，并建议检查注浆设备。</w:t>
      </w:r>
    </w:p>
    <w:p>
      <w:pPr>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2、</w:t>
      </w:r>
      <w:r>
        <w:rPr>
          <w:rStyle w:val="27"/>
          <w:rFonts w:hint="eastAsia" w:ascii="仿宋_GB2312" w:hAnsi="仿宋_GB2312" w:eastAsia="仿宋_GB2312" w:cs="仿宋_GB2312"/>
          <w:b w:val="0"/>
          <w:sz w:val="24"/>
          <w:szCs w:val="24"/>
          <w:shd w:val="clear" w:color="auto" w:fill="FFFFFF"/>
          <w:lang w:eastAsia="zh-Hans"/>
        </w:rPr>
        <w:t>应用模块：</w:t>
      </w:r>
      <w:r>
        <w:rPr>
          <w:rStyle w:val="27"/>
          <w:rFonts w:hint="eastAsia" w:ascii="仿宋_GB2312" w:hAnsi="仿宋_GB2312" w:eastAsia="仿宋_GB2312" w:cs="仿宋_GB2312"/>
          <w:b w:val="0"/>
          <w:sz w:val="24"/>
          <w:szCs w:val="24"/>
          <w:shd w:val="clear" w:color="auto" w:fill="FFFFFF"/>
        </w:rPr>
        <w:t>灌注桩模块</w:t>
      </w:r>
    </w:p>
    <w:p>
      <w:pPr>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专业系统通过已采集的桩基施工数据与质量验收标准库的预设标准值进行自动对比，对有偏差项进行质量异常预警输出。如：可对采集的水泥浆流量、压力、密度、水灰比，钻进与提升速度，桩身垂直度，桩深等数据进行实时分析，通过将实时数据与设计标准和现行技术规范中的阈值进行比对，当数据超出正常范围时，自动发出质量异常预警，如水泥浆流量低于规定值时，提示可能存在供浆不足的问题，并建议检查注浆设备。</w:t>
      </w:r>
    </w:p>
    <w:p>
      <w:pPr>
        <w:pStyle w:val="2"/>
        <w:spacing w:line="360" w:lineRule="auto"/>
        <w:rPr>
          <w:rFonts w:hint="eastAsia" w:ascii="仿宋_GB2312" w:hAnsi="仿宋_GB2312" w:eastAsia="仿宋_GB2312" w:cs="仿宋_GB2312"/>
          <w:sz w:val="24"/>
          <w:szCs w:val="24"/>
        </w:rPr>
      </w:pPr>
      <w:r>
        <w:rPr>
          <w:rStyle w:val="27"/>
          <w:rFonts w:hint="eastAsia" w:ascii="仿宋_GB2312" w:hAnsi="仿宋_GB2312" w:eastAsia="仿宋_GB2312" w:cs="仿宋_GB2312"/>
          <w:b w:val="0"/>
          <w:sz w:val="24"/>
          <w:szCs w:val="24"/>
          <w:shd w:val="clear" w:color="auto" w:fill="FFFFFF"/>
        </w:rPr>
        <w:t>3、</w:t>
      </w:r>
      <w:r>
        <w:rPr>
          <w:rStyle w:val="27"/>
          <w:rFonts w:hint="eastAsia" w:ascii="仿宋_GB2312" w:hAnsi="仿宋_GB2312" w:eastAsia="仿宋_GB2312" w:cs="仿宋_GB2312"/>
          <w:b w:val="0"/>
          <w:sz w:val="24"/>
          <w:szCs w:val="24"/>
          <w:shd w:val="clear" w:color="auto" w:fill="FFFFFF"/>
          <w:lang w:eastAsia="zh-Hans"/>
        </w:rPr>
        <w:t>应用模块：</w:t>
      </w:r>
      <w:r>
        <w:rPr>
          <w:rStyle w:val="27"/>
          <w:rFonts w:hint="eastAsia" w:ascii="仿宋_GB2312" w:hAnsi="仿宋_GB2312" w:eastAsia="仿宋_GB2312" w:cs="仿宋_GB2312"/>
          <w:b w:val="0"/>
          <w:sz w:val="24"/>
          <w:szCs w:val="24"/>
          <w:shd w:val="clear" w:color="auto" w:fill="FFFFFF"/>
        </w:rPr>
        <w:t>预制管桩</w:t>
      </w:r>
    </w:p>
    <w:p>
      <w:pPr>
        <w:spacing w:line="360" w:lineRule="auto"/>
        <w:ind w:firstLine="480" w:firstLineChars="200"/>
        <w:rPr>
          <w:rFonts w:hint="eastAsia" w:ascii="仿宋_GB2312" w:hAnsi="仿宋_GB2312" w:eastAsia="仿宋_GB2312" w:cs="仿宋_GB2312"/>
          <w:sz w:val="24"/>
          <w:szCs w:val="24"/>
        </w:rPr>
      </w:pPr>
      <w:r>
        <w:rPr>
          <w:rStyle w:val="27"/>
          <w:rFonts w:hint="eastAsia" w:ascii="仿宋_GB2312" w:hAnsi="仿宋_GB2312" w:eastAsia="仿宋_GB2312" w:cs="仿宋_GB2312"/>
          <w:b w:val="0"/>
          <w:sz w:val="24"/>
          <w:szCs w:val="24"/>
          <w:shd w:val="clear" w:color="auto" w:fill="FFFFFF"/>
        </w:rPr>
        <w:t>专业系统通过已采集的桩基施工数据与质量验收标准库的预设标准值进行自动对比，对有偏差项进行质量异常预警输出。如：可对采集的垂直度、压力等数据进行实时分析，通过将实时数据与设计标准和现行技术规范中的阈值进行比对，当数据超出正常范围时，自动发出质量异常预警。</w:t>
      </w:r>
    </w:p>
    <w:p>
      <w:pPr>
        <w:spacing w:line="360" w:lineRule="auto"/>
        <w:rPr>
          <w:rStyle w:val="27"/>
          <w:rFonts w:hint="eastAsia" w:ascii="仿宋_GB2312" w:hAnsi="仿宋_GB2312" w:eastAsia="仿宋_GB2312" w:cs="仿宋_GB2312"/>
          <w:b w:val="0"/>
          <w:sz w:val="24"/>
          <w:szCs w:val="24"/>
          <w:shd w:val="clear" w:color="auto" w:fill="FFFFFF"/>
        </w:rPr>
      </w:pPr>
      <w:r>
        <w:rPr>
          <w:rFonts w:hint="eastAsia" w:ascii="仿宋_GB2312" w:hAnsi="仿宋_GB2312" w:eastAsia="仿宋_GB2312" w:cs="仿宋_GB2312"/>
          <w:b/>
          <w:bCs/>
          <w:color w:val="000000"/>
          <w:sz w:val="24"/>
          <w:szCs w:val="24"/>
          <w:lang w:bidi="ar"/>
        </w:rPr>
        <w:t>（四</w:t>
      </w:r>
      <w:r>
        <w:rPr>
          <w:rStyle w:val="27"/>
          <w:rFonts w:hint="eastAsia" w:ascii="仿宋_GB2312" w:hAnsi="仿宋_GB2312" w:eastAsia="仿宋_GB2312" w:cs="仿宋_GB2312"/>
          <w:bCs/>
          <w:sz w:val="24"/>
          <w:szCs w:val="24"/>
          <w:shd w:val="clear" w:color="auto" w:fill="FFFFFF"/>
        </w:rPr>
        <w:t>）</w:t>
      </w:r>
      <w:r>
        <w:rPr>
          <w:rFonts w:hint="eastAsia" w:ascii="仿宋_GB2312" w:hAnsi="仿宋_GB2312" w:eastAsia="仿宋_GB2312" w:cs="仿宋_GB2312"/>
          <w:b/>
          <w:bCs/>
          <w:color w:val="000000"/>
          <w:sz w:val="24"/>
          <w:szCs w:val="24"/>
          <w:lang w:bidi="ar"/>
        </w:rPr>
        <w:t>运行环境</w:t>
      </w:r>
    </w:p>
    <w:p>
      <w:pPr>
        <w:numPr>
          <w:ilvl w:val="255"/>
          <w:numId w:val="0"/>
        </w:numPr>
        <w:spacing w:line="360" w:lineRule="auto"/>
        <w:ind w:firstLine="480" w:firstLineChars="200"/>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服务期限内专业系统WEB端正常运行所需的服务器、带宽环境。</w:t>
      </w:r>
    </w:p>
    <w:p>
      <w:pPr>
        <w:spacing w:line="432" w:lineRule="auto"/>
        <w:rPr>
          <w:rFonts w:hint="eastAsia" w:ascii="仿宋_GB2312" w:hAnsi="仿宋_GB2312" w:eastAsia="仿宋_GB2312" w:cs="仿宋_GB2312"/>
          <w:b/>
          <w:sz w:val="24"/>
        </w:rPr>
      </w:pPr>
      <w:r>
        <w:rPr>
          <w:rFonts w:hint="eastAsia" w:ascii="仿宋_GB2312" w:hAnsi="仿宋_GB2312" w:eastAsia="仿宋_GB2312" w:cs="仿宋_GB2312"/>
          <w:b/>
          <w:sz w:val="24"/>
        </w:rPr>
        <w:t>（五）培训</w:t>
      </w:r>
    </w:p>
    <w:p>
      <w:pPr>
        <w:adjustRightInd w:val="0"/>
        <w:snapToGrid w:val="0"/>
        <w:spacing w:line="360" w:lineRule="auto"/>
        <w:ind w:firstLine="480" w:firstLineChars="200"/>
        <w:jc w:val="both"/>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完成上述第六条约定服务内容后，为甲方、施工单位、监理单位提供不少于 3 次培训（线上或线下），并提供《操作手册》。</w:t>
      </w:r>
    </w:p>
    <w:p>
      <w:pPr>
        <w:adjustRightInd w:val="0"/>
        <w:snapToGrid w:val="0"/>
        <w:spacing w:line="360" w:lineRule="auto"/>
        <w:ind w:firstLine="0" w:firstLineChars="0"/>
        <w:jc w:val="both"/>
        <w:rPr>
          <w:rStyle w:val="27"/>
          <w:rFonts w:hint="eastAsia" w:ascii="仿宋_GB2312" w:hAnsi="仿宋_GB2312" w:eastAsia="仿宋_GB2312" w:cs="仿宋_GB2312"/>
          <w:b w:val="0"/>
          <w:bCs/>
          <w:sz w:val="24"/>
          <w:szCs w:val="24"/>
          <w:shd w:val="clear" w:color="auto" w:fill="FFFFFF"/>
          <w:lang w:eastAsia="zh-CN"/>
        </w:rPr>
      </w:pPr>
      <w:r>
        <w:rPr>
          <w:rStyle w:val="26"/>
          <w:rFonts w:hint="eastAsia" w:ascii="宋体" w:hAnsi="宋体" w:eastAsia="宋体" w:cs="宋体"/>
          <w:b/>
          <w:bCs/>
          <w:color w:val="000000"/>
          <w:sz w:val="24"/>
          <w:szCs w:val="20"/>
          <w:shd w:val="clear" w:color="auto" w:fill="FFFFFF"/>
          <w:lang w:eastAsia="zh-CN" w:bidi="ar"/>
        </w:rPr>
        <w:t>（</w:t>
      </w:r>
      <w:r>
        <w:rPr>
          <w:rStyle w:val="26"/>
          <w:rFonts w:hint="eastAsia" w:ascii="宋体" w:hAnsi="宋体" w:eastAsia="宋体" w:cs="宋体"/>
          <w:b/>
          <w:bCs/>
          <w:color w:val="000000"/>
          <w:sz w:val="24"/>
          <w:szCs w:val="20"/>
          <w:shd w:val="clear" w:color="auto" w:fill="FFFFFF"/>
          <w:lang w:val="en-US" w:eastAsia="zh-CN" w:bidi="ar"/>
        </w:rPr>
        <w:t>六</w:t>
      </w:r>
      <w:r>
        <w:rPr>
          <w:rStyle w:val="26"/>
          <w:rFonts w:hint="eastAsia" w:ascii="宋体" w:hAnsi="宋体" w:eastAsia="宋体" w:cs="宋体"/>
          <w:b/>
          <w:bCs/>
          <w:color w:val="000000"/>
          <w:sz w:val="24"/>
          <w:szCs w:val="20"/>
          <w:shd w:val="clear" w:color="auto" w:fill="FFFFFF"/>
          <w:lang w:eastAsia="zh-CN" w:bidi="ar"/>
        </w:rPr>
        <w:t>）</w:t>
      </w:r>
      <w:r>
        <w:rPr>
          <w:rFonts w:hint="eastAsia" w:ascii="仿宋_GB2312" w:hAnsi="仿宋_GB2312" w:eastAsia="仿宋_GB2312" w:cs="仿宋_GB2312"/>
          <w:b/>
          <w:bCs/>
          <w:color w:val="000000"/>
          <w:sz w:val="24"/>
          <w:szCs w:val="24"/>
          <w:lang w:bidi="ar"/>
        </w:rPr>
        <w:t>系统软件维护服务</w:t>
      </w:r>
    </w:p>
    <w:p>
      <w:pPr>
        <w:adjustRightInd w:val="0"/>
        <w:snapToGrid w:val="0"/>
        <w:spacing w:line="360" w:lineRule="auto"/>
        <w:ind w:firstLine="480" w:firstLineChars="200"/>
        <w:jc w:val="both"/>
        <w:rPr>
          <w:rStyle w:val="27"/>
          <w:rFonts w:hint="eastAsia" w:ascii="仿宋_GB2312" w:hAnsi="仿宋_GB2312" w:eastAsia="仿宋_GB2312" w:cs="仿宋_GB2312"/>
          <w:b w:val="0"/>
          <w:sz w:val="24"/>
          <w:szCs w:val="24"/>
          <w:shd w:val="clear" w:color="auto" w:fill="FFFFFF"/>
        </w:rPr>
      </w:pPr>
      <w:r>
        <w:rPr>
          <w:rStyle w:val="27"/>
          <w:rFonts w:hint="eastAsia" w:ascii="仿宋_GB2312" w:hAnsi="仿宋_GB2312" w:eastAsia="仿宋_GB2312" w:cs="仿宋_GB2312"/>
          <w:b w:val="0"/>
          <w:sz w:val="24"/>
          <w:szCs w:val="24"/>
          <w:shd w:val="clear" w:color="auto" w:fill="FFFFFF"/>
        </w:rPr>
        <w:t>专业系统应提供自项目合同验收合格之日起3年免费系统软件维护服务。系统软件维护服务期间中标</w:t>
      </w:r>
      <w:r>
        <w:rPr>
          <w:rStyle w:val="27"/>
          <w:rFonts w:hint="eastAsia" w:ascii="仿宋_GB2312" w:hAnsi="仿宋_GB2312" w:eastAsia="仿宋_GB2312" w:cs="仿宋_GB2312"/>
          <w:b w:val="0"/>
          <w:sz w:val="24"/>
          <w:szCs w:val="24"/>
          <w:shd w:val="clear" w:color="auto" w:fill="FFFFFF"/>
          <w:lang w:val="en-US" w:eastAsia="zh-CN"/>
        </w:rPr>
        <w:t>人</w:t>
      </w:r>
      <w:r>
        <w:rPr>
          <w:rStyle w:val="27"/>
          <w:rFonts w:hint="eastAsia" w:ascii="仿宋_GB2312" w:hAnsi="仿宋_GB2312" w:eastAsia="仿宋_GB2312" w:cs="仿宋_GB2312"/>
          <w:b w:val="0"/>
          <w:sz w:val="24"/>
          <w:szCs w:val="24"/>
          <w:shd w:val="clear" w:color="auto" w:fill="FFFFFF"/>
        </w:rPr>
        <w:t>需提供常设每周7天×24小时服务专线和长期的免费技术支持，故障报修的响应时间：周一至周五8：30～18:00期间为2小时，若远程无法解决，4小时内到达现场进行维护，协助采购人解决问题，必要时可要求提供驻场运维服务。系统软件维护内容和范围包括但不限于应用软件日常运维，包括安装配置、日常维护、升级服务、性能评估及调优、现场技术支持、故障处理、应急管理、咨询服务等。系统软件维护期间对需要各种方式进行对接的工作提供实际性的支撑，包括但不限于修改/增加接口，配合其他项目工程师进行技术沟通及对接工作等。具体服务内容如下：</w:t>
      </w:r>
    </w:p>
    <w:p>
      <w:pPr>
        <w:pStyle w:val="2"/>
        <w:rPr>
          <w:rFonts w:hint="eastAsia"/>
        </w:rPr>
      </w:pPr>
    </w:p>
    <w:tbl>
      <w:tblPr>
        <w:tblStyle w:val="2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70"/>
        <w:gridCol w:w="907"/>
        <w:gridCol w:w="1643"/>
        <w:gridCol w:w="55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0" w:type="auto"/>
            <w:tcBorders>
              <w:tl2br w:val="nil"/>
              <w:tr2bl w:val="nil"/>
            </w:tcBorders>
            <w:shd w:val="clear" w:color="auto" w:fill="F1F1F1" w:themeFill="background1" w:themeFillShade="F2"/>
            <w:tcMar>
              <w:top w:w="15" w:type="dxa"/>
              <w:left w:w="15" w:type="dxa"/>
              <w:right w:w="15" w:type="dxa"/>
            </w:tcMar>
            <w:vAlign w:val="center"/>
          </w:tcPr>
          <w:p>
            <w:pPr>
              <w:pStyle w:val="2"/>
              <w:ind w:left="0" w:leftChars="0"/>
              <w:jc w:val="center"/>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lang w:val="en-US" w:eastAsia="zh-CN"/>
              </w:rPr>
              <w:t>序号</w:t>
            </w:r>
          </w:p>
        </w:tc>
        <w:tc>
          <w:tcPr>
            <w:tcW w:w="0" w:type="auto"/>
            <w:tcBorders>
              <w:tl2br w:val="nil"/>
              <w:tr2bl w:val="nil"/>
            </w:tcBorders>
            <w:shd w:val="clear" w:color="auto" w:fill="F1F1F1" w:themeFill="background1" w:themeFillShade="F2"/>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服务范围</w:t>
            </w:r>
          </w:p>
        </w:tc>
        <w:tc>
          <w:tcPr>
            <w:tcW w:w="0" w:type="auto"/>
            <w:tcBorders>
              <w:tl2br w:val="nil"/>
              <w:tr2bl w:val="nil"/>
            </w:tcBorders>
            <w:shd w:val="clear" w:color="auto" w:fill="F1F1F1" w:themeFill="background1" w:themeFillShade="F2"/>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服务项</w:t>
            </w:r>
          </w:p>
        </w:tc>
        <w:tc>
          <w:tcPr>
            <w:tcW w:w="0" w:type="auto"/>
            <w:tcBorders>
              <w:tl2br w:val="nil"/>
              <w:tr2bl w:val="nil"/>
            </w:tcBorders>
            <w:shd w:val="clear" w:color="auto" w:fill="F1F1F1" w:themeFill="background1" w:themeFillShade="F2"/>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服务内容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0" w:type="auto"/>
            <w:tcBorders>
              <w:tl2br w:val="nil"/>
              <w:tr2bl w:val="nil"/>
            </w:tcBorders>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1</w:t>
            </w:r>
          </w:p>
        </w:tc>
        <w:tc>
          <w:tcPr>
            <w:tcW w:w="0" w:type="auto"/>
            <w:vMerge w:val="restart"/>
            <w:tcBorders>
              <w:tl2br w:val="nil"/>
              <w:tr2bl w:val="nil"/>
            </w:tcBorders>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专业系统</w:t>
            </w:r>
          </w:p>
        </w:tc>
        <w:tc>
          <w:tcPr>
            <w:tcW w:w="0" w:type="auto"/>
            <w:vMerge w:val="restart"/>
            <w:tcBorders>
              <w:tl2br w:val="nil"/>
              <w:tr2bl w:val="nil"/>
            </w:tcBorders>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应用系统运行Bug排查与修复</w:t>
            </w:r>
          </w:p>
        </w:tc>
        <w:tc>
          <w:tcPr>
            <w:tcW w:w="0" w:type="auto"/>
            <w:tcBorders>
              <w:tl2br w:val="nil"/>
              <w:tr2bl w:val="nil"/>
            </w:tcBorders>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应用系统运行Bug排查与修复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0" w:type="auto"/>
            <w:tcBorders>
              <w:tl2br w:val="nil"/>
              <w:tr2bl w:val="nil"/>
            </w:tcBorders>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2</w:t>
            </w:r>
          </w:p>
        </w:tc>
        <w:tc>
          <w:tcPr>
            <w:tcW w:w="0" w:type="auto"/>
            <w:vMerge w:val="continue"/>
            <w:tcBorders>
              <w:tl2br w:val="nil"/>
              <w:tr2bl w:val="nil"/>
            </w:tcBorders>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p>
        </w:tc>
        <w:tc>
          <w:tcPr>
            <w:tcW w:w="0" w:type="auto"/>
            <w:vMerge w:val="continue"/>
            <w:tcBorders>
              <w:tl2br w:val="nil"/>
              <w:tr2bl w:val="nil"/>
            </w:tcBorders>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p>
        </w:tc>
        <w:tc>
          <w:tcPr>
            <w:tcW w:w="0" w:type="auto"/>
            <w:tcBorders>
              <w:tl2br w:val="nil"/>
              <w:tr2bl w:val="nil"/>
            </w:tcBorders>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应用系统运行情况监控</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0" w:type="auto"/>
            <w:tcBorders>
              <w:tl2br w:val="nil"/>
              <w:tr2bl w:val="nil"/>
            </w:tcBorders>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3</w:t>
            </w:r>
          </w:p>
        </w:tc>
        <w:tc>
          <w:tcPr>
            <w:tcW w:w="0" w:type="auto"/>
            <w:vMerge w:val="continue"/>
            <w:tcBorders>
              <w:tl2br w:val="nil"/>
              <w:tr2bl w:val="nil"/>
            </w:tcBorders>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p>
        </w:tc>
        <w:tc>
          <w:tcPr>
            <w:tcW w:w="0" w:type="auto"/>
            <w:vMerge w:val="continue"/>
            <w:tcBorders>
              <w:tl2br w:val="nil"/>
              <w:tr2bl w:val="nil"/>
            </w:tcBorders>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p>
        </w:tc>
        <w:tc>
          <w:tcPr>
            <w:tcW w:w="0" w:type="auto"/>
            <w:tcBorders>
              <w:tl2br w:val="nil"/>
              <w:tr2bl w:val="nil"/>
            </w:tcBorders>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修复后的应用系统测试与发布上线</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0" w:type="auto"/>
            <w:tcBorders>
              <w:tl2br w:val="nil"/>
              <w:tr2bl w:val="nil"/>
            </w:tcBorders>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4</w:t>
            </w:r>
          </w:p>
        </w:tc>
        <w:tc>
          <w:tcPr>
            <w:tcW w:w="0" w:type="auto"/>
            <w:vMerge w:val="continue"/>
            <w:tcBorders>
              <w:tl2br w:val="nil"/>
              <w:tr2bl w:val="nil"/>
            </w:tcBorders>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p>
        </w:tc>
        <w:tc>
          <w:tcPr>
            <w:tcW w:w="0" w:type="auto"/>
            <w:tcBorders>
              <w:tl2br w:val="nil"/>
              <w:tr2bl w:val="nil"/>
            </w:tcBorders>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其他系统的接入与调试</w:t>
            </w:r>
          </w:p>
        </w:tc>
        <w:tc>
          <w:tcPr>
            <w:tcW w:w="0" w:type="auto"/>
            <w:tcBorders>
              <w:tl2br w:val="nil"/>
              <w:tr2bl w:val="nil"/>
            </w:tcBorders>
            <w:tcMar>
              <w:top w:w="15" w:type="dxa"/>
              <w:left w:w="15" w:type="dxa"/>
              <w:right w:w="15" w:type="dxa"/>
            </w:tcMar>
            <w:vAlign w:val="center"/>
          </w:tcPr>
          <w:p>
            <w:pPr>
              <w:pStyle w:val="2"/>
              <w:jc w:val="center"/>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在系统运维期间对需要各种方式进行对接的工作提供实际性的支撑，包括但不限于修改/增加接口，配合其他项目工程师进行技术沟通及对接工作等。</w:t>
            </w:r>
          </w:p>
        </w:tc>
      </w:tr>
    </w:tbl>
    <w:p>
      <w:pPr>
        <w:pStyle w:val="2"/>
        <w:rPr>
          <w:rFonts w:hint="eastAsia"/>
        </w:rPr>
      </w:pPr>
    </w:p>
    <w:p>
      <w:pPr>
        <w:spacing w:line="432" w:lineRule="auto"/>
        <w:rPr>
          <w:rFonts w:hint="eastAsia" w:ascii="仿宋_GB2312" w:hAnsi="仿宋_GB2312" w:eastAsia="仿宋_GB2312" w:cs="仿宋_GB2312"/>
          <w:b/>
          <w:sz w:val="24"/>
        </w:rPr>
      </w:pPr>
      <w:r>
        <w:rPr>
          <w:rFonts w:hint="eastAsia" w:ascii="仿宋_GB2312" w:hAnsi="仿宋_GB2312" w:eastAsia="仿宋_GB2312" w:cs="仿宋_GB2312"/>
          <w:b/>
          <w:sz w:val="24"/>
        </w:rPr>
        <w:t>七、成果文件</w:t>
      </w:r>
    </w:p>
    <w:p>
      <w:pPr>
        <w:pStyle w:val="2"/>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1、桩基质量数据库（约60个项目的完整数据，包括在建项目约50个，竣工项目约10个）。</w:t>
      </w:r>
    </w:p>
    <w:p>
      <w:pPr>
        <w:pStyle w:val="2"/>
        <w:adjustRightInd w:val="0"/>
        <w:snapToGrid w:val="0"/>
        <w:spacing w:after="0" w:line="360" w:lineRule="auto"/>
        <w:ind w:left="0" w:leftChars="0" w:firstLine="480" w:firstLineChars="200"/>
        <w:jc w:val="both"/>
        <w:rPr>
          <w:rStyle w:val="27"/>
          <w:rFonts w:hint="eastAsia" w:ascii="仿宋_GB2312" w:hAnsi="仿宋_GB2312" w:eastAsia="仿宋_GB2312" w:cs="仿宋_GB2312"/>
          <w:b w:val="0"/>
          <w:bCs/>
          <w:sz w:val="24"/>
          <w:szCs w:val="24"/>
          <w:shd w:val="clear" w:color="auto" w:fill="FFFFFF"/>
        </w:rPr>
      </w:pPr>
      <w:r>
        <w:rPr>
          <w:rStyle w:val="27"/>
          <w:rFonts w:hint="eastAsia" w:ascii="仿宋_GB2312" w:hAnsi="仿宋_GB2312" w:eastAsia="仿宋_GB2312" w:cs="仿宋_GB2312"/>
          <w:b w:val="0"/>
          <w:bCs/>
          <w:sz w:val="24"/>
          <w:szCs w:val="24"/>
          <w:shd w:val="clear" w:color="auto" w:fill="FFFFFF"/>
        </w:rPr>
        <w:t>2、相关操作手册；</w:t>
      </w:r>
    </w:p>
    <w:p>
      <w:pPr>
        <w:pStyle w:val="2"/>
        <w:numPr>
          <w:ilvl w:val="255"/>
          <w:numId w:val="0"/>
        </w:numPr>
        <w:adjustRightInd w:val="0"/>
        <w:snapToGrid w:val="0"/>
        <w:spacing w:after="0" w:line="360" w:lineRule="auto"/>
        <w:ind w:firstLine="480" w:firstLineChars="200"/>
        <w:jc w:val="both"/>
        <w:rPr>
          <w:rFonts w:hint="eastAsia" w:ascii="仿宋_GB2312" w:hAnsi="仿宋_GB2312" w:eastAsia="仿宋_GB2312" w:cs="仿宋_GB2312"/>
          <w:sz w:val="24"/>
          <w:szCs w:val="24"/>
        </w:rPr>
      </w:pPr>
      <w:r>
        <w:rPr>
          <w:rStyle w:val="27"/>
          <w:rFonts w:hint="eastAsia" w:ascii="仿宋_GB2312" w:hAnsi="仿宋_GB2312" w:eastAsia="仿宋_GB2312" w:cs="仿宋_GB2312"/>
          <w:b w:val="0"/>
          <w:bCs/>
          <w:sz w:val="24"/>
          <w:szCs w:val="24"/>
          <w:shd w:val="clear" w:color="auto" w:fill="FFFFFF"/>
        </w:rPr>
        <w:t>3、对应的培训资料。</w:t>
      </w:r>
    </w:p>
    <w:p>
      <w:pPr>
        <w:spacing w:line="432" w:lineRule="auto"/>
        <w:rPr>
          <w:rFonts w:hint="eastAsia" w:ascii="仿宋_GB2312" w:hAnsi="仿宋_GB2312" w:eastAsia="仿宋_GB2312" w:cs="仿宋_GB2312"/>
          <w:b/>
          <w:sz w:val="24"/>
        </w:rPr>
      </w:pPr>
      <w:r>
        <w:rPr>
          <w:rFonts w:hint="eastAsia" w:ascii="仿宋_GB2312" w:hAnsi="仿宋_GB2312" w:eastAsia="仿宋_GB2312" w:cs="仿宋_GB2312"/>
          <w:b/>
          <w:sz w:val="24"/>
        </w:rPr>
        <w:t>八、付款方式</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1、第一次支付比例60%,乙方签订合同后5个工作日内，甲方向乙方支付合同总价款的60%。</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2、本合同全部履约完成，且所有服务成果经甲方验收通过后，甲方对乙方合同期服务进行考核评价，并按照考核评价结果进行项目结算。甲方在完成项目结算后15日内支付合同尾款。具体结算原则如下：</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1）若乙方服务考核评价达到优秀，则按合同总价款的100%进行结算；若乙方服务考核评价达到良好，则按合同总价款的98%进行结算；若服务考核评价合格，则按合同总价款的95%进行结算；若服务考核评价不合格，则按合同总价款的90%进行结算。</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 xml:space="preserve">（2）合同尾款=项目合同金额*考核评价的百分比-已支付的费用-违约金（如有）。 </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 xml:space="preserve">注：1、乙方凭以下有效文件与甲方结算： （1）合同； （2）乙方开具的符合甲方要求的正式发票； （3）考核表及相关资料； （4）成交通知书。 </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2、每次支付款前，乙方应及时向甲方提供相应金额的正式发票，并对其真实性、合法性负责，若乙方提供的不合规的发票给甲方带来损失，相应责任由乙方承担。</w:t>
      </w:r>
    </w:p>
    <w:p>
      <w:pPr>
        <w:spacing w:line="432" w:lineRule="auto"/>
        <w:rPr>
          <w:rFonts w:hint="eastAsia" w:ascii="仿宋_GB2312" w:hAnsi="仿宋_GB2312" w:eastAsia="仿宋_GB2312" w:cs="仿宋_GB2312"/>
          <w:b/>
          <w:sz w:val="24"/>
        </w:rPr>
      </w:pPr>
      <w:r>
        <w:rPr>
          <w:rFonts w:hint="eastAsia" w:ascii="仿宋_GB2312" w:hAnsi="仿宋_GB2312" w:eastAsia="仿宋_GB2312" w:cs="仿宋_GB2312"/>
          <w:b/>
          <w:sz w:val="24"/>
        </w:rPr>
        <w:t>九、验收要求</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1、按照磋商文件规定进行验收。</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2、乙方须按磋商文件要求递交服务成果文件。质量验收标准制定须组织专家评审论证。</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 xml:space="preserve">3、验收方式：乙方按磋商文件及合同约定完成所有工作后，应向甲方提供相关资料及验收申请；所有服务成果经甲方验收通过后，甲方于7日内结合服务期内乙方的履约情况按照《横琴粤澳深度合作区城市规划和建设局建设工程桩基施工过程质量数据采集分析第三方技术支撑服务项目考核表》（详见附件【1】）进行服务考核评价。 </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4、验收标准：按《横琴粤澳深度合作区城市规划和建设局建设工程桩基施工过程质量数据采集分析第三方技术支撑服务项目考核表》要求进行验收。</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5、服务考核评价</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服务考核评价分为优秀（90分（不含）以上）、良好（80分（不含）-90分）、合格（70分（不含）-80分）和不合格（70分（含）以下）。乙方服务考核评分结果与结算费用相挂钩，若服务考核评价达到优秀，则按项目合同金额的100%进行结算；若服务考核评价达到良好，则按项目合同金额的98%进行结算；若服务考核评价合格，则按项目合同金额的95%进行结算；若服务考核评价不合格，则按项目合同金额的90%进行结算。</w:t>
      </w:r>
    </w:p>
    <w:p>
      <w:pPr>
        <w:rPr>
          <w:rFonts w:hint="eastAsia" w:ascii="仿宋_GB2312" w:hAnsi="仿宋_GB2312" w:eastAsia="仿宋_GB2312" w:cs="仿宋_GB2312"/>
          <w:b/>
          <w:sz w:val="24"/>
        </w:rPr>
      </w:pPr>
      <w:r>
        <w:rPr>
          <w:rFonts w:hint="eastAsia" w:ascii="仿宋_GB2312" w:hAnsi="仿宋_GB2312" w:eastAsia="仿宋_GB2312" w:cs="仿宋_GB2312"/>
          <w:b/>
          <w:sz w:val="24"/>
        </w:rPr>
        <w:t>十、双方的权利和义务</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（一）甲方权利和义务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（1）指定相对固定人员为本项目的总负责人，代表甲方与乙方接洽并负责本工作内容的决策、协调、发出指令和接收乙方的报告。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（2）提供必要的咨询服务的技术资料。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（3）根据合同约定的相关条款，按时支付乙方服务费用。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（4）为乙方咨询服务工作条件提供必要的便利。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（5）甲方对桩基检测项目研究过程的决策、控制、实施等环节实行全面管理，协调和监督项目工作开展，控制项目工作过程，进行项目成果验收。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（6）检查乙方项目人员到位情况，如因人力、能力不足致使项目工作不能按计划完成时，可要求乙方增加或替换相应的技术人员，直至甲方认可，乙方不得拒绝。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（7）甲方有权向乙方询问项目工作进展及相关情况，并要求乙方在指定时间内作出答复。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（8）甲方有权对乙方提交的阶段性成果、最终成果等相关工作文件进行审核并提出修改意见。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（9）甲方认为乙方工作人员未按照合同要求履行职责，有权要求乙方限期更换人员。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（10）甲方对乙方在委托权限范围内完成委托事项有指导、监督权利。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（11）甲方应将项目所需相关档案资料、信息数据等移交给乙方，乙方应予签收。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（12）甲方对乙方按照合同约定所履行的服务提供必要的支持与协助。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（二）乙方的权利与义务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（1）乙方所提供的服务应符合国家的有关法律、法规和行业标准的规定。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（2）乙方应保证组建一支由具有丰富的桩基检测管理能力和经验的工作人员所组成的工作团队；乙方应保证团队人员的稳定性，因特殊原因需临时替换或变更人员时，应征得甲方代表的同意。</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（3）乙方应委派固定的有丰富项目管理经验人员作为项目总负责人，代表乙方对本服务工作负责，并接受和贯彻甲方的指示，按时向甲方呈交成果报告。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（4）乙方所提供的建议、请示、报告和通知均应采用书面形式。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（5）乙方应独立完成服务工作，不得接受被服务项目单位的礼品馈赠、宴请及其它不当利益。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（6）乙方应按照合同的内容和要求完成各项服务。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（7）乙方应充分了解甲方意图和思路，认真研讨工作方案，开展各项工作。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（8）乙方应充分协调内部资源，保证工作质量。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（9）乙方应积极为甲方的日常任务和专项工作提供技术支持。 </w:t>
      </w:r>
    </w:p>
    <w:p>
      <w:pPr>
        <w:spacing w:line="360" w:lineRule="auto"/>
        <w:ind w:firstLine="480" w:firstLineChars="200"/>
        <w:rPr>
          <w:rFonts w:hint="eastAsia" w:ascii="仿宋_GB2312" w:hAnsi="仿宋_GB2312" w:eastAsia="仿宋_GB2312" w:cs="仿宋_GB2312"/>
          <w:color w:val="000000"/>
          <w:kern w:val="2"/>
          <w:sz w:val="24"/>
          <w:szCs w:val="24"/>
        </w:rPr>
      </w:pPr>
      <w:r>
        <w:rPr>
          <w:rFonts w:hint="eastAsia" w:ascii="仿宋_GB2312" w:hAnsi="仿宋_GB2312" w:eastAsia="仿宋_GB2312" w:cs="仿宋_GB2312"/>
          <w:color w:val="000000"/>
          <w:kern w:val="2"/>
          <w:sz w:val="24"/>
          <w:szCs w:val="24"/>
        </w:rPr>
        <w:t xml:space="preserve">（10）乙方有权根据合同约定收取相应的服务费。 </w:t>
      </w:r>
    </w:p>
    <w:p>
      <w:pPr>
        <w:pStyle w:val="2"/>
        <w:spacing w:line="360" w:lineRule="auto"/>
        <w:ind w:left="0" w:leftChars="0" w:firstLine="480" w:firstLineChars="200"/>
      </w:pPr>
      <w:r>
        <w:rPr>
          <w:rFonts w:hint="eastAsia" w:ascii="仿宋_GB2312" w:hAnsi="仿宋_GB2312" w:eastAsia="仿宋_GB2312" w:cs="仿宋_GB2312"/>
          <w:color w:val="000000"/>
          <w:kern w:val="2"/>
          <w:sz w:val="24"/>
          <w:szCs w:val="24"/>
        </w:rPr>
        <w:t>（11）甲方需要乙方配合的工作（包括但不限于与检测相关其它工作需求）乙方需积极配合。</w:t>
      </w:r>
    </w:p>
    <w:p>
      <w:pPr>
        <w:spacing w:line="432" w:lineRule="auto"/>
        <w:rPr>
          <w:rFonts w:hint="eastAsia" w:ascii="仿宋_GB2312" w:hAnsi="仿宋_GB2312" w:eastAsia="仿宋_GB2312" w:cs="仿宋_GB2312"/>
          <w:b/>
          <w:sz w:val="24"/>
        </w:rPr>
      </w:pPr>
      <w:r>
        <w:rPr>
          <w:rFonts w:hint="eastAsia" w:ascii="仿宋_GB2312" w:hAnsi="仿宋_GB2312" w:eastAsia="仿宋_GB2312" w:cs="仿宋_GB2312"/>
          <w:b/>
          <w:sz w:val="24"/>
        </w:rPr>
        <w:t>十一、 违约责任</w:t>
      </w:r>
    </w:p>
    <w:p>
      <w:pPr>
        <w:pStyle w:val="23"/>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（一）甲方违约责任 </w:t>
      </w:r>
    </w:p>
    <w:p>
      <w:pPr>
        <w:pStyle w:val="23"/>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未按合同约定的期限向乙方支付合同价款的，乙方书面函告后给予甲方20个工作日的延期付款宽限期，宽限期内不视为甲方违约。宽限期届满，甲方仍未支付的，将自宽限期届满之日起，以逾期支付款项为基数，按全国银行间同业拆借中心公布的1年期贷款市场报价利率(LPR)向乙方支付逾期付款违约金，逾期付款违约金上限为逾期支付金额的10%。乙方不再向甲方主张其他任何违约责任。</w:t>
      </w:r>
    </w:p>
    <w:p>
      <w:pPr>
        <w:pStyle w:val="23"/>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（二）乙方违约责任 </w:t>
      </w:r>
    </w:p>
    <w:p>
      <w:pPr>
        <w:pStyle w:val="23"/>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乙方有以下行为的，甲方有权解除合同，剩余款项不再支付，且乙方应于3日内退还已收到的合同款项及归还甲方的全部资料，逾期退还款项或归还资料的，每逾期1天按甲方已支付金额的1‰向甲方支付违约金：</w:t>
      </w:r>
    </w:p>
    <w:p>
      <w:pPr>
        <w:pStyle w:val="23"/>
        <w:adjustRightInd w:val="0"/>
        <w:snapToGrid w:val="0"/>
        <w:spacing w:after="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（1）串通各参建单位，出具与事实不符的现场评定意见或报告的； </w:t>
      </w:r>
    </w:p>
    <w:p>
      <w:pPr>
        <w:pStyle w:val="23"/>
        <w:adjustRightInd w:val="0"/>
        <w:snapToGrid w:val="0"/>
        <w:spacing w:after="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（2）利用本项目业务关系，向相关单位及人员索要或接受礼金、有价证券、贵重物品、好处费、感谢费等的； </w:t>
      </w:r>
    </w:p>
    <w:p>
      <w:pPr>
        <w:pStyle w:val="23"/>
        <w:adjustRightInd w:val="0"/>
        <w:snapToGrid w:val="0"/>
        <w:spacing w:after="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（3）外泄甲方提供的检测相关资料的； </w:t>
      </w:r>
    </w:p>
    <w:p>
      <w:pPr>
        <w:pStyle w:val="23"/>
        <w:adjustRightInd w:val="0"/>
        <w:snapToGrid w:val="0"/>
        <w:spacing w:after="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（4）乙方提供的服务不符合磋商文件、响应文件或本项目要求，经甲方发函整改仍不符合要求的。 </w:t>
      </w:r>
    </w:p>
    <w:p>
      <w:pPr>
        <w:pStyle w:val="23"/>
        <w:adjustRightInd w:val="0"/>
        <w:snapToGrid w:val="0"/>
        <w:spacing w:after="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乙方不得将合同项目与任何第三方合作，或将合同标的的全部或部分擅自转包、分包给任何第三方。否则，甲方有权解除合同，并要求乙方终止与第三方的合同。乙方应承担因此而产生的相关责任，并向甲方支付合同总金额20%的违约金。</w:t>
      </w:r>
    </w:p>
    <w:p>
      <w:pPr>
        <w:pStyle w:val="23"/>
        <w:adjustRightInd w:val="0"/>
        <w:snapToGrid w:val="0"/>
        <w:spacing w:after="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3、除合同另有约定外，乙方未能按合同规定时间完成所有工作并提交成果文件的，每延误一天，甲方有权在尚未支付的合同款项中扣除合同总金额的1‰，最高扣除额不超过合同总金额的10%。</w:t>
      </w:r>
    </w:p>
    <w:p>
      <w:pPr>
        <w:pStyle w:val="23"/>
        <w:adjustRightInd w:val="0"/>
        <w:snapToGrid w:val="0"/>
        <w:spacing w:after="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4、乙方必须在合同约定服务期内，完成检测系统与智慧建设监管平台的数据对接，未按要求对接的应向甲方支付合同总金额10%的违约金。 </w:t>
      </w:r>
    </w:p>
    <w:p>
      <w:pPr>
        <w:pStyle w:val="23"/>
        <w:adjustRightInd w:val="0"/>
        <w:snapToGrid w:val="0"/>
        <w:spacing w:after="0"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（三）违约方应赔偿守约方包括但不限于实际损失及仲裁费、律师费、保全费、执行费、交通费、调查费等一切损失。 </w:t>
      </w:r>
    </w:p>
    <w:p>
      <w:pPr>
        <w:spacing w:line="432" w:lineRule="auto"/>
        <w:ind w:firstLine="480" w:firstLineChars="200"/>
        <w:rPr>
          <w:rFonts w:hint="eastAsia" w:ascii="仿宋_GB2312" w:hAnsi="仿宋_GB2312" w:eastAsia="仿宋_GB2312" w:cs="仿宋_GB2312"/>
          <w:b/>
          <w:sz w:val="24"/>
        </w:rPr>
      </w:pPr>
      <w:r>
        <w:rPr>
          <w:rFonts w:hint="eastAsia" w:ascii="仿宋_GB2312" w:hAnsi="仿宋_GB2312" w:eastAsia="仿宋_GB2312" w:cs="仿宋_GB2312"/>
          <w:sz w:val="24"/>
          <w:szCs w:val="24"/>
        </w:rPr>
        <w:t>（四）乙方其他违约责任按《中华人民共和国民法典》及相关法律法规处理。</w:t>
      </w:r>
    </w:p>
    <w:p>
      <w:pPr>
        <w:spacing w:line="432" w:lineRule="auto"/>
        <w:rPr>
          <w:rFonts w:hint="eastAsia" w:ascii="仿宋_GB2312" w:hAnsi="仿宋_GB2312" w:eastAsia="仿宋_GB2312" w:cs="仿宋_GB2312"/>
          <w:b/>
          <w:sz w:val="24"/>
        </w:rPr>
      </w:pPr>
      <w:r>
        <w:rPr>
          <w:rFonts w:hint="eastAsia" w:ascii="仿宋_GB2312" w:hAnsi="仿宋_GB2312" w:eastAsia="仿宋_GB2312" w:cs="仿宋_GB2312"/>
          <w:b/>
          <w:sz w:val="24"/>
        </w:rPr>
        <w:t>十二、知识产权归属</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1、甲方向乙方提供的所有资料、乙方履行本合同而产生的所有过程性及最终成果、文件及资料等的知识产权归甲方所有，未经甲方事先书面同意，乙方不得以任何方式使用、复制或转播、透露给其他第三方。</w:t>
      </w:r>
    </w:p>
    <w:p>
      <w:pPr>
        <w:adjustRightInd w:val="0"/>
        <w:snapToGrid w:val="0"/>
        <w:spacing w:line="360" w:lineRule="auto"/>
        <w:ind w:firstLine="480" w:firstLineChars="200"/>
        <w:jc w:val="both"/>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2、乙方保证成果及交付的任何资料均不侵犯任何第三方的知识产权及其他合法权益。如发生任何第三方索赔事件，乙方应立即妥善处理，并独立承担全部法律责任及损失赔偿。</w:t>
      </w:r>
    </w:p>
    <w:p>
      <w:pPr>
        <w:spacing w:line="432" w:lineRule="auto"/>
        <w:rPr>
          <w:rFonts w:hint="eastAsia" w:ascii="仿宋_GB2312" w:hAnsi="仿宋_GB2312" w:eastAsia="仿宋_GB2312" w:cs="仿宋_GB2312"/>
          <w:b/>
          <w:sz w:val="24"/>
        </w:rPr>
      </w:pPr>
      <w:r>
        <w:rPr>
          <w:rFonts w:hint="eastAsia" w:ascii="仿宋_GB2312" w:hAnsi="仿宋_GB2312" w:eastAsia="仿宋_GB2312" w:cs="仿宋_GB2312"/>
          <w:b/>
          <w:sz w:val="24"/>
        </w:rPr>
        <w:t>十三、保密</w:t>
      </w:r>
    </w:p>
    <w:p>
      <w:pPr>
        <w:snapToGrid w:val="0"/>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1、未经甲方的书面同意，乙方不得对外泄露或使用与本项目、本工程、本检测合同有关的信息，否则将承担甲方为维权所支付的所有费用及向甲方支付相应金额赔偿金，赔偿金数额根据事态严重程度由甲方另行确认。</w:t>
      </w:r>
    </w:p>
    <w:p>
      <w:pPr>
        <w:snapToGrid w:val="0"/>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2、本保密条款永久有效，不因本合同的结束而终止。</w:t>
      </w:r>
    </w:p>
    <w:p>
      <w:pPr>
        <w:spacing w:line="432" w:lineRule="auto"/>
        <w:rPr>
          <w:rFonts w:hint="eastAsia" w:ascii="仿宋_GB2312" w:hAnsi="仿宋_GB2312" w:eastAsia="仿宋_GB2312" w:cs="仿宋_GB2312"/>
          <w:b/>
          <w:sz w:val="24"/>
        </w:rPr>
      </w:pPr>
      <w:r>
        <w:rPr>
          <w:rFonts w:hint="eastAsia" w:ascii="仿宋_GB2312" w:hAnsi="仿宋_GB2312" w:eastAsia="仿宋_GB2312" w:cs="仿宋_GB2312"/>
          <w:b/>
          <w:sz w:val="24"/>
        </w:rPr>
        <w:t>十四、争端的解决</w:t>
      </w:r>
    </w:p>
    <w:p>
      <w:pPr>
        <w:snapToGrid w:val="0"/>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1、合同实施或与本合同有关的一切争议应通过双方友好协商解决。协商解决不成的，任何一方均可提交甲方所在地有管辖权的人民法院诉讼解决。</w:t>
      </w:r>
    </w:p>
    <w:p>
      <w:pPr>
        <w:snapToGrid w:val="0"/>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2、违约方应承担守约方包括但不限于实际损失及诉讼费、律师费、保全费、执行费、交通费、调查费等一切损失。</w:t>
      </w:r>
    </w:p>
    <w:p>
      <w:pPr>
        <w:snapToGrid w:val="0"/>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3、除争议事项或争议事项所涉及的条款外，双方应继续履行本合同项下的其他义务。</w:t>
      </w:r>
    </w:p>
    <w:p>
      <w:pPr>
        <w:spacing w:line="432" w:lineRule="auto"/>
        <w:rPr>
          <w:rFonts w:hint="eastAsia" w:ascii="仿宋_GB2312" w:hAnsi="仿宋_GB2312" w:eastAsia="仿宋_GB2312" w:cs="仿宋_GB2312"/>
          <w:b/>
          <w:sz w:val="24"/>
        </w:rPr>
      </w:pPr>
      <w:r>
        <w:rPr>
          <w:rFonts w:hint="eastAsia" w:ascii="仿宋_GB2312" w:hAnsi="仿宋_GB2312" w:eastAsia="仿宋_GB2312" w:cs="仿宋_GB2312"/>
          <w:b/>
          <w:sz w:val="24"/>
        </w:rPr>
        <w:t>十五、不可抗力</w:t>
      </w:r>
    </w:p>
    <w:p>
      <w:pPr>
        <w:snapToGrid w:val="0"/>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1、如出现不可预见的情况，受到不可抗力因素的影响，影响工作如期完成，双方可协商变更或终止约定事项，但应至少提前7天书面告知对方。</w:t>
      </w:r>
    </w:p>
    <w:p>
      <w:pPr>
        <w:snapToGrid w:val="0"/>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2、因不可抗力(包括但不限于自然现象、战争、罢工、火灾、政府行为等)发生而导致任何一方不能履行本合同项下义务的，遇不可抗力一方可免除责任，但必须在不可抗力发生后或恢复通讯后的24 小时内书面通知对方，并采取相应措施以减少损失，所造成的损失不属于违约，双方互不承担违约责任。未履行书面通知的，不可免除责任。遇不可抗力一方应在不可抗力事件结束后 14 日内，将相关部门开具的证明文件给予对方确认。经双方确认后，本合同可终止或延期履行。</w:t>
      </w:r>
    </w:p>
    <w:p>
      <w:pPr>
        <w:spacing w:line="432" w:lineRule="auto"/>
        <w:rPr>
          <w:rFonts w:hint="eastAsia" w:ascii="仿宋_GB2312" w:hAnsi="仿宋_GB2312" w:eastAsia="仿宋_GB2312" w:cs="仿宋_GB2312"/>
          <w:b/>
          <w:sz w:val="24"/>
        </w:rPr>
      </w:pPr>
      <w:r>
        <w:rPr>
          <w:rFonts w:hint="eastAsia" w:ascii="仿宋_GB2312" w:hAnsi="仿宋_GB2312" w:eastAsia="仿宋_GB2312" w:cs="仿宋_GB2312"/>
          <w:b/>
          <w:sz w:val="24"/>
        </w:rPr>
        <w:t>十六、税费</w:t>
      </w:r>
    </w:p>
    <w:p>
      <w:pPr>
        <w:snapToGrid w:val="0"/>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在合同服务期间发生的与本合同执行有关的一切税费均由乙方负担。</w:t>
      </w:r>
    </w:p>
    <w:p>
      <w:pPr>
        <w:spacing w:line="432" w:lineRule="auto"/>
        <w:rPr>
          <w:rFonts w:hint="eastAsia" w:ascii="仿宋_GB2312" w:hAnsi="仿宋_GB2312" w:eastAsia="仿宋_GB2312" w:cs="仿宋_GB2312"/>
          <w:b/>
          <w:sz w:val="24"/>
        </w:rPr>
      </w:pPr>
      <w:r>
        <w:rPr>
          <w:rFonts w:hint="eastAsia" w:ascii="仿宋_GB2312" w:hAnsi="仿宋_GB2312" w:eastAsia="仿宋_GB2312" w:cs="仿宋_GB2312"/>
          <w:b/>
          <w:sz w:val="24"/>
        </w:rPr>
        <w:t>十七、其它</w:t>
      </w:r>
    </w:p>
    <w:p>
      <w:pPr>
        <w:snapToGrid w:val="0"/>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1、本合同所有附件均为合同的有效组成部分，与本合同具有同等法律效力。</w:t>
      </w:r>
    </w:p>
    <w:p>
      <w:pPr>
        <w:snapToGrid w:val="0"/>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2、在执行本合同的过程中，所有经双方签署确认的文件(包括会议纪要、补充协议、往来信函)即成为本合同的有效组成部分。</w:t>
      </w:r>
    </w:p>
    <w:p>
      <w:pPr>
        <w:snapToGrid w:val="0"/>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3、如一方地址、电话、传真号码有变更，应在变更当日内书面通知对方，否则，应承担相应责任。</w:t>
      </w:r>
    </w:p>
    <w:p>
      <w:pPr>
        <w:snapToGrid w:val="0"/>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4、除甲方事先书面同意外，乙方不得部分或全部转让其应履行的合同项下的义务。</w:t>
      </w:r>
    </w:p>
    <w:p>
      <w:pPr>
        <w:spacing w:line="432" w:lineRule="auto"/>
        <w:rPr>
          <w:rFonts w:hint="eastAsia" w:ascii="仿宋_GB2312" w:hAnsi="仿宋_GB2312" w:eastAsia="仿宋_GB2312" w:cs="仿宋_GB2312"/>
          <w:b/>
          <w:sz w:val="24"/>
        </w:rPr>
      </w:pPr>
      <w:r>
        <w:rPr>
          <w:rFonts w:hint="eastAsia" w:ascii="仿宋_GB2312" w:hAnsi="仿宋_GB2312" w:eastAsia="仿宋_GB2312" w:cs="仿宋_GB2312"/>
          <w:b/>
          <w:sz w:val="24"/>
        </w:rPr>
        <w:t>十八、合同生效与终止</w:t>
      </w:r>
    </w:p>
    <w:p>
      <w:pPr>
        <w:snapToGrid w:val="0"/>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1、本合同在甲乙双方法人代表或其授权代表签字并加盖公章后生效，合同履行完成后自动终止。</w:t>
      </w:r>
    </w:p>
    <w:p>
      <w:pPr>
        <w:snapToGrid w:val="0"/>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2、本合同一式四份，甲方持贰份，乙方持贰份，具有相同法律效力。</w:t>
      </w:r>
    </w:p>
    <w:p>
      <w:pPr>
        <w:snapToGrid w:val="0"/>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3、如有其他异议，双方友好协商解决。</w:t>
      </w:r>
    </w:p>
    <w:p>
      <w:pPr>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kern w:val="2"/>
          <w:sz w:val="24"/>
          <w:szCs w:val="24"/>
        </w:rPr>
        <w:t>4、双方均认可本合同所提供地址为法律文件可送达地址。</w:t>
      </w:r>
    </w:p>
    <w:p>
      <w:pPr>
        <w:spacing w:line="432" w:lineRule="auto"/>
        <w:rPr>
          <w:rFonts w:hint="eastAsia" w:ascii="仿宋_GB2312" w:hAnsi="仿宋_GB2312" w:eastAsia="仿宋_GB2312" w:cs="仿宋_GB2312"/>
          <w:b/>
          <w:sz w:val="24"/>
        </w:rPr>
      </w:pPr>
      <w:r>
        <w:rPr>
          <w:rFonts w:hint="eastAsia" w:ascii="仿宋_GB2312" w:hAnsi="仿宋_GB2312" w:eastAsia="仿宋_GB2312" w:cs="仿宋_GB2312"/>
          <w:b/>
          <w:sz w:val="24"/>
        </w:rPr>
        <w:t>十九、附件</w:t>
      </w:r>
    </w:p>
    <w:p>
      <w:pPr>
        <w:snapToGrid w:val="0"/>
        <w:spacing w:line="360" w:lineRule="auto"/>
        <w:ind w:firstLine="480" w:firstLineChars="200"/>
        <w:rPr>
          <w:rFonts w:hint="eastAsia" w:ascii="仿宋_GB2312" w:hAnsi="仿宋_GB2312" w:eastAsia="仿宋_GB2312" w:cs="仿宋_GB2312"/>
          <w:kern w:val="2"/>
          <w:sz w:val="24"/>
          <w:szCs w:val="24"/>
        </w:rPr>
      </w:pPr>
      <w:r>
        <w:rPr>
          <w:rFonts w:hint="eastAsia" w:ascii="仿宋_GB2312" w:hAnsi="仿宋_GB2312" w:eastAsia="仿宋_GB2312" w:cs="仿宋_GB2312"/>
          <w:kern w:val="2"/>
          <w:sz w:val="24"/>
          <w:szCs w:val="24"/>
        </w:rPr>
        <w:t>《横琴粤澳深度合作区城市规划和建设局建设工程桩基施工过程质量数据采集分析第三方技术支撑服务项目考核表》</w:t>
      </w:r>
    </w:p>
    <w:p>
      <w:pPr>
        <w:spacing w:line="360" w:lineRule="auto"/>
        <w:ind w:left="420" w:leftChars="200"/>
        <w:rPr>
          <w:rFonts w:hint="eastAsia" w:ascii="仿宋_GB2312" w:hAnsi="仿宋_GB2312" w:eastAsia="仿宋_GB2312" w:cs="仿宋_GB2312"/>
          <w:sz w:val="24"/>
        </w:rPr>
      </w:pPr>
      <w:r>
        <w:rPr>
          <w:rFonts w:hint="eastAsia" w:ascii="仿宋_GB2312" w:hAnsi="仿宋_GB2312" w:eastAsia="仿宋_GB2312" w:cs="仿宋_GB2312"/>
          <w:sz w:val="24"/>
        </w:rPr>
        <w:t>甲方（盖章）：                         乙方（盖章）：</w:t>
      </w:r>
    </w:p>
    <w:p>
      <w:pPr>
        <w:spacing w:line="360" w:lineRule="auto"/>
        <w:ind w:left="420" w:leftChars="200"/>
        <w:rPr>
          <w:rFonts w:hint="eastAsia" w:ascii="仿宋_GB2312" w:hAnsi="仿宋_GB2312" w:eastAsia="仿宋_GB2312" w:cs="仿宋_GB2312"/>
          <w:sz w:val="24"/>
        </w:rPr>
      </w:pPr>
    </w:p>
    <w:p>
      <w:pPr>
        <w:spacing w:line="360" w:lineRule="auto"/>
        <w:ind w:left="420" w:leftChars="200"/>
        <w:rPr>
          <w:rFonts w:hint="eastAsia" w:ascii="仿宋_GB2312" w:hAnsi="仿宋_GB2312" w:eastAsia="仿宋_GB2312" w:cs="仿宋_GB2312"/>
          <w:sz w:val="24"/>
        </w:rPr>
      </w:pPr>
      <w:r>
        <w:rPr>
          <w:rFonts w:hint="eastAsia" w:ascii="仿宋_GB2312" w:hAnsi="仿宋_GB2312" w:eastAsia="仿宋_GB2312" w:cs="仿宋_GB2312"/>
          <w:sz w:val="24"/>
        </w:rPr>
        <w:t>甲方法定代表人或                       乙方法定代表人或</w:t>
      </w:r>
    </w:p>
    <w:p>
      <w:pPr>
        <w:spacing w:line="360" w:lineRule="auto"/>
        <w:ind w:left="420" w:leftChars="200"/>
        <w:rPr>
          <w:rFonts w:hint="eastAsia" w:ascii="仿宋_GB2312" w:hAnsi="仿宋_GB2312" w:eastAsia="仿宋_GB2312" w:cs="仿宋_GB2312"/>
          <w:sz w:val="24"/>
        </w:rPr>
      </w:pPr>
    </w:p>
    <w:p>
      <w:pPr>
        <w:spacing w:line="360" w:lineRule="auto"/>
        <w:ind w:left="420" w:leftChars="200"/>
        <w:rPr>
          <w:rFonts w:hint="eastAsia" w:ascii="仿宋_GB2312" w:hAnsi="仿宋_GB2312" w:eastAsia="仿宋_GB2312" w:cs="仿宋_GB2312"/>
          <w:sz w:val="24"/>
        </w:rPr>
      </w:pPr>
      <w:r>
        <w:rPr>
          <w:rFonts w:hint="eastAsia" w:ascii="仿宋_GB2312" w:hAnsi="仿宋_GB2312" w:eastAsia="仿宋_GB2312" w:cs="仿宋_GB2312"/>
          <w:sz w:val="24"/>
        </w:rPr>
        <w:t>甲方授权代表人（签章）：               乙方授权代表人（签章）：</w:t>
      </w:r>
    </w:p>
    <w:p>
      <w:pPr>
        <w:spacing w:line="360" w:lineRule="auto"/>
        <w:rPr>
          <w:rFonts w:hint="eastAsia" w:ascii="仿宋_GB2312" w:hAnsi="仿宋_GB2312" w:eastAsia="仿宋_GB2312" w:cs="仿宋_GB2312"/>
          <w:sz w:val="24"/>
        </w:rPr>
      </w:pPr>
    </w:p>
    <w:p>
      <w:pPr>
        <w:spacing w:line="360" w:lineRule="auto"/>
        <w:ind w:left="6780" w:leftChars="200" w:right="-582" w:rightChars="-277" w:hanging="6360" w:hangingChars="2650"/>
        <w:rPr>
          <w:rFonts w:hint="eastAsia" w:ascii="仿宋_GB2312" w:hAnsi="仿宋_GB2312" w:eastAsia="仿宋_GB2312" w:cs="仿宋_GB2312"/>
          <w:sz w:val="24"/>
        </w:rPr>
      </w:pPr>
      <w:r>
        <w:rPr>
          <w:rFonts w:hint="eastAsia" w:ascii="仿宋_GB2312" w:hAnsi="仿宋_GB2312" w:eastAsia="仿宋_GB2312" w:cs="仿宋_GB2312"/>
          <w:sz w:val="24"/>
        </w:rPr>
        <w:t>地    址：                           地    址：</w:t>
      </w:r>
    </w:p>
    <w:p>
      <w:pPr>
        <w:spacing w:line="360" w:lineRule="auto"/>
        <w:ind w:right="-582" w:rightChars="-277" w:firstLine="6720" w:firstLineChars="2800"/>
        <w:rPr>
          <w:rFonts w:hint="eastAsia" w:ascii="仿宋_GB2312" w:hAnsi="仿宋_GB2312" w:eastAsia="仿宋_GB2312" w:cs="仿宋_GB2312"/>
          <w:sz w:val="24"/>
        </w:rPr>
      </w:pPr>
    </w:p>
    <w:p>
      <w:pPr>
        <w:spacing w:line="360" w:lineRule="auto"/>
        <w:ind w:left="4838" w:leftChars="200" w:hanging="4418" w:hangingChars="1841"/>
        <w:rPr>
          <w:rFonts w:hint="eastAsia" w:ascii="仿宋_GB2312" w:hAnsi="仿宋_GB2312" w:eastAsia="仿宋_GB2312" w:cs="仿宋_GB2312"/>
          <w:sz w:val="24"/>
        </w:rPr>
      </w:pPr>
      <w:r>
        <w:rPr>
          <w:rFonts w:hint="eastAsia" w:ascii="仿宋_GB2312" w:hAnsi="仿宋_GB2312" w:eastAsia="仿宋_GB2312" w:cs="仿宋_GB2312"/>
          <w:sz w:val="24"/>
        </w:rPr>
        <w:t xml:space="preserve">                                     电    话：                                 传    真：</w:t>
      </w:r>
    </w:p>
    <w:p>
      <w:pPr>
        <w:spacing w:line="360" w:lineRule="auto"/>
        <w:ind w:left="420" w:leftChars="200" w:right="-582" w:rightChars="-277"/>
        <w:rPr>
          <w:rFonts w:hint="eastAsia" w:ascii="仿宋_GB2312" w:hAnsi="仿宋_GB2312" w:eastAsia="仿宋_GB2312" w:cs="仿宋_GB2312"/>
          <w:sz w:val="24"/>
        </w:rPr>
      </w:pPr>
      <w:r>
        <w:rPr>
          <w:rFonts w:hint="eastAsia" w:ascii="仿宋_GB2312" w:hAnsi="仿宋_GB2312" w:eastAsia="仿宋_GB2312" w:cs="仿宋_GB2312"/>
          <w:sz w:val="24"/>
        </w:rPr>
        <w:t xml:space="preserve">                                    开户银行： </w:t>
      </w:r>
    </w:p>
    <w:p>
      <w:pPr>
        <w:spacing w:line="360" w:lineRule="auto"/>
        <w:ind w:left="420" w:leftChars="200" w:right="-760" w:rightChars="-362"/>
        <w:rPr>
          <w:rFonts w:hint="eastAsia" w:ascii="仿宋_GB2312" w:hAnsi="仿宋_GB2312" w:eastAsia="仿宋_GB2312" w:cs="仿宋_GB2312"/>
          <w:sz w:val="24"/>
        </w:rPr>
      </w:pPr>
      <w:r>
        <w:rPr>
          <w:rFonts w:hint="eastAsia" w:ascii="仿宋_GB2312" w:hAnsi="仿宋_GB2312" w:eastAsia="仿宋_GB2312" w:cs="仿宋_GB2312"/>
          <w:sz w:val="24"/>
        </w:rPr>
        <w:t xml:space="preserve">                                    开户账号： </w:t>
      </w:r>
    </w:p>
    <w:p>
      <w:pPr>
        <w:spacing w:line="360" w:lineRule="auto"/>
        <w:ind w:left="420" w:leftChars="200" w:right="-760" w:rightChars="-362"/>
        <w:rPr>
          <w:rFonts w:hint="eastAsia" w:ascii="仿宋_GB2312" w:hAnsi="仿宋_GB2312" w:eastAsia="仿宋_GB2312" w:cs="仿宋_GB2312"/>
          <w:sz w:val="24"/>
        </w:rPr>
      </w:pPr>
      <w:r>
        <w:rPr>
          <w:rFonts w:hint="eastAsia" w:ascii="仿宋_GB2312" w:hAnsi="仿宋_GB2312" w:eastAsia="仿宋_GB2312" w:cs="仿宋_GB2312"/>
          <w:sz w:val="24"/>
        </w:rPr>
        <w:t>签约日期：                            签约日期：</w:t>
      </w:r>
    </w:p>
    <w:p>
      <w:pPr>
        <w:spacing w:line="360" w:lineRule="auto"/>
        <w:rPr>
          <w:rFonts w:hint="eastAsia" w:ascii="仿宋_GB2312" w:hAnsi="仿宋_GB2312" w:eastAsia="仿宋_GB2312" w:cs="仿宋_GB2312"/>
          <w:sz w:val="28"/>
        </w:rPr>
      </w:pPr>
    </w:p>
    <w:p>
      <w:pPr>
        <w:spacing w:line="360" w:lineRule="auto"/>
        <w:rPr>
          <w:rFonts w:hint="eastAsia" w:ascii="仿宋_GB2312" w:hAnsi="仿宋_GB2312" w:eastAsia="仿宋_GB2312" w:cs="仿宋_GB2312"/>
          <w:sz w:val="28"/>
        </w:rPr>
      </w:pPr>
      <w:r>
        <w:rPr>
          <w:rFonts w:hint="eastAsia" w:ascii="仿宋_GB2312" w:hAnsi="仿宋_GB2312" w:eastAsia="仿宋_GB2312" w:cs="仿宋_GB2312"/>
          <w:sz w:val="28"/>
        </w:rPr>
        <w:t>注：上述合同书格式仅供参考，具体条款内容由甲方和乙方单位协商确定，但不得对磋商文件、乙方响应文件的实质性条款作出变更。</w:t>
      </w:r>
    </w:p>
    <w:p>
      <w:pPr>
        <w:rPr>
          <w:rFonts w:hint="eastAsia" w:ascii="仿宋_GB2312" w:hAnsi="仿宋_GB2312" w:eastAsia="仿宋_GB2312" w:cs="仿宋_GB2312"/>
          <w:sz w:val="28"/>
        </w:rPr>
      </w:pPr>
      <w:r>
        <w:rPr>
          <w:rFonts w:hint="eastAsia" w:ascii="仿宋_GB2312" w:hAnsi="仿宋_GB2312" w:eastAsia="仿宋_GB2312" w:cs="仿宋_GB2312"/>
          <w:sz w:val="28"/>
        </w:rPr>
        <w:br w:type="page"/>
      </w:r>
    </w:p>
    <w:p>
      <w:pPr>
        <w:pStyle w:val="14"/>
      </w:pPr>
    </w:p>
    <w:p>
      <w:pPr>
        <w:tabs>
          <w:tab w:val="left" w:pos="4320"/>
          <w:tab w:val="left" w:pos="6195"/>
        </w:tabs>
        <w:spacing w:line="360" w:lineRule="auto"/>
        <w:ind w:left="250" w:leftChars="119" w:firstLine="802" w:firstLineChars="382"/>
        <w:rPr>
          <w:rFonts w:hint="eastAsia" w:ascii="仿宋_GB2312" w:hAnsi="仿宋_GB2312" w:eastAsia="仿宋_GB2312" w:cs="仿宋_GB2312"/>
        </w:rPr>
      </w:pPr>
    </w:p>
    <w:p>
      <w:pPr>
        <w:pStyle w:val="23"/>
        <w:ind w:firstLine="0" w:firstLineChars="0"/>
        <w:rPr>
          <w:rFonts w:hint="eastAsia" w:ascii="仿宋_GB2312" w:hAnsi="仿宋_GB2312" w:eastAsia="仿宋_GB2312" w:cs="仿宋_GB2312"/>
        </w:rPr>
      </w:pPr>
    </w:p>
    <w:p>
      <w:pPr>
        <w:spacing w:before="120" w:line="480" w:lineRule="exact"/>
        <w:jc w:val="center"/>
        <w:rPr>
          <w:rFonts w:hint="eastAsia" w:ascii="仿宋_GB2312" w:hAnsi="仿宋_GB2312" w:eastAsia="仿宋_GB2312" w:cs="仿宋_GB2312"/>
          <w:b/>
          <w:sz w:val="44"/>
        </w:rPr>
      </w:pPr>
    </w:p>
    <w:p>
      <w:pPr>
        <w:pStyle w:val="14"/>
      </w:pPr>
    </w:p>
    <w:p>
      <w:pPr>
        <w:spacing w:before="120" w:line="480" w:lineRule="exact"/>
        <w:jc w:val="both"/>
        <w:rPr>
          <w:rFonts w:hint="eastAsia" w:ascii="仿宋_GB2312" w:hAnsi="仿宋_GB2312" w:eastAsia="仿宋_GB2312" w:cs="仿宋_GB2312"/>
          <w:b/>
          <w:sz w:val="44"/>
        </w:rPr>
      </w:pPr>
    </w:p>
    <w:p>
      <w:pPr>
        <w:spacing w:before="120" w:line="480" w:lineRule="exact"/>
        <w:jc w:val="center"/>
        <w:rPr>
          <w:rFonts w:hint="eastAsia" w:ascii="仿宋_GB2312" w:hAnsi="仿宋_GB2312" w:eastAsia="仿宋_GB2312" w:cs="仿宋_GB2312"/>
          <w:b/>
          <w:sz w:val="44"/>
        </w:rPr>
      </w:pPr>
    </w:p>
    <w:p>
      <w:pPr>
        <w:spacing w:before="120" w:line="480" w:lineRule="exact"/>
        <w:jc w:val="center"/>
        <w:rPr>
          <w:rFonts w:hint="eastAsia" w:ascii="仿宋_GB2312" w:hAnsi="仿宋_GB2312" w:eastAsia="仿宋_GB2312" w:cs="仿宋_GB2312"/>
          <w:b/>
          <w:sz w:val="44"/>
        </w:rPr>
      </w:pPr>
    </w:p>
    <w:p>
      <w:pPr>
        <w:spacing w:before="120" w:line="480" w:lineRule="exact"/>
        <w:jc w:val="center"/>
        <w:rPr>
          <w:rFonts w:hint="eastAsia" w:ascii="仿宋_GB2312" w:hAnsi="仿宋_GB2312" w:eastAsia="仿宋_GB2312" w:cs="仿宋_GB2312"/>
          <w:b/>
          <w:sz w:val="44"/>
        </w:rPr>
      </w:pPr>
      <w:r>
        <w:rPr>
          <w:rFonts w:hint="eastAsia" w:ascii="仿宋_GB2312" w:hAnsi="仿宋_GB2312" w:eastAsia="仿宋_GB2312" w:cs="仿宋_GB2312"/>
          <w:b/>
          <w:sz w:val="44"/>
        </w:rPr>
        <w:t>第七章</w:t>
      </w:r>
    </w:p>
    <w:p>
      <w:pPr>
        <w:spacing w:line="480" w:lineRule="exact"/>
        <w:jc w:val="center"/>
        <w:rPr>
          <w:rFonts w:hint="eastAsia" w:ascii="仿宋_GB2312" w:hAnsi="仿宋_GB2312" w:eastAsia="仿宋_GB2312" w:cs="仿宋_GB2312"/>
          <w:b/>
          <w:sz w:val="44"/>
        </w:rPr>
      </w:pPr>
    </w:p>
    <w:p>
      <w:pPr>
        <w:spacing w:line="480" w:lineRule="exact"/>
        <w:jc w:val="center"/>
        <w:outlineLvl w:val="0"/>
        <w:rPr>
          <w:rFonts w:hint="eastAsia" w:ascii="仿宋_GB2312" w:hAnsi="仿宋_GB2312" w:eastAsia="仿宋_GB2312" w:cs="仿宋_GB2312"/>
          <w:sz w:val="44"/>
        </w:rPr>
      </w:pPr>
      <w:r>
        <w:rPr>
          <w:rFonts w:hint="eastAsia" w:ascii="仿宋_GB2312" w:hAnsi="仿宋_GB2312" w:eastAsia="仿宋_GB2312" w:cs="仿宋_GB2312"/>
          <w:b/>
          <w:sz w:val="44"/>
        </w:rPr>
        <w:t>响</w:t>
      </w:r>
      <w:r>
        <w:rPr>
          <w:rFonts w:hint="eastAsia" w:ascii="仿宋_GB2312" w:hAnsi="仿宋_GB2312" w:eastAsia="仿宋_GB2312" w:cs="仿宋_GB2312"/>
          <w:b/>
          <w:sz w:val="44"/>
          <w:szCs w:val="21"/>
        </w:rPr>
        <w:t>应文件格式</w:t>
      </w:r>
    </w:p>
    <w:p>
      <w:pPr>
        <w:spacing w:line="480" w:lineRule="exact"/>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（响应文件须编页码，且页码必须连续）</w:t>
      </w:r>
      <w:bookmarkStart w:id="163" w:name="_Toc410736176"/>
      <w:bookmarkStart w:id="164" w:name="_Toc416770252"/>
      <w:bookmarkStart w:id="165" w:name="_Toc416771362"/>
      <w:bookmarkStart w:id="166" w:name="_Toc410738975"/>
      <w:bookmarkStart w:id="167" w:name="_Toc410738976"/>
      <w:bookmarkStart w:id="168" w:name="_Toc410736177"/>
      <w:bookmarkStart w:id="169" w:name="_Toc416770253"/>
      <w:bookmarkStart w:id="170" w:name="_Toc416771363"/>
    </w:p>
    <w:p>
      <w:pPr>
        <w:spacing w:line="480" w:lineRule="exact"/>
        <w:jc w:val="center"/>
        <w:rPr>
          <w:rFonts w:hint="eastAsia" w:ascii="仿宋_GB2312" w:hAnsi="仿宋_GB2312" w:eastAsia="仿宋_GB2312" w:cs="仿宋_GB2312"/>
          <w:b/>
          <w:sz w:val="24"/>
          <w:szCs w:val="24"/>
        </w:rPr>
      </w:pPr>
    </w:p>
    <w:p>
      <w:pPr>
        <w:spacing w:line="480" w:lineRule="exact"/>
        <w:jc w:val="center"/>
        <w:rPr>
          <w:rFonts w:hint="eastAsia" w:ascii="仿宋_GB2312" w:hAnsi="仿宋_GB2312" w:eastAsia="仿宋_GB2312" w:cs="仿宋_GB2312"/>
          <w:b/>
          <w:sz w:val="24"/>
          <w:szCs w:val="24"/>
        </w:rPr>
      </w:pPr>
    </w:p>
    <w:bookmarkEnd w:id="163"/>
    <w:bookmarkEnd w:id="164"/>
    <w:bookmarkEnd w:id="165"/>
    <w:bookmarkEnd w:id="166"/>
    <w:p>
      <w:pPr>
        <w:pStyle w:val="14"/>
        <w:spacing w:line="360" w:lineRule="auto"/>
        <w:rPr>
          <w:rFonts w:hint="eastAsia" w:ascii="仿宋_GB2312" w:hAnsi="仿宋_GB2312" w:eastAsia="仿宋_GB2312" w:cs="仿宋_GB2312"/>
          <w:b/>
          <w:sz w:val="32"/>
          <w:szCs w:val="32"/>
        </w:rPr>
      </w:pPr>
    </w:p>
    <w:p>
      <w:pPr>
        <w:pStyle w:val="14"/>
        <w:spacing w:line="360" w:lineRule="auto"/>
        <w:rPr>
          <w:rFonts w:hint="eastAsia" w:ascii="仿宋_GB2312" w:hAnsi="仿宋_GB2312" w:eastAsia="仿宋_GB2312" w:cs="仿宋_GB2312"/>
          <w:b/>
          <w:sz w:val="32"/>
          <w:szCs w:val="32"/>
        </w:rPr>
      </w:pPr>
    </w:p>
    <w:p>
      <w:pPr>
        <w:pStyle w:val="14"/>
        <w:spacing w:line="360" w:lineRule="auto"/>
        <w:jc w:val="center"/>
        <w:rPr>
          <w:rFonts w:hint="eastAsia" w:ascii="仿宋_GB2312" w:hAnsi="仿宋_GB2312" w:eastAsia="仿宋_GB2312" w:cs="仿宋_GB2312"/>
          <w:b/>
          <w:sz w:val="32"/>
          <w:szCs w:val="32"/>
        </w:rPr>
      </w:pPr>
    </w:p>
    <w:p>
      <w:pPr>
        <w:pStyle w:val="14"/>
        <w:spacing w:line="360" w:lineRule="auto"/>
        <w:jc w:val="center"/>
        <w:rPr>
          <w:rFonts w:hint="eastAsia" w:ascii="仿宋_GB2312" w:hAnsi="仿宋_GB2312" w:eastAsia="仿宋_GB2312" w:cs="仿宋_GB2312"/>
          <w:b/>
          <w:sz w:val="32"/>
          <w:szCs w:val="32"/>
        </w:rPr>
      </w:pPr>
    </w:p>
    <w:p>
      <w:pPr>
        <w:pStyle w:val="14"/>
        <w:spacing w:line="360" w:lineRule="auto"/>
        <w:jc w:val="center"/>
        <w:rPr>
          <w:rFonts w:hint="eastAsia" w:ascii="仿宋_GB2312" w:hAnsi="仿宋_GB2312" w:eastAsia="仿宋_GB2312" w:cs="仿宋_GB2312"/>
          <w:b/>
          <w:sz w:val="32"/>
          <w:szCs w:val="32"/>
        </w:rPr>
      </w:pPr>
    </w:p>
    <w:p>
      <w:pPr>
        <w:pStyle w:val="14"/>
        <w:spacing w:line="360" w:lineRule="auto"/>
        <w:jc w:val="center"/>
        <w:rPr>
          <w:rFonts w:hint="eastAsia" w:ascii="仿宋_GB2312" w:hAnsi="仿宋_GB2312" w:eastAsia="仿宋_GB2312" w:cs="仿宋_GB2312"/>
          <w:b/>
          <w:sz w:val="32"/>
          <w:szCs w:val="32"/>
        </w:rPr>
      </w:pPr>
    </w:p>
    <w:p>
      <w:pPr>
        <w:pStyle w:val="14"/>
        <w:spacing w:line="360" w:lineRule="auto"/>
        <w:jc w:val="center"/>
        <w:rPr>
          <w:rFonts w:hint="eastAsia" w:ascii="仿宋_GB2312" w:hAnsi="仿宋_GB2312" w:eastAsia="仿宋_GB2312" w:cs="仿宋_GB2312"/>
          <w:b/>
          <w:sz w:val="32"/>
          <w:szCs w:val="32"/>
        </w:rPr>
      </w:pPr>
    </w:p>
    <w:p>
      <w:pPr>
        <w:pStyle w:val="14"/>
        <w:spacing w:line="360" w:lineRule="auto"/>
        <w:jc w:val="center"/>
        <w:rPr>
          <w:rFonts w:hint="eastAsia" w:ascii="仿宋_GB2312" w:hAnsi="仿宋_GB2312" w:eastAsia="仿宋_GB2312" w:cs="仿宋_GB2312"/>
          <w:b/>
          <w:sz w:val="32"/>
          <w:szCs w:val="32"/>
        </w:rPr>
      </w:pPr>
    </w:p>
    <w:p>
      <w:pPr>
        <w:pStyle w:val="14"/>
        <w:spacing w:line="360" w:lineRule="auto"/>
        <w:jc w:val="center"/>
        <w:rPr>
          <w:rFonts w:hint="eastAsia" w:ascii="仿宋_GB2312" w:hAnsi="仿宋_GB2312" w:eastAsia="仿宋_GB2312" w:cs="仿宋_GB2312"/>
          <w:b/>
          <w:sz w:val="32"/>
          <w:szCs w:val="32"/>
        </w:rPr>
      </w:pPr>
    </w:p>
    <w:p>
      <w:pPr>
        <w:pStyle w:val="14"/>
        <w:spacing w:line="360" w:lineRule="auto"/>
        <w:jc w:val="center"/>
        <w:rPr>
          <w:rFonts w:hint="eastAsia" w:ascii="仿宋_GB2312" w:hAnsi="仿宋_GB2312" w:eastAsia="仿宋_GB2312" w:cs="仿宋_GB2312"/>
          <w:b/>
          <w:sz w:val="32"/>
          <w:szCs w:val="32"/>
        </w:rPr>
      </w:pPr>
    </w:p>
    <w:p>
      <w:pPr>
        <w:pStyle w:val="14"/>
        <w:spacing w:line="360" w:lineRule="auto"/>
        <w:jc w:val="center"/>
        <w:rPr>
          <w:rFonts w:hint="eastAsia" w:ascii="仿宋_GB2312" w:hAnsi="仿宋_GB2312" w:eastAsia="仿宋_GB2312" w:cs="仿宋_GB2312"/>
          <w:b/>
          <w:sz w:val="32"/>
          <w:szCs w:val="32"/>
        </w:rPr>
      </w:pPr>
    </w:p>
    <w:p>
      <w:pPr>
        <w:pStyle w:val="14"/>
        <w:spacing w:line="360" w:lineRule="auto"/>
        <w:jc w:val="center"/>
        <w:rPr>
          <w:rFonts w:hint="eastAsia" w:ascii="仿宋_GB2312" w:hAnsi="仿宋_GB2312" w:eastAsia="仿宋_GB2312" w:cs="仿宋_GB2312"/>
          <w:b/>
          <w:i/>
          <w:iCs/>
          <w:sz w:val="32"/>
          <w:szCs w:val="32"/>
        </w:rPr>
      </w:pPr>
      <w:r>
        <w:rPr>
          <w:rFonts w:hint="eastAsia" w:ascii="仿宋_GB2312" w:hAnsi="仿宋_GB2312" w:eastAsia="仿宋_GB2312" w:cs="仿宋_GB2312"/>
          <w:b/>
          <w:sz w:val="32"/>
          <w:szCs w:val="32"/>
        </w:rPr>
        <w:t>响应文件目录表</w:t>
      </w:r>
      <w:bookmarkEnd w:id="167"/>
      <w:bookmarkEnd w:id="168"/>
      <w:bookmarkEnd w:id="169"/>
      <w:bookmarkEnd w:id="170"/>
    </w:p>
    <w:p>
      <w:pPr>
        <w:spacing w:line="360" w:lineRule="auto"/>
        <w:rPr>
          <w:rFonts w:hint="eastAsia" w:ascii="仿宋_GB2312" w:hAnsi="仿宋_GB2312" w:eastAsia="仿宋_GB2312" w:cs="仿宋_GB2312"/>
        </w:rPr>
      </w:pPr>
      <w:r>
        <w:rPr>
          <w:rFonts w:hint="eastAsia" w:ascii="仿宋_GB2312" w:hAnsi="仿宋_GB2312" w:eastAsia="仿宋_GB2312" w:cs="仿宋_GB2312"/>
        </w:rPr>
        <w:t xml:space="preserve">项目名称： </w:t>
      </w:r>
    </w:p>
    <w:p>
      <w:pPr>
        <w:spacing w:line="360" w:lineRule="auto"/>
        <w:rPr>
          <w:rFonts w:hint="eastAsia" w:ascii="仿宋_GB2312" w:hAnsi="仿宋_GB2312" w:eastAsia="仿宋_GB2312" w:cs="仿宋_GB2312"/>
        </w:rPr>
      </w:pPr>
      <w:r>
        <w:rPr>
          <w:rFonts w:hint="eastAsia" w:ascii="仿宋_GB2312" w:hAnsi="仿宋_GB2312" w:eastAsia="仿宋_GB2312" w:cs="仿宋_GB2312"/>
        </w:rPr>
        <w:t xml:space="preserve">项目编号： </w:t>
      </w:r>
    </w:p>
    <w:tbl>
      <w:tblPr>
        <w:tblStyle w:val="25"/>
        <w:tblW w:w="953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61"/>
        <w:gridCol w:w="1068"/>
        <w:gridCol w:w="4229"/>
        <w:gridCol w:w="627"/>
        <w:gridCol w:w="594"/>
        <w:gridCol w:w="616"/>
        <w:gridCol w:w="83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05" w:hRule="atLeast"/>
          <w:jc w:val="center"/>
        </w:trPr>
        <w:tc>
          <w:tcPr>
            <w:tcW w:w="1561" w:type="dxa"/>
            <w:vMerge w:val="restart"/>
            <w:tcBorders>
              <w:top w:val="single" w:color="auto" w:sz="12" w:space="0"/>
            </w:tcBorders>
            <w:shd w:val="clear" w:color="auto" w:fill="EEECE1"/>
            <w:vAlign w:val="center"/>
          </w:tcPr>
          <w:p>
            <w:pPr>
              <w:spacing w:line="360" w:lineRule="auto"/>
              <w:jc w:val="center"/>
              <w:rPr>
                <w:rFonts w:hint="eastAsia" w:ascii="仿宋_GB2312" w:hAnsi="仿宋_GB2312" w:eastAsia="仿宋_GB2312" w:cs="仿宋_GB2312"/>
                <w:b/>
              </w:rPr>
            </w:pPr>
            <w:r>
              <w:rPr>
                <w:rFonts w:hint="eastAsia" w:ascii="仿宋_GB2312" w:hAnsi="仿宋_GB2312" w:eastAsia="仿宋_GB2312" w:cs="仿宋_GB2312"/>
                <w:b/>
              </w:rPr>
              <w:t>文件类型</w:t>
            </w:r>
          </w:p>
        </w:tc>
        <w:tc>
          <w:tcPr>
            <w:tcW w:w="1068" w:type="dxa"/>
            <w:vMerge w:val="restart"/>
            <w:tcBorders>
              <w:top w:val="single" w:color="auto" w:sz="12" w:space="0"/>
            </w:tcBorders>
            <w:shd w:val="clear" w:color="auto" w:fill="EEECE1"/>
            <w:vAlign w:val="center"/>
          </w:tcPr>
          <w:p>
            <w:pPr>
              <w:snapToGrid w:val="0"/>
              <w:spacing w:line="400" w:lineRule="exact"/>
              <w:jc w:val="center"/>
              <w:rPr>
                <w:rFonts w:hint="eastAsia" w:ascii="仿宋_GB2312" w:hAnsi="仿宋_GB2312" w:eastAsia="仿宋_GB2312" w:cs="仿宋_GB2312"/>
                <w:sz w:val="24"/>
              </w:rPr>
            </w:pPr>
            <w:r>
              <w:rPr>
                <w:rFonts w:hint="eastAsia" w:ascii="仿宋_GB2312" w:hAnsi="仿宋_GB2312" w:eastAsia="仿宋_GB2312" w:cs="仿宋_GB2312"/>
                <w:b/>
                <w:bCs/>
                <w:sz w:val="24"/>
              </w:rPr>
              <w:t>序号</w:t>
            </w:r>
          </w:p>
        </w:tc>
        <w:tc>
          <w:tcPr>
            <w:tcW w:w="4229" w:type="dxa"/>
            <w:vMerge w:val="restart"/>
            <w:tcBorders>
              <w:top w:val="single" w:color="auto" w:sz="12" w:space="0"/>
            </w:tcBorders>
            <w:shd w:val="clear" w:color="auto" w:fill="EEECE1"/>
            <w:vAlign w:val="center"/>
          </w:tcPr>
          <w:p>
            <w:pPr>
              <w:spacing w:line="360" w:lineRule="auto"/>
              <w:jc w:val="center"/>
              <w:rPr>
                <w:rFonts w:hint="eastAsia" w:ascii="仿宋_GB2312" w:hAnsi="仿宋_GB2312" w:eastAsia="仿宋_GB2312" w:cs="仿宋_GB2312"/>
                <w:b/>
              </w:rPr>
            </w:pPr>
            <w:r>
              <w:rPr>
                <w:rFonts w:hint="eastAsia" w:ascii="仿宋_GB2312" w:hAnsi="仿宋_GB2312" w:eastAsia="仿宋_GB2312" w:cs="仿宋_GB2312"/>
                <w:b/>
              </w:rPr>
              <w:t>文    件    名    称</w:t>
            </w:r>
          </w:p>
        </w:tc>
        <w:tc>
          <w:tcPr>
            <w:tcW w:w="1221" w:type="dxa"/>
            <w:gridSpan w:val="2"/>
            <w:tcBorders>
              <w:top w:val="single" w:color="auto" w:sz="12" w:space="0"/>
            </w:tcBorders>
            <w:shd w:val="clear" w:color="auto" w:fill="EEECE1"/>
            <w:vAlign w:val="center"/>
          </w:tcPr>
          <w:p>
            <w:pPr>
              <w:spacing w:line="360" w:lineRule="auto"/>
              <w:jc w:val="center"/>
              <w:rPr>
                <w:rFonts w:hint="eastAsia" w:ascii="仿宋_GB2312" w:hAnsi="仿宋_GB2312" w:eastAsia="仿宋_GB2312" w:cs="仿宋_GB2312"/>
                <w:b/>
              </w:rPr>
            </w:pPr>
            <w:r>
              <w:rPr>
                <w:rFonts w:hint="eastAsia" w:ascii="仿宋_GB2312" w:hAnsi="仿宋_GB2312" w:eastAsia="仿宋_GB2312" w:cs="仿宋_GB2312"/>
                <w:b/>
              </w:rPr>
              <w:t>提交情况</w:t>
            </w:r>
          </w:p>
        </w:tc>
        <w:tc>
          <w:tcPr>
            <w:tcW w:w="616" w:type="dxa"/>
            <w:vMerge w:val="restart"/>
            <w:tcBorders>
              <w:top w:val="single" w:color="auto" w:sz="12" w:space="0"/>
            </w:tcBorders>
            <w:shd w:val="clear" w:color="auto" w:fill="EEECE1"/>
            <w:vAlign w:val="center"/>
          </w:tcPr>
          <w:p>
            <w:pPr>
              <w:spacing w:line="360" w:lineRule="auto"/>
              <w:jc w:val="center"/>
              <w:rPr>
                <w:rFonts w:hint="eastAsia" w:ascii="仿宋_GB2312" w:hAnsi="仿宋_GB2312" w:eastAsia="仿宋_GB2312" w:cs="仿宋_GB2312"/>
                <w:b/>
              </w:rPr>
            </w:pPr>
            <w:r>
              <w:rPr>
                <w:rFonts w:hint="eastAsia" w:ascii="仿宋_GB2312" w:hAnsi="仿宋_GB2312" w:eastAsia="仿宋_GB2312" w:cs="仿宋_GB2312"/>
                <w:b/>
              </w:rPr>
              <w:t>页码范围</w:t>
            </w:r>
          </w:p>
        </w:tc>
        <w:tc>
          <w:tcPr>
            <w:tcW w:w="839" w:type="dxa"/>
            <w:vMerge w:val="restart"/>
            <w:tcBorders>
              <w:top w:val="single" w:color="auto" w:sz="12" w:space="0"/>
            </w:tcBorders>
            <w:shd w:val="clear" w:color="auto" w:fill="EEECE1"/>
            <w:vAlign w:val="center"/>
          </w:tcPr>
          <w:p>
            <w:pPr>
              <w:spacing w:line="360" w:lineRule="auto"/>
              <w:jc w:val="center"/>
              <w:rPr>
                <w:rFonts w:hint="eastAsia" w:ascii="仿宋_GB2312" w:hAnsi="仿宋_GB2312" w:eastAsia="仿宋_GB2312" w:cs="仿宋_GB2312"/>
                <w:b/>
              </w:rPr>
            </w:pPr>
            <w:r>
              <w:rPr>
                <w:rFonts w:hint="eastAsia" w:ascii="仿宋_GB2312" w:hAnsi="仿宋_GB2312" w:eastAsia="仿宋_GB2312" w:cs="仿宋_GB2312"/>
                <w:b/>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38" w:hRule="atLeast"/>
          <w:jc w:val="center"/>
        </w:trPr>
        <w:tc>
          <w:tcPr>
            <w:tcW w:w="1561" w:type="dxa"/>
            <w:vMerge w:val="continue"/>
            <w:shd w:val="clear" w:color="auto" w:fill="EEECE1"/>
            <w:vAlign w:val="center"/>
          </w:tcPr>
          <w:p>
            <w:pPr>
              <w:spacing w:line="360" w:lineRule="auto"/>
              <w:jc w:val="center"/>
              <w:rPr>
                <w:rFonts w:hint="eastAsia" w:ascii="仿宋_GB2312" w:hAnsi="仿宋_GB2312" w:eastAsia="仿宋_GB2312" w:cs="仿宋_GB2312"/>
              </w:rPr>
            </w:pPr>
          </w:p>
        </w:tc>
        <w:tc>
          <w:tcPr>
            <w:tcW w:w="1068" w:type="dxa"/>
            <w:vMerge w:val="continue"/>
            <w:shd w:val="clear" w:color="auto" w:fill="EEECE1"/>
            <w:vAlign w:val="center"/>
          </w:tcPr>
          <w:p>
            <w:pPr>
              <w:snapToGrid w:val="0"/>
              <w:spacing w:line="400" w:lineRule="exact"/>
              <w:rPr>
                <w:rFonts w:hint="eastAsia" w:ascii="仿宋_GB2312" w:hAnsi="仿宋_GB2312" w:eastAsia="仿宋_GB2312" w:cs="仿宋_GB2312"/>
                <w:sz w:val="24"/>
              </w:rPr>
            </w:pPr>
          </w:p>
        </w:tc>
        <w:tc>
          <w:tcPr>
            <w:tcW w:w="4229" w:type="dxa"/>
            <w:vMerge w:val="continue"/>
            <w:shd w:val="clear" w:color="auto" w:fill="EEECE1"/>
            <w:vAlign w:val="center"/>
          </w:tcPr>
          <w:p>
            <w:pPr>
              <w:spacing w:line="360" w:lineRule="auto"/>
              <w:rPr>
                <w:rFonts w:hint="eastAsia" w:ascii="仿宋_GB2312" w:hAnsi="仿宋_GB2312" w:eastAsia="仿宋_GB2312" w:cs="仿宋_GB2312"/>
              </w:rPr>
            </w:pPr>
          </w:p>
        </w:tc>
        <w:tc>
          <w:tcPr>
            <w:tcW w:w="627" w:type="dxa"/>
            <w:shd w:val="clear" w:color="auto" w:fill="EEECE1"/>
            <w:vAlign w:val="center"/>
          </w:tcPr>
          <w:p>
            <w:pPr>
              <w:spacing w:line="360" w:lineRule="auto"/>
              <w:jc w:val="center"/>
              <w:rPr>
                <w:rFonts w:hint="eastAsia" w:ascii="仿宋_GB2312" w:hAnsi="仿宋_GB2312" w:eastAsia="仿宋_GB2312" w:cs="仿宋_GB2312"/>
                <w:b/>
              </w:rPr>
            </w:pPr>
            <w:r>
              <w:rPr>
                <w:rFonts w:hint="eastAsia" w:ascii="仿宋_GB2312" w:hAnsi="仿宋_GB2312" w:eastAsia="仿宋_GB2312" w:cs="仿宋_GB2312"/>
                <w:b/>
              </w:rPr>
              <w:t>有</w:t>
            </w:r>
          </w:p>
        </w:tc>
        <w:tc>
          <w:tcPr>
            <w:tcW w:w="594" w:type="dxa"/>
            <w:shd w:val="clear" w:color="auto" w:fill="EEECE1"/>
            <w:vAlign w:val="center"/>
          </w:tcPr>
          <w:p>
            <w:pPr>
              <w:spacing w:line="360" w:lineRule="auto"/>
              <w:jc w:val="center"/>
              <w:rPr>
                <w:rFonts w:hint="eastAsia" w:ascii="仿宋_GB2312" w:hAnsi="仿宋_GB2312" w:eastAsia="仿宋_GB2312" w:cs="仿宋_GB2312"/>
                <w:b/>
              </w:rPr>
            </w:pPr>
            <w:r>
              <w:rPr>
                <w:rFonts w:hint="eastAsia" w:ascii="仿宋_GB2312" w:hAnsi="仿宋_GB2312" w:eastAsia="仿宋_GB2312" w:cs="仿宋_GB2312"/>
                <w:b/>
              </w:rPr>
              <w:t>无</w:t>
            </w:r>
          </w:p>
        </w:tc>
        <w:tc>
          <w:tcPr>
            <w:tcW w:w="616" w:type="dxa"/>
            <w:vMerge w:val="continue"/>
            <w:shd w:val="clear" w:color="auto" w:fill="EEECE1"/>
            <w:vAlign w:val="center"/>
          </w:tcPr>
          <w:p>
            <w:pPr>
              <w:spacing w:line="360" w:lineRule="auto"/>
              <w:jc w:val="center"/>
              <w:rPr>
                <w:rFonts w:hint="eastAsia" w:ascii="仿宋_GB2312" w:hAnsi="仿宋_GB2312" w:eastAsia="仿宋_GB2312" w:cs="仿宋_GB2312"/>
              </w:rPr>
            </w:pPr>
          </w:p>
        </w:tc>
        <w:tc>
          <w:tcPr>
            <w:tcW w:w="839" w:type="dxa"/>
            <w:vMerge w:val="continue"/>
            <w:shd w:val="clear" w:color="auto" w:fill="EEECE1"/>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561" w:type="dxa"/>
            <w:vMerge w:val="restart"/>
            <w:vAlign w:val="center"/>
          </w:tcPr>
          <w:p>
            <w:pPr>
              <w:spacing w:line="360" w:lineRule="auto"/>
              <w:jc w:val="center"/>
              <w:rPr>
                <w:rFonts w:hint="eastAsia" w:ascii="仿宋_GB2312" w:hAnsi="仿宋_GB2312" w:eastAsia="仿宋_GB2312" w:cs="仿宋_GB2312"/>
              </w:rPr>
            </w:pPr>
            <w:r>
              <w:rPr>
                <w:rFonts w:hint="eastAsia" w:ascii="仿宋_GB2312" w:hAnsi="仿宋_GB2312" w:eastAsia="仿宋_GB2312" w:cs="仿宋_GB2312"/>
                <w:b/>
              </w:rPr>
              <w:t>一、资格文件</w:t>
            </w: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1.1</w:t>
            </w:r>
          </w:p>
        </w:tc>
        <w:tc>
          <w:tcPr>
            <w:tcW w:w="4229" w:type="dxa"/>
            <w:vAlign w:val="center"/>
          </w:tcPr>
          <w:p>
            <w:pPr>
              <w:pStyle w:val="14"/>
              <w:spacing w:line="360" w:lineRule="auto"/>
              <w:rPr>
                <w:rFonts w:hint="eastAsia" w:ascii="仿宋_GB2312" w:hAnsi="仿宋_GB2312" w:eastAsia="仿宋_GB2312" w:cs="仿宋_GB2312"/>
              </w:rPr>
            </w:pPr>
            <w:r>
              <w:rPr>
                <w:rFonts w:hint="eastAsia" w:ascii="仿宋_GB2312" w:hAnsi="仿宋_GB2312" w:eastAsia="仿宋_GB2312" w:cs="仿宋_GB2312"/>
                <w:kern w:val="0"/>
              </w:rPr>
              <w:t>磋商函</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561" w:type="dxa"/>
            <w:vMerge w:val="continue"/>
            <w:vAlign w:val="center"/>
          </w:tcPr>
          <w:p>
            <w:pPr>
              <w:spacing w:line="360" w:lineRule="auto"/>
              <w:ind w:left="113" w:right="113"/>
              <w:jc w:val="center"/>
              <w:rPr>
                <w:rFonts w:hint="eastAsia" w:ascii="仿宋_GB2312" w:hAnsi="仿宋_GB2312" w:eastAsia="仿宋_GB2312" w:cs="仿宋_GB2312"/>
              </w:rPr>
            </w:pP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1.2</w:t>
            </w:r>
          </w:p>
        </w:tc>
        <w:tc>
          <w:tcPr>
            <w:tcW w:w="4229" w:type="dxa"/>
            <w:vAlign w:val="center"/>
          </w:tcPr>
          <w:p>
            <w:pPr>
              <w:pStyle w:val="14"/>
              <w:spacing w:line="360" w:lineRule="auto"/>
              <w:rPr>
                <w:rFonts w:hint="eastAsia" w:ascii="仿宋_GB2312" w:hAnsi="仿宋_GB2312" w:eastAsia="仿宋_GB2312" w:cs="仿宋_GB2312"/>
                <w:kern w:val="0"/>
              </w:rPr>
            </w:pPr>
            <w:r>
              <w:rPr>
                <w:rFonts w:hint="eastAsia" w:ascii="仿宋_GB2312" w:hAnsi="仿宋_GB2312" w:eastAsia="仿宋_GB2312" w:cs="仿宋_GB2312"/>
                <w:kern w:val="0"/>
              </w:rPr>
              <w:t>法定代表人证明书及授权委托书</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561" w:type="dxa"/>
            <w:vMerge w:val="continue"/>
            <w:vAlign w:val="center"/>
          </w:tcPr>
          <w:p>
            <w:pPr>
              <w:spacing w:line="360" w:lineRule="auto"/>
              <w:ind w:left="113" w:right="113"/>
              <w:jc w:val="center"/>
              <w:rPr>
                <w:rFonts w:hint="eastAsia" w:ascii="仿宋_GB2312" w:hAnsi="仿宋_GB2312" w:eastAsia="仿宋_GB2312" w:cs="仿宋_GB2312"/>
              </w:rPr>
            </w:pP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1.3</w:t>
            </w:r>
          </w:p>
        </w:tc>
        <w:tc>
          <w:tcPr>
            <w:tcW w:w="4229" w:type="dxa"/>
            <w:vAlign w:val="center"/>
          </w:tcPr>
          <w:p>
            <w:pPr>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响应人资格声明函</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561" w:type="dxa"/>
            <w:vMerge w:val="continue"/>
            <w:vAlign w:val="center"/>
          </w:tcPr>
          <w:p>
            <w:pPr>
              <w:spacing w:line="360" w:lineRule="auto"/>
              <w:ind w:left="113" w:right="113"/>
              <w:jc w:val="center"/>
              <w:rPr>
                <w:rFonts w:hint="eastAsia" w:ascii="仿宋_GB2312" w:hAnsi="仿宋_GB2312" w:eastAsia="仿宋_GB2312" w:cs="仿宋_GB2312"/>
              </w:rPr>
            </w:pP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1.3.1.1</w:t>
            </w:r>
          </w:p>
        </w:tc>
        <w:tc>
          <w:tcPr>
            <w:tcW w:w="4229" w:type="dxa"/>
            <w:vAlign w:val="center"/>
          </w:tcPr>
          <w:p>
            <w:pPr>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法人或者其他组织的营业执照或法人证书等证明材料</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561" w:type="dxa"/>
            <w:vMerge w:val="continue"/>
            <w:vAlign w:val="center"/>
          </w:tcPr>
          <w:p>
            <w:pPr>
              <w:spacing w:line="360" w:lineRule="auto"/>
              <w:ind w:left="113" w:right="113"/>
              <w:jc w:val="center"/>
              <w:rPr>
                <w:rFonts w:hint="eastAsia" w:ascii="仿宋_GB2312" w:hAnsi="仿宋_GB2312" w:eastAsia="仿宋_GB2312" w:cs="仿宋_GB2312"/>
              </w:rPr>
            </w:pP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1.3.1.2</w:t>
            </w:r>
          </w:p>
        </w:tc>
        <w:tc>
          <w:tcPr>
            <w:tcW w:w="4229" w:type="dxa"/>
            <w:vAlign w:val="center"/>
          </w:tcPr>
          <w:p>
            <w:pPr>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有依法缴纳税收和社会保障资金的良好记录：响应文件中提供《资格条件承诺函》</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561" w:type="dxa"/>
            <w:vMerge w:val="continue"/>
            <w:vAlign w:val="center"/>
          </w:tcPr>
          <w:p>
            <w:pPr>
              <w:spacing w:line="360" w:lineRule="auto"/>
              <w:ind w:left="113" w:right="113"/>
              <w:jc w:val="center"/>
              <w:rPr>
                <w:rFonts w:hint="eastAsia" w:ascii="仿宋_GB2312" w:hAnsi="仿宋_GB2312" w:eastAsia="仿宋_GB2312" w:cs="仿宋_GB2312"/>
              </w:rPr>
            </w:pP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1.3.1.3</w:t>
            </w:r>
          </w:p>
        </w:tc>
        <w:tc>
          <w:tcPr>
            <w:tcW w:w="4229" w:type="dxa"/>
            <w:vAlign w:val="center"/>
          </w:tcPr>
          <w:p>
            <w:pPr>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具有履行合同所必需的设备和专业技术能力：响应文件中提供《资格条件承诺函》</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561" w:type="dxa"/>
            <w:vMerge w:val="continue"/>
            <w:vAlign w:val="center"/>
          </w:tcPr>
          <w:p>
            <w:pPr>
              <w:spacing w:line="360" w:lineRule="auto"/>
              <w:ind w:left="113" w:right="113"/>
              <w:jc w:val="center"/>
              <w:rPr>
                <w:rFonts w:hint="eastAsia" w:ascii="仿宋_GB2312" w:hAnsi="仿宋_GB2312" w:eastAsia="仿宋_GB2312" w:cs="仿宋_GB2312"/>
              </w:rPr>
            </w:pP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1.3.1.4</w:t>
            </w:r>
          </w:p>
        </w:tc>
        <w:tc>
          <w:tcPr>
            <w:tcW w:w="4229" w:type="dxa"/>
            <w:vAlign w:val="center"/>
          </w:tcPr>
          <w:p>
            <w:pPr>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具有良好的商业信誉和健全的财务会计制度：响应文件中提供《资格条件承诺函》</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561" w:type="dxa"/>
            <w:vMerge w:val="continue"/>
            <w:vAlign w:val="center"/>
          </w:tcPr>
          <w:p>
            <w:pPr>
              <w:spacing w:line="360" w:lineRule="auto"/>
              <w:ind w:left="113" w:right="113"/>
              <w:jc w:val="center"/>
              <w:rPr>
                <w:rFonts w:hint="eastAsia" w:ascii="仿宋_GB2312" w:hAnsi="仿宋_GB2312" w:eastAsia="仿宋_GB2312" w:cs="仿宋_GB2312"/>
              </w:rPr>
            </w:pP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1.3.1.5</w:t>
            </w:r>
          </w:p>
        </w:tc>
        <w:tc>
          <w:tcPr>
            <w:tcW w:w="4229" w:type="dxa"/>
            <w:vAlign w:val="center"/>
          </w:tcPr>
          <w:p>
            <w:pPr>
              <w:snapToGrid w:val="0"/>
              <w:spacing w:line="400" w:lineRule="exact"/>
              <w:rPr>
                <w:rFonts w:hint="eastAsia" w:ascii="仿宋_GB2312" w:hAnsi="仿宋_GB2312" w:eastAsia="仿宋_GB2312" w:cs="仿宋_GB2312"/>
              </w:rPr>
            </w:pPr>
            <w:r>
              <w:rPr>
                <w:rFonts w:hint="eastAsia" w:ascii="仿宋_GB2312" w:hAnsi="仿宋_GB2312" w:eastAsia="仿宋_GB2312" w:cs="仿宋_GB2312"/>
              </w:rPr>
              <w:t>参加政府采购活动前三年内，在经营活动中没有重大违法记录：响应文件中提供《资格条件承诺函》</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561" w:type="dxa"/>
            <w:vMerge w:val="continue"/>
            <w:vAlign w:val="center"/>
          </w:tcPr>
          <w:p>
            <w:pPr>
              <w:spacing w:line="360" w:lineRule="auto"/>
              <w:ind w:left="113" w:right="113"/>
              <w:jc w:val="center"/>
              <w:rPr>
                <w:rFonts w:hint="eastAsia" w:ascii="仿宋_GB2312" w:hAnsi="仿宋_GB2312" w:eastAsia="仿宋_GB2312" w:cs="仿宋_GB2312"/>
              </w:rPr>
            </w:pP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1.4</w:t>
            </w:r>
          </w:p>
        </w:tc>
        <w:tc>
          <w:tcPr>
            <w:tcW w:w="4229" w:type="dxa"/>
            <w:vAlign w:val="center"/>
          </w:tcPr>
          <w:p>
            <w:pPr>
              <w:snapToGrid w:val="0"/>
              <w:spacing w:line="400" w:lineRule="exact"/>
              <w:rPr>
                <w:rFonts w:hint="eastAsia" w:ascii="仿宋_GB2312" w:hAnsi="仿宋_GB2312" w:eastAsia="仿宋_GB2312" w:cs="仿宋_GB2312"/>
              </w:rPr>
            </w:pPr>
            <w:r>
              <w:rPr>
                <w:rFonts w:hint="eastAsia" w:ascii="仿宋_GB2312" w:hAnsi="仿宋_GB2312" w:eastAsia="仿宋_GB2312" w:cs="仿宋_GB2312"/>
              </w:rPr>
              <w:t>资格条件承诺函</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561" w:type="dxa"/>
            <w:vMerge w:val="continue"/>
            <w:vAlign w:val="center"/>
          </w:tcPr>
          <w:p>
            <w:pPr>
              <w:spacing w:line="360" w:lineRule="auto"/>
              <w:ind w:left="113" w:right="113"/>
              <w:jc w:val="center"/>
              <w:rPr>
                <w:rFonts w:hint="eastAsia" w:ascii="仿宋_GB2312" w:hAnsi="仿宋_GB2312" w:eastAsia="仿宋_GB2312" w:cs="仿宋_GB2312"/>
              </w:rPr>
            </w:pP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1.5</w:t>
            </w:r>
          </w:p>
        </w:tc>
        <w:tc>
          <w:tcPr>
            <w:tcW w:w="4229" w:type="dxa"/>
            <w:vAlign w:val="center"/>
          </w:tcPr>
          <w:p>
            <w:pPr>
              <w:snapToGrid w:val="0"/>
              <w:spacing w:line="400" w:lineRule="exact"/>
              <w:rPr>
                <w:rFonts w:hint="eastAsia" w:ascii="仿宋_GB2312" w:hAnsi="仿宋_GB2312" w:eastAsia="仿宋_GB2312" w:cs="仿宋_GB2312"/>
              </w:rPr>
            </w:pPr>
            <w:r>
              <w:rPr>
                <w:rFonts w:hint="eastAsia" w:ascii="仿宋_GB2312" w:hAnsi="仿宋_GB2312" w:eastAsia="仿宋_GB2312" w:cs="仿宋_GB2312"/>
              </w:rPr>
              <w:t>承诺函</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3" w:hRule="atLeast"/>
          <w:jc w:val="center"/>
        </w:trPr>
        <w:tc>
          <w:tcPr>
            <w:tcW w:w="1561" w:type="dxa"/>
            <w:vMerge w:val="restart"/>
            <w:vAlign w:val="center"/>
          </w:tcPr>
          <w:p>
            <w:pPr>
              <w:spacing w:line="360" w:lineRule="auto"/>
              <w:jc w:val="center"/>
              <w:rPr>
                <w:rFonts w:hint="eastAsia" w:ascii="仿宋_GB2312" w:hAnsi="仿宋_GB2312" w:eastAsia="仿宋_GB2312" w:cs="仿宋_GB2312"/>
                <w:b/>
              </w:rPr>
            </w:pPr>
            <w:r>
              <w:rPr>
                <w:rFonts w:hint="eastAsia" w:ascii="仿宋_GB2312" w:hAnsi="仿宋_GB2312" w:eastAsia="仿宋_GB2312" w:cs="仿宋_GB2312"/>
                <w:b/>
              </w:rPr>
              <w:t>二、技术文件</w:t>
            </w: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2.1</w:t>
            </w:r>
          </w:p>
        </w:tc>
        <w:tc>
          <w:tcPr>
            <w:tcW w:w="4229" w:type="dxa"/>
            <w:vAlign w:val="center"/>
          </w:tcPr>
          <w:p>
            <w:pPr>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项目服务需求分析理解</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3" w:hRule="atLeast"/>
          <w:jc w:val="center"/>
        </w:trPr>
        <w:tc>
          <w:tcPr>
            <w:tcW w:w="1561" w:type="dxa"/>
            <w:vMerge w:val="continue"/>
            <w:vAlign w:val="center"/>
          </w:tcPr>
          <w:p>
            <w:pPr>
              <w:spacing w:line="360" w:lineRule="auto"/>
              <w:jc w:val="center"/>
              <w:rPr>
                <w:rFonts w:hint="eastAsia" w:ascii="仿宋_GB2312" w:hAnsi="仿宋_GB2312" w:eastAsia="仿宋_GB2312" w:cs="仿宋_GB2312"/>
                <w:b/>
              </w:rPr>
            </w:pP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2.2</w:t>
            </w:r>
          </w:p>
        </w:tc>
        <w:tc>
          <w:tcPr>
            <w:tcW w:w="4229" w:type="dxa"/>
            <w:vAlign w:val="center"/>
          </w:tcPr>
          <w:p>
            <w:pPr>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质量保证措施及项目进度保证措施</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3" w:hRule="atLeast"/>
          <w:jc w:val="center"/>
        </w:trPr>
        <w:tc>
          <w:tcPr>
            <w:tcW w:w="1561" w:type="dxa"/>
            <w:vMerge w:val="continue"/>
            <w:vAlign w:val="center"/>
          </w:tcPr>
          <w:p>
            <w:pPr>
              <w:spacing w:line="360" w:lineRule="auto"/>
              <w:jc w:val="center"/>
              <w:rPr>
                <w:rFonts w:hint="eastAsia" w:ascii="仿宋_GB2312" w:hAnsi="仿宋_GB2312" w:eastAsia="仿宋_GB2312" w:cs="仿宋_GB2312"/>
                <w:b/>
              </w:rPr>
            </w:pP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2.3</w:t>
            </w:r>
          </w:p>
        </w:tc>
        <w:tc>
          <w:tcPr>
            <w:tcW w:w="4229" w:type="dxa"/>
            <w:vAlign w:val="center"/>
          </w:tcPr>
          <w:p>
            <w:pPr>
              <w:snapToGrid w:val="0"/>
              <w:spacing w:line="360" w:lineRule="auto"/>
              <w:rPr>
                <w:rFonts w:hint="eastAsia" w:ascii="仿宋_GB2312" w:hAnsi="仿宋_GB2312" w:eastAsia="仿宋_GB2312" w:cs="仿宋_GB2312"/>
              </w:rPr>
            </w:pPr>
            <w:r>
              <w:rPr>
                <w:rFonts w:hint="eastAsia" w:ascii="仿宋_GB2312" w:hAnsi="仿宋_GB2312" w:eastAsia="仿宋_GB2312" w:cs="仿宋_GB2312"/>
              </w:rPr>
              <w:t xml:space="preserve">项目服务方案 </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3" w:hRule="atLeast"/>
          <w:jc w:val="center"/>
        </w:trPr>
        <w:tc>
          <w:tcPr>
            <w:tcW w:w="1561" w:type="dxa"/>
            <w:vMerge w:val="continue"/>
            <w:vAlign w:val="center"/>
          </w:tcPr>
          <w:p>
            <w:pPr>
              <w:spacing w:line="360" w:lineRule="auto"/>
              <w:jc w:val="center"/>
              <w:rPr>
                <w:rFonts w:hint="eastAsia" w:ascii="仿宋_GB2312" w:hAnsi="仿宋_GB2312" w:eastAsia="仿宋_GB2312" w:cs="仿宋_GB2312"/>
                <w:b/>
              </w:rPr>
            </w:pP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2.4</w:t>
            </w:r>
          </w:p>
        </w:tc>
        <w:tc>
          <w:tcPr>
            <w:tcW w:w="4229" w:type="dxa"/>
            <w:vAlign w:val="center"/>
          </w:tcPr>
          <w:p>
            <w:pPr>
              <w:snapToGrid w:val="0"/>
              <w:spacing w:line="400" w:lineRule="exact"/>
              <w:rPr>
                <w:rFonts w:hint="eastAsia" w:ascii="仿宋_GB2312" w:hAnsi="仿宋_GB2312" w:eastAsia="仿宋_GB2312" w:cs="仿宋_GB2312"/>
              </w:rPr>
            </w:pPr>
            <w:r>
              <w:rPr>
                <w:rFonts w:hint="eastAsia" w:ascii="仿宋_GB2312" w:hAnsi="仿宋_GB2312" w:eastAsia="仿宋_GB2312" w:cs="仿宋_GB2312"/>
              </w:rPr>
              <w:t>响应人认为需要提供的其它说明和资料</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3" w:hRule="atLeast"/>
          <w:jc w:val="center"/>
        </w:trPr>
        <w:tc>
          <w:tcPr>
            <w:tcW w:w="1561" w:type="dxa"/>
            <w:vMerge w:val="restart"/>
            <w:vAlign w:val="center"/>
          </w:tcPr>
          <w:p>
            <w:pPr>
              <w:spacing w:line="360" w:lineRule="auto"/>
              <w:jc w:val="center"/>
              <w:rPr>
                <w:rFonts w:hint="eastAsia" w:ascii="仿宋_GB2312" w:hAnsi="仿宋_GB2312" w:eastAsia="仿宋_GB2312" w:cs="仿宋_GB2312"/>
              </w:rPr>
            </w:pPr>
            <w:r>
              <w:rPr>
                <w:rFonts w:hint="eastAsia" w:ascii="仿宋_GB2312" w:hAnsi="仿宋_GB2312" w:eastAsia="仿宋_GB2312" w:cs="仿宋_GB2312"/>
                <w:b/>
              </w:rPr>
              <w:t xml:space="preserve"> 三、商务文件</w:t>
            </w: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3.1</w:t>
            </w:r>
          </w:p>
        </w:tc>
        <w:tc>
          <w:tcPr>
            <w:tcW w:w="4229" w:type="dxa"/>
            <w:vAlign w:val="center"/>
          </w:tcPr>
          <w:p>
            <w:pPr>
              <w:pStyle w:val="14"/>
              <w:spacing w:line="360" w:lineRule="auto"/>
              <w:rPr>
                <w:rFonts w:hint="eastAsia" w:ascii="仿宋_GB2312" w:hAnsi="仿宋_GB2312" w:eastAsia="仿宋_GB2312" w:cs="仿宋_GB2312"/>
                <w:kern w:val="0"/>
              </w:rPr>
            </w:pPr>
            <w:r>
              <w:rPr>
                <w:rFonts w:hint="eastAsia" w:ascii="仿宋_GB2312" w:hAnsi="仿宋_GB2312" w:eastAsia="仿宋_GB2312" w:cs="仿宋_GB2312"/>
                <w:kern w:val="0"/>
              </w:rPr>
              <w:t>响应人基本情况表</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3" w:hRule="atLeast"/>
          <w:jc w:val="center"/>
        </w:trPr>
        <w:tc>
          <w:tcPr>
            <w:tcW w:w="1561" w:type="dxa"/>
            <w:vMerge w:val="continue"/>
            <w:vAlign w:val="center"/>
          </w:tcPr>
          <w:p>
            <w:pPr>
              <w:spacing w:line="360" w:lineRule="auto"/>
              <w:jc w:val="center"/>
              <w:rPr>
                <w:rFonts w:hint="eastAsia" w:ascii="仿宋_GB2312" w:hAnsi="仿宋_GB2312" w:eastAsia="仿宋_GB2312" w:cs="仿宋_GB2312"/>
              </w:rPr>
            </w:pP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3.2</w:t>
            </w:r>
          </w:p>
        </w:tc>
        <w:tc>
          <w:tcPr>
            <w:tcW w:w="4229" w:type="dxa"/>
            <w:vAlign w:val="center"/>
          </w:tcPr>
          <w:p>
            <w:pPr>
              <w:snapToGrid w:val="0"/>
              <w:spacing w:line="400" w:lineRule="exact"/>
              <w:rPr>
                <w:rFonts w:hint="eastAsia" w:ascii="仿宋_GB2312" w:hAnsi="仿宋_GB2312" w:eastAsia="仿宋_GB2312" w:cs="仿宋_GB2312"/>
              </w:rPr>
            </w:pPr>
            <w:r>
              <w:rPr>
                <w:rFonts w:hint="eastAsia" w:ascii="仿宋_GB2312" w:hAnsi="仿宋_GB2312" w:eastAsia="仿宋_GB2312" w:cs="仿宋_GB2312"/>
              </w:rPr>
              <w:t>同类业绩</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3" w:hRule="atLeast"/>
          <w:jc w:val="center"/>
        </w:trPr>
        <w:tc>
          <w:tcPr>
            <w:tcW w:w="1561" w:type="dxa"/>
            <w:vMerge w:val="continue"/>
            <w:vAlign w:val="center"/>
          </w:tcPr>
          <w:p>
            <w:pPr>
              <w:spacing w:line="360" w:lineRule="auto"/>
              <w:jc w:val="center"/>
              <w:rPr>
                <w:rFonts w:hint="eastAsia" w:ascii="仿宋_GB2312" w:hAnsi="仿宋_GB2312" w:eastAsia="仿宋_GB2312" w:cs="仿宋_GB2312"/>
              </w:rPr>
            </w:pP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3.3</w:t>
            </w:r>
          </w:p>
        </w:tc>
        <w:tc>
          <w:tcPr>
            <w:tcW w:w="4229" w:type="dxa"/>
            <w:vAlign w:val="center"/>
          </w:tcPr>
          <w:p>
            <w:pPr>
              <w:pStyle w:val="14"/>
              <w:spacing w:line="360" w:lineRule="auto"/>
              <w:rPr>
                <w:rFonts w:hint="eastAsia" w:ascii="仿宋_GB2312" w:hAnsi="仿宋_GB2312" w:eastAsia="仿宋_GB2312" w:cs="仿宋_GB2312"/>
                <w:kern w:val="0"/>
              </w:rPr>
            </w:pPr>
            <w:r>
              <w:rPr>
                <w:rFonts w:hint="eastAsia" w:ascii="仿宋_GB2312" w:hAnsi="仿宋_GB2312" w:eastAsia="仿宋_GB2312" w:cs="仿宋_GB2312"/>
                <w:kern w:val="0"/>
              </w:rPr>
              <w:t>项目团队情况</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3" w:hRule="atLeast"/>
          <w:jc w:val="center"/>
        </w:trPr>
        <w:tc>
          <w:tcPr>
            <w:tcW w:w="1561" w:type="dxa"/>
            <w:vMerge w:val="continue"/>
            <w:vAlign w:val="center"/>
          </w:tcPr>
          <w:p>
            <w:pPr>
              <w:spacing w:line="360" w:lineRule="auto"/>
              <w:jc w:val="center"/>
              <w:rPr>
                <w:rFonts w:hint="eastAsia" w:ascii="仿宋_GB2312" w:hAnsi="仿宋_GB2312" w:eastAsia="仿宋_GB2312" w:cs="仿宋_GB2312"/>
              </w:rPr>
            </w:pPr>
          </w:p>
        </w:tc>
        <w:tc>
          <w:tcPr>
            <w:tcW w:w="1068" w:type="dxa"/>
            <w:vAlign w:val="center"/>
          </w:tcPr>
          <w:p>
            <w:pPr>
              <w:numPr>
                <w:ilvl w:val="255"/>
                <w:numId w:val="0"/>
              </w:numPr>
              <w:snapToGrid w:val="0"/>
              <w:spacing w:line="400" w:lineRule="exact"/>
              <w:rPr>
                <w:rFonts w:hint="eastAsia" w:ascii="仿宋_GB2312" w:hAnsi="仿宋_GB2312" w:eastAsia="仿宋_GB2312" w:cs="仿宋_GB2312"/>
                <w:sz w:val="24"/>
              </w:rPr>
            </w:pPr>
            <w:r>
              <w:rPr>
                <w:rFonts w:hint="eastAsia" w:ascii="仿宋_GB2312" w:hAnsi="仿宋_GB2312" w:eastAsia="仿宋_GB2312" w:cs="仿宋_GB2312"/>
                <w:sz w:val="24"/>
              </w:rPr>
              <w:t>3.4</w:t>
            </w:r>
          </w:p>
        </w:tc>
        <w:tc>
          <w:tcPr>
            <w:tcW w:w="4229" w:type="dxa"/>
            <w:vAlign w:val="center"/>
          </w:tcPr>
          <w:p>
            <w:pPr>
              <w:pStyle w:val="14"/>
              <w:spacing w:line="360" w:lineRule="auto"/>
              <w:rPr>
                <w:rFonts w:hint="eastAsia" w:ascii="仿宋_GB2312" w:hAnsi="仿宋_GB2312" w:eastAsia="仿宋_GB2312" w:cs="仿宋_GB2312"/>
                <w:kern w:val="0"/>
              </w:rPr>
            </w:pPr>
            <w:r>
              <w:rPr>
                <w:rFonts w:hint="eastAsia" w:ascii="仿宋_GB2312" w:hAnsi="仿宋_GB2312" w:eastAsia="仿宋_GB2312" w:cs="仿宋_GB2312"/>
                <w:kern w:val="0"/>
              </w:rPr>
              <w:t>商务条款响应一览表</w:t>
            </w:r>
          </w:p>
        </w:tc>
        <w:tc>
          <w:tcPr>
            <w:tcW w:w="627" w:type="dxa"/>
            <w:vAlign w:val="center"/>
          </w:tcPr>
          <w:p>
            <w:pPr>
              <w:spacing w:line="360" w:lineRule="auto"/>
              <w:jc w:val="center"/>
              <w:rPr>
                <w:rFonts w:hint="eastAsia" w:ascii="仿宋_GB2312" w:hAnsi="仿宋_GB2312" w:eastAsia="仿宋_GB2312" w:cs="仿宋_GB2312"/>
              </w:rPr>
            </w:pPr>
          </w:p>
        </w:tc>
        <w:tc>
          <w:tcPr>
            <w:tcW w:w="594" w:type="dxa"/>
            <w:vAlign w:val="center"/>
          </w:tcPr>
          <w:p>
            <w:pPr>
              <w:spacing w:line="360" w:lineRule="auto"/>
              <w:jc w:val="center"/>
              <w:rPr>
                <w:rFonts w:hint="eastAsia" w:ascii="仿宋_GB2312" w:hAnsi="仿宋_GB2312" w:eastAsia="仿宋_GB2312" w:cs="仿宋_GB2312"/>
              </w:rPr>
            </w:pPr>
          </w:p>
        </w:tc>
        <w:tc>
          <w:tcPr>
            <w:tcW w:w="616" w:type="dxa"/>
            <w:vAlign w:val="center"/>
          </w:tcPr>
          <w:p>
            <w:pPr>
              <w:spacing w:line="360" w:lineRule="auto"/>
              <w:jc w:val="center"/>
              <w:rPr>
                <w:rFonts w:hint="eastAsia" w:ascii="仿宋_GB2312" w:hAnsi="仿宋_GB2312" w:eastAsia="仿宋_GB2312" w:cs="仿宋_GB2312"/>
              </w:rPr>
            </w:pPr>
          </w:p>
        </w:tc>
        <w:tc>
          <w:tcPr>
            <w:tcW w:w="839" w:type="dxa"/>
            <w:vAlign w:val="center"/>
          </w:tcPr>
          <w:p>
            <w:pPr>
              <w:spacing w:line="360" w:lineRule="auto"/>
              <w:jc w:val="center"/>
              <w:rPr>
                <w:rFonts w:hint="eastAsia" w:ascii="仿宋_GB2312" w:hAnsi="仿宋_GB2312" w:eastAsia="仿宋_GB2312" w:cs="仿宋_GB231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2" w:hRule="atLeast"/>
          <w:jc w:val="center"/>
        </w:trPr>
        <w:tc>
          <w:tcPr>
            <w:tcW w:w="1561" w:type="dxa"/>
            <w:vMerge w:val="restart"/>
            <w:vAlign w:val="center"/>
          </w:tcPr>
          <w:p>
            <w:pPr>
              <w:spacing w:line="400" w:lineRule="exact"/>
              <w:jc w:val="center"/>
              <w:rPr>
                <w:rFonts w:hint="eastAsia" w:ascii="仿宋_GB2312" w:hAnsi="仿宋_GB2312" w:eastAsia="仿宋_GB2312" w:cs="仿宋_GB2312"/>
                <w:sz w:val="24"/>
              </w:rPr>
            </w:pPr>
            <w:r>
              <w:rPr>
                <w:rFonts w:hint="eastAsia" w:ascii="仿宋_GB2312" w:hAnsi="仿宋_GB2312" w:eastAsia="仿宋_GB2312" w:cs="仿宋_GB2312"/>
                <w:b/>
                <w:sz w:val="24"/>
              </w:rPr>
              <w:t>四、经济价格文件</w:t>
            </w:r>
          </w:p>
        </w:tc>
        <w:tc>
          <w:tcPr>
            <w:tcW w:w="1068" w:type="dxa"/>
            <w:vAlign w:val="center"/>
          </w:tcPr>
          <w:p>
            <w:pPr>
              <w:pStyle w:val="14"/>
              <w:spacing w:line="400" w:lineRule="exact"/>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4.1</w:t>
            </w:r>
          </w:p>
        </w:tc>
        <w:tc>
          <w:tcPr>
            <w:tcW w:w="4229" w:type="dxa"/>
            <w:vAlign w:val="center"/>
          </w:tcPr>
          <w:p>
            <w:pPr>
              <w:pStyle w:val="14"/>
              <w:spacing w:line="360" w:lineRule="auto"/>
              <w:jc w:val="left"/>
              <w:rPr>
                <w:rFonts w:hint="eastAsia" w:ascii="仿宋_GB2312" w:hAnsi="仿宋_GB2312" w:eastAsia="仿宋_GB2312" w:cs="仿宋_GB2312"/>
                <w:kern w:val="0"/>
              </w:rPr>
            </w:pPr>
            <w:r>
              <w:rPr>
                <w:rFonts w:hint="eastAsia" w:ascii="仿宋_GB2312" w:hAnsi="仿宋_GB2312" w:eastAsia="仿宋_GB2312" w:cs="仿宋_GB2312"/>
                <w:kern w:val="0"/>
              </w:rPr>
              <w:t>报价表（首次报价）</w:t>
            </w:r>
          </w:p>
        </w:tc>
        <w:tc>
          <w:tcPr>
            <w:tcW w:w="627" w:type="dxa"/>
            <w:vAlign w:val="center"/>
          </w:tcPr>
          <w:p>
            <w:pPr>
              <w:spacing w:line="400" w:lineRule="exact"/>
              <w:jc w:val="center"/>
              <w:rPr>
                <w:rFonts w:hint="eastAsia" w:ascii="仿宋_GB2312" w:hAnsi="仿宋_GB2312" w:eastAsia="仿宋_GB2312" w:cs="仿宋_GB2312"/>
                <w:sz w:val="24"/>
              </w:rPr>
            </w:pPr>
          </w:p>
        </w:tc>
        <w:tc>
          <w:tcPr>
            <w:tcW w:w="594" w:type="dxa"/>
            <w:vAlign w:val="center"/>
          </w:tcPr>
          <w:p>
            <w:pPr>
              <w:spacing w:line="400" w:lineRule="exact"/>
              <w:jc w:val="center"/>
              <w:rPr>
                <w:rFonts w:hint="eastAsia" w:ascii="仿宋_GB2312" w:hAnsi="仿宋_GB2312" w:eastAsia="仿宋_GB2312" w:cs="仿宋_GB2312"/>
                <w:sz w:val="24"/>
              </w:rPr>
            </w:pPr>
          </w:p>
        </w:tc>
        <w:tc>
          <w:tcPr>
            <w:tcW w:w="616" w:type="dxa"/>
            <w:vAlign w:val="center"/>
          </w:tcPr>
          <w:p>
            <w:pPr>
              <w:spacing w:line="400" w:lineRule="exact"/>
              <w:jc w:val="center"/>
              <w:rPr>
                <w:rFonts w:hint="eastAsia" w:ascii="仿宋_GB2312" w:hAnsi="仿宋_GB2312" w:eastAsia="仿宋_GB2312" w:cs="仿宋_GB2312"/>
                <w:sz w:val="24"/>
              </w:rPr>
            </w:pPr>
          </w:p>
        </w:tc>
        <w:tc>
          <w:tcPr>
            <w:tcW w:w="839" w:type="dxa"/>
            <w:vAlign w:val="center"/>
          </w:tcPr>
          <w:p>
            <w:pPr>
              <w:spacing w:line="400" w:lineRule="exact"/>
              <w:jc w:val="center"/>
              <w:rPr>
                <w:rFonts w:hint="eastAsia" w:ascii="仿宋_GB2312" w:hAnsi="仿宋_GB2312" w:eastAsia="仿宋_GB2312" w:cs="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2" w:hRule="atLeast"/>
          <w:jc w:val="center"/>
        </w:trPr>
        <w:tc>
          <w:tcPr>
            <w:tcW w:w="1561" w:type="dxa"/>
            <w:vMerge w:val="continue"/>
            <w:vAlign w:val="center"/>
          </w:tcPr>
          <w:p>
            <w:pPr>
              <w:spacing w:line="400" w:lineRule="exact"/>
              <w:jc w:val="center"/>
              <w:rPr>
                <w:rFonts w:hint="eastAsia" w:ascii="仿宋_GB2312" w:hAnsi="仿宋_GB2312" w:eastAsia="仿宋_GB2312" w:cs="仿宋_GB2312"/>
                <w:b/>
                <w:sz w:val="24"/>
              </w:rPr>
            </w:pPr>
          </w:p>
        </w:tc>
        <w:tc>
          <w:tcPr>
            <w:tcW w:w="1068" w:type="dxa"/>
            <w:vAlign w:val="center"/>
          </w:tcPr>
          <w:p>
            <w:pPr>
              <w:pStyle w:val="14"/>
              <w:spacing w:line="400" w:lineRule="exact"/>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4.2</w:t>
            </w:r>
          </w:p>
        </w:tc>
        <w:tc>
          <w:tcPr>
            <w:tcW w:w="4229" w:type="dxa"/>
            <w:vAlign w:val="center"/>
          </w:tcPr>
          <w:p>
            <w:pPr>
              <w:pStyle w:val="14"/>
              <w:spacing w:line="360" w:lineRule="auto"/>
              <w:jc w:val="left"/>
              <w:rPr>
                <w:rFonts w:hint="eastAsia" w:ascii="仿宋_GB2312" w:hAnsi="仿宋_GB2312" w:eastAsia="仿宋_GB2312" w:cs="仿宋_GB2312"/>
                <w:kern w:val="0"/>
              </w:rPr>
            </w:pPr>
            <w:r>
              <w:rPr>
                <w:rFonts w:hint="eastAsia" w:ascii="仿宋_GB2312" w:hAnsi="仿宋_GB2312" w:eastAsia="仿宋_GB2312" w:cs="仿宋_GB2312"/>
                <w:kern w:val="0"/>
              </w:rPr>
              <w:t>报价表（最终报价）</w:t>
            </w:r>
          </w:p>
        </w:tc>
        <w:tc>
          <w:tcPr>
            <w:tcW w:w="627" w:type="dxa"/>
            <w:vAlign w:val="center"/>
          </w:tcPr>
          <w:p>
            <w:pPr>
              <w:spacing w:line="400" w:lineRule="exact"/>
              <w:jc w:val="center"/>
              <w:rPr>
                <w:rFonts w:hint="eastAsia" w:ascii="仿宋_GB2312" w:hAnsi="仿宋_GB2312" w:eastAsia="仿宋_GB2312" w:cs="仿宋_GB2312"/>
                <w:sz w:val="24"/>
              </w:rPr>
            </w:pPr>
          </w:p>
        </w:tc>
        <w:tc>
          <w:tcPr>
            <w:tcW w:w="594" w:type="dxa"/>
            <w:vAlign w:val="center"/>
          </w:tcPr>
          <w:p>
            <w:pPr>
              <w:spacing w:line="400" w:lineRule="exact"/>
              <w:jc w:val="center"/>
              <w:rPr>
                <w:rFonts w:hint="eastAsia" w:ascii="仿宋_GB2312" w:hAnsi="仿宋_GB2312" w:eastAsia="仿宋_GB2312" w:cs="仿宋_GB2312"/>
                <w:sz w:val="24"/>
              </w:rPr>
            </w:pPr>
          </w:p>
        </w:tc>
        <w:tc>
          <w:tcPr>
            <w:tcW w:w="616" w:type="dxa"/>
            <w:vAlign w:val="center"/>
          </w:tcPr>
          <w:p>
            <w:pPr>
              <w:spacing w:line="400" w:lineRule="exact"/>
              <w:jc w:val="center"/>
              <w:rPr>
                <w:rFonts w:hint="eastAsia" w:ascii="仿宋_GB2312" w:hAnsi="仿宋_GB2312" w:eastAsia="仿宋_GB2312" w:cs="仿宋_GB2312"/>
                <w:sz w:val="24"/>
              </w:rPr>
            </w:pPr>
          </w:p>
        </w:tc>
        <w:tc>
          <w:tcPr>
            <w:tcW w:w="839" w:type="dxa"/>
            <w:vAlign w:val="center"/>
          </w:tcPr>
          <w:p>
            <w:pPr>
              <w:spacing w:line="4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响应文件中无须提供。</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1" w:hRule="atLeast"/>
          <w:jc w:val="center"/>
        </w:trPr>
        <w:tc>
          <w:tcPr>
            <w:tcW w:w="1561" w:type="dxa"/>
            <w:vMerge w:val="restart"/>
            <w:vAlign w:val="center"/>
          </w:tcPr>
          <w:p>
            <w:pPr>
              <w:spacing w:line="400" w:lineRule="exact"/>
              <w:jc w:val="center"/>
              <w:rPr>
                <w:rFonts w:hint="eastAsia" w:ascii="仿宋_GB2312" w:hAnsi="仿宋_GB2312" w:eastAsia="仿宋_GB2312" w:cs="仿宋_GB2312"/>
                <w:sz w:val="24"/>
              </w:rPr>
            </w:pPr>
            <w:r>
              <w:rPr>
                <w:rFonts w:hint="eastAsia" w:ascii="仿宋_GB2312" w:hAnsi="仿宋_GB2312" w:eastAsia="仿宋_GB2312" w:cs="仿宋_GB2312"/>
                <w:b/>
                <w:bCs/>
                <w:sz w:val="24"/>
              </w:rPr>
              <w:t>五、其他文件</w:t>
            </w:r>
          </w:p>
        </w:tc>
        <w:tc>
          <w:tcPr>
            <w:tcW w:w="1068" w:type="dxa"/>
            <w:vAlign w:val="center"/>
          </w:tcPr>
          <w:p>
            <w:pPr>
              <w:pStyle w:val="14"/>
              <w:spacing w:line="400" w:lineRule="exact"/>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5.1</w:t>
            </w:r>
          </w:p>
        </w:tc>
        <w:tc>
          <w:tcPr>
            <w:tcW w:w="4229" w:type="dxa"/>
            <w:vAlign w:val="center"/>
          </w:tcPr>
          <w:p>
            <w:pPr>
              <w:pStyle w:val="14"/>
              <w:spacing w:line="360" w:lineRule="auto"/>
              <w:rPr>
                <w:rFonts w:hint="eastAsia" w:ascii="仿宋_GB2312" w:hAnsi="仿宋_GB2312" w:eastAsia="仿宋_GB2312" w:cs="仿宋_GB2312"/>
                <w:kern w:val="0"/>
              </w:rPr>
            </w:pPr>
            <w:r>
              <w:rPr>
                <w:rFonts w:hint="eastAsia" w:ascii="仿宋_GB2312" w:hAnsi="仿宋_GB2312" w:eastAsia="仿宋_GB2312" w:cs="仿宋_GB2312"/>
                <w:kern w:val="0"/>
              </w:rPr>
              <w:t>中小企业声明函（如是）</w:t>
            </w:r>
          </w:p>
        </w:tc>
        <w:tc>
          <w:tcPr>
            <w:tcW w:w="627" w:type="dxa"/>
            <w:vAlign w:val="center"/>
          </w:tcPr>
          <w:p>
            <w:pPr>
              <w:spacing w:line="400" w:lineRule="exact"/>
              <w:jc w:val="center"/>
              <w:rPr>
                <w:rFonts w:hint="eastAsia" w:ascii="仿宋_GB2312" w:hAnsi="仿宋_GB2312" w:eastAsia="仿宋_GB2312" w:cs="仿宋_GB2312"/>
                <w:sz w:val="24"/>
              </w:rPr>
            </w:pPr>
          </w:p>
        </w:tc>
        <w:tc>
          <w:tcPr>
            <w:tcW w:w="594" w:type="dxa"/>
            <w:vAlign w:val="center"/>
          </w:tcPr>
          <w:p>
            <w:pPr>
              <w:spacing w:line="400" w:lineRule="exact"/>
              <w:jc w:val="center"/>
              <w:rPr>
                <w:rFonts w:hint="eastAsia" w:ascii="仿宋_GB2312" w:hAnsi="仿宋_GB2312" w:eastAsia="仿宋_GB2312" w:cs="仿宋_GB2312"/>
                <w:sz w:val="24"/>
              </w:rPr>
            </w:pPr>
          </w:p>
        </w:tc>
        <w:tc>
          <w:tcPr>
            <w:tcW w:w="616" w:type="dxa"/>
            <w:vAlign w:val="center"/>
          </w:tcPr>
          <w:p>
            <w:pPr>
              <w:spacing w:line="400" w:lineRule="exact"/>
              <w:jc w:val="center"/>
              <w:rPr>
                <w:rFonts w:hint="eastAsia" w:ascii="仿宋_GB2312" w:hAnsi="仿宋_GB2312" w:eastAsia="仿宋_GB2312" w:cs="仿宋_GB2312"/>
                <w:sz w:val="24"/>
              </w:rPr>
            </w:pPr>
          </w:p>
        </w:tc>
        <w:tc>
          <w:tcPr>
            <w:tcW w:w="839" w:type="dxa"/>
            <w:vAlign w:val="center"/>
          </w:tcPr>
          <w:p>
            <w:pPr>
              <w:spacing w:line="400" w:lineRule="exact"/>
              <w:jc w:val="center"/>
              <w:rPr>
                <w:rFonts w:hint="eastAsia" w:ascii="仿宋_GB2312" w:hAnsi="仿宋_GB2312" w:eastAsia="仿宋_GB2312" w:cs="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21" w:hRule="atLeast"/>
          <w:jc w:val="center"/>
        </w:trPr>
        <w:tc>
          <w:tcPr>
            <w:tcW w:w="1561" w:type="dxa"/>
            <w:vMerge w:val="continue"/>
            <w:vAlign w:val="center"/>
          </w:tcPr>
          <w:p>
            <w:pPr>
              <w:spacing w:line="400" w:lineRule="exact"/>
              <w:jc w:val="center"/>
              <w:rPr>
                <w:rFonts w:hint="eastAsia" w:ascii="仿宋_GB2312" w:hAnsi="仿宋_GB2312" w:eastAsia="仿宋_GB2312" w:cs="仿宋_GB2312"/>
                <w:b/>
                <w:bCs/>
                <w:sz w:val="24"/>
              </w:rPr>
            </w:pPr>
          </w:p>
        </w:tc>
        <w:tc>
          <w:tcPr>
            <w:tcW w:w="1068" w:type="dxa"/>
            <w:vAlign w:val="center"/>
          </w:tcPr>
          <w:p>
            <w:pPr>
              <w:pStyle w:val="14"/>
              <w:spacing w:line="400" w:lineRule="exact"/>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5.2</w:t>
            </w:r>
          </w:p>
        </w:tc>
        <w:tc>
          <w:tcPr>
            <w:tcW w:w="4229" w:type="dxa"/>
            <w:vAlign w:val="center"/>
          </w:tcPr>
          <w:p>
            <w:pPr>
              <w:pStyle w:val="14"/>
              <w:spacing w:line="360" w:lineRule="auto"/>
              <w:rPr>
                <w:rFonts w:hint="eastAsia" w:ascii="仿宋_GB2312" w:hAnsi="仿宋_GB2312" w:eastAsia="仿宋_GB2312" w:cs="仿宋_GB2312"/>
                <w:kern w:val="0"/>
              </w:rPr>
            </w:pPr>
            <w:r>
              <w:rPr>
                <w:rFonts w:hint="eastAsia" w:ascii="仿宋_GB2312" w:hAnsi="仿宋_GB2312" w:eastAsia="仿宋_GB2312" w:cs="仿宋_GB2312"/>
                <w:kern w:val="0"/>
              </w:rPr>
              <w:t>监狱企业的证明文件（如是）</w:t>
            </w:r>
          </w:p>
        </w:tc>
        <w:tc>
          <w:tcPr>
            <w:tcW w:w="627" w:type="dxa"/>
            <w:vAlign w:val="center"/>
          </w:tcPr>
          <w:p>
            <w:pPr>
              <w:spacing w:line="400" w:lineRule="exact"/>
              <w:jc w:val="center"/>
              <w:rPr>
                <w:rFonts w:hint="eastAsia" w:ascii="仿宋_GB2312" w:hAnsi="仿宋_GB2312" w:eastAsia="仿宋_GB2312" w:cs="仿宋_GB2312"/>
                <w:sz w:val="24"/>
              </w:rPr>
            </w:pPr>
          </w:p>
        </w:tc>
        <w:tc>
          <w:tcPr>
            <w:tcW w:w="594" w:type="dxa"/>
            <w:vAlign w:val="center"/>
          </w:tcPr>
          <w:p>
            <w:pPr>
              <w:spacing w:line="400" w:lineRule="exact"/>
              <w:jc w:val="center"/>
              <w:rPr>
                <w:rFonts w:hint="eastAsia" w:ascii="仿宋_GB2312" w:hAnsi="仿宋_GB2312" w:eastAsia="仿宋_GB2312" w:cs="仿宋_GB2312"/>
                <w:sz w:val="24"/>
              </w:rPr>
            </w:pPr>
          </w:p>
        </w:tc>
        <w:tc>
          <w:tcPr>
            <w:tcW w:w="616" w:type="dxa"/>
            <w:vAlign w:val="center"/>
          </w:tcPr>
          <w:p>
            <w:pPr>
              <w:spacing w:line="400" w:lineRule="exact"/>
              <w:jc w:val="center"/>
              <w:rPr>
                <w:rFonts w:hint="eastAsia" w:ascii="仿宋_GB2312" w:hAnsi="仿宋_GB2312" w:eastAsia="仿宋_GB2312" w:cs="仿宋_GB2312"/>
                <w:sz w:val="24"/>
              </w:rPr>
            </w:pPr>
          </w:p>
        </w:tc>
        <w:tc>
          <w:tcPr>
            <w:tcW w:w="839" w:type="dxa"/>
            <w:vAlign w:val="center"/>
          </w:tcPr>
          <w:p>
            <w:pPr>
              <w:spacing w:line="400" w:lineRule="exact"/>
              <w:jc w:val="center"/>
              <w:rPr>
                <w:rFonts w:hint="eastAsia" w:ascii="仿宋_GB2312" w:hAnsi="仿宋_GB2312" w:eastAsia="仿宋_GB2312" w:cs="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88" w:hRule="atLeast"/>
          <w:jc w:val="center"/>
        </w:trPr>
        <w:tc>
          <w:tcPr>
            <w:tcW w:w="1561" w:type="dxa"/>
            <w:vMerge w:val="continue"/>
            <w:vAlign w:val="center"/>
          </w:tcPr>
          <w:p>
            <w:pPr>
              <w:spacing w:line="400" w:lineRule="exact"/>
              <w:jc w:val="center"/>
              <w:rPr>
                <w:rFonts w:hint="eastAsia" w:ascii="仿宋_GB2312" w:hAnsi="仿宋_GB2312" w:eastAsia="仿宋_GB2312" w:cs="仿宋_GB2312"/>
                <w:b/>
                <w:bCs/>
                <w:sz w:val="24"/>
              </w:rPr>
            </w:pPr>
          </w:p>
        </w:tc>
        <w:tc>
          <w:tcPr>
            <w:tcW w:w="1068" w:type="dxa"/>
            <w:vAlign w:val="center"/>
          </w:tcPr>
          <w:p>
            <w:pPr>
              <w:pStyle w:val="14"/>
              <w:spacing w:line="400" w:lineRule="exact"/>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5.3</w:t>
            </w:r>
          </w:p>
        </w:tc>
        <w:tc>
          <w:tcPr>
            <w:tcW w:w="4229" w:type="dxa"/>
            <w:vAlign w:val="center"/>
          </w:tcPr>
          <w:p>
            <w:pPr>
              <w:pStyle w:val="14"/>
              <w:spacing w:line="360" w:lineRule="auto"/>
              <w:rPr>
                <w:rFonts w:hint="eastAsia" w:ascii="仿宋_GB2312" w:hAnsi="仿宋_GB2312" w:eastAsia="仿宋_GB2312" w:cs="仿宋_GB2312"/>
                <w:kern w:val="0"/>
              </w:rPr>
            </w:pPr>
            <w:r>
              <w:rPr>
                <w:rFonts w:hint="eastAsia" w:ascii="仿宋_GB2312" w:hAnsi="仿宋_GB2312" w:eastAsia="仿宋_GB2312" w:cs="仿宋_GB2312"/>
                <w:kern w:val="0"/>
              </w:rPr>
              <w:t>残疾人福利性单位声明函（如是）</w:t>
            </w:r>
          </w:p>
        </w:tc>
        <w:tc>
          <w:tcPr>
            <w:tcW w:w="627" w:type="dxa"/>
            <w:vAlign w:val="center"/>
          </w:tcPr>
          <w:p>
            <w:pPr>
              <w:spacing w:line="400" w:lineRule="exact"/>
              <w:jc w:val="center"/>
              <w:rPr>
                <w:rFonts w:hint="eastAsia" w:ascii="仿宋_GB2312" w:hAnsi="仿宋_GB2312" w:eastAsia="仿宋_GB2312" w:cs="仿宋_GB2312"/>
                <w:sz w:val="24"/>
              </w:rPr>
            </w:pPr>
          </w:p>
        </w:tc>
        <w:tc>
          <w:tcPr>
            <w:tcW w:w="594" w:type="dxa"/>
            <w:vAlign w:val="center"/>
          </w:tcPr>
          <w:p>
            <w:pPr>
              <w:spacing w:line="400" w:lineRule="exact"/>
              <w:jc w:val="center"/>
              <w:rPr>
                <w:rFonts w:hint="eastAsia" w:ascii="仿宋_GB2312" w:hAnsi="仿宋_GB2312" w:eastAsia="仿宋_GB2312" w:cs="仿宋_GB2312"/>
                <w:sz w:val="24"/>
              </w:rPr>
            </w:pPr>
          </w:p>
        </w:tc>
        <w:tc>
          <w:tcPr>
            <w:tcW w:w="616" w:type="dxa"/>
            <w:vAlign w:val="center"/>
          </w:tcPr>
          <w:p>
            <w:pPr>
              <w:spacing w:line="400" w:lineRule="exact"/>
              <w:jc w:val="center"/>
              <w:rPr>
                <w:rFonts w:hint="eastAsia" w:ascii="仿宋_GB2312" w:hAnsi="仿宋_GB2312" w:eastAsia="仿宋_GB2312" w:cs="仿宋_GB2312"/>
                <w:sz w:val="24"/>
              </w:rPr>
            </w:pPr>
          </w:p>
        </w:tc>
        <w:tc>
          <w:tcPr>
            <w:tcW w:w="839" w:type="dxa"/>
            <w:vAlign w:val="center"/>
          </w:tcPr>
          <w:p>
            <w:pPr>
              <w:spacing w:line="400" w:lineRule="exact"/>
              <w:jc w:val="center"/>
              <w:rPr>
                <w:rFonts w:hint="eastAsia" w:ascii="仿宋_GB2312" w:hAnsi="仿宋_GB2312" w:eastAsia="仿宋_GB2312" w:cs="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6" w:hRule="atLeast"/>
          <w:jc w:val="center"/>
        </w:trPr>
        <w:tc>
          <w:tcPr>
            <w:tcW w:w="1561" w:type="dxa"/>
            <w:vMerge w:val="continue"/>
            <w:vAlign w:val="center"/>
          </w:tcPr>
          <w:p>
            <w:pPr>
              <w:spacing w:line="400" w:lineRule="exact"/>
              <w:jc w:val="center"/>
              <w:rPr>
                <w:rFonts w:hint="eastAsia" w:ascii="仿宋_GB2312" w:hAnsi="仿宋_GB2312" w:eastAsia="仿宋_GB2312" w:cs="仿宋_GB2312"/>
                <w:b/>
                <w:bCs/>
                <w:sz w:val="24"/>
              </w:rPr>
            </w:pPr>
          </w:p>
        </w:tc>
        <w:tc>
          <w:tcPr>
            <w:tcW w:w="1068" w:type="dxa"/>
            <w:vAlign w:val="center"/>
          </w:tcPr>
          <w:p>
            <w:pPr>
              <w:pStyle w:val="14"/>
              <w:spacing w:line="400" w:lineRule="exact"/>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5.4</w:t>
            </w:r>
          </w:p>
        </w:tc>
        <w:tc>
          <w:tcPr>
            <w:tcW w:w="4229" w:type="dxa"/>
            <w:vAlign w:val="center"/>
          </w:tcPr>
          <w:p>
            <w:pPr>
              <w:pStyle w:val="14"/>
              <w:spacing w:line="360" w:lineRule="auto"/>
              <w:rPr>
                <w:rFonts w:hint="eastAsia" w:ascii="仿宋_GB2312" w:hAnsi="仿宋_GB2312" w:eastAsia="仿宋_GB2312" w:cs="仿宋_GB2312"/>
                <w:kern w:val="0"/>
              </w:rPr>
            </w:pPr>
            <w:r>
              <w:rPr>
                <w:rFonts w:hint="eastAsia" w:ascii="仿宋_GB2312" w:hAnsi="仿宋_GB2312" w:eastAsia="仿宋_GB2312" w:cs="仿宋_GB2312"/>
                <w:kern w:val="0"/>
              </w:rPr>
              <w:t>政策功能情况（如是）</w:t>
            </w:r>
          </w:p>
        </w:tc>
        <w:tc>
          <w:tcPr>
            <w:tcW w:w="627" w:type="dxa"/>
            <w:vAlign w:val="center"/>
          </w:tcPr>
          <w:p>
            <w:pPr>
              <w:spacing w:line="400" w:lineRule="exact"/>
              <w:jc w:val="center"/>
              <w:rPr>
                <w:rFonts w:hint="eastAsia" w:ascii="仿宋_GB2312" w:hAnsi="仿宋_GB2312" w:eastAsia="仿宋_GB2312" w:cs="仿宋_GB2312"/>
                <w:sz w:val="24"/>
              </w:rPr>
            </w:pPr>
          </w:p>
        </w:tc>
        <w:tc>
          <w:tcPr>
            <w:tcW w:w="594" w:type="dxa"/>
            <w:vAlign w:val="center"/>
          </w:tcPr>
          <w:p>
            <w:pPr>
              <w:spacing w:line="400" w:lineRule="exact"/>
              <w:jc w:val="center"/>
              <w:rPr>
                <w:rFonts w:hint="eastAsia" w:ascii="仿宋_GB2312" w:hAnsi="仿宋_GB2312" w:eastAsia="仿宋_GB2312" w:cs="仿宋_GB2312"/>
                <w:sz w:val="24"/>
              </w:rPr>
            </w:pPr>
          </w:p>
        </w:tc>
        <w:tc>
          <w:tcPr>
            <w:tcW w:w="616" w:type="dxa"/>
            <w:vAlign w:val="center"/>
          </w:tcPr>
          <w:p>
            <w:pPr>
              <w:spacing w:line="400" w:lineRule="exact"/>
              <w:jc w:val="center"/>
              <w:rPr>
                <w:rFonts w:hint="eastAsia" w:ascii="仿宋_GB2312" w:hAnsi="仿宋_GB2312" w:eastAsia="仿宋_GB2312" w:cs="仿宋_GB2312"/>
                <w:sz w:val="24"/>
              </w:rPr>
            </w:pPr>
          </w:p>
        </w:tc>
        <w:tc>
          <w:tcPr>
            <w:tcW w:w="839" w:type="dxa"/>
            <w:vAlign w:val="center"/>
          </w:tcPr>
          <w:p>
            <w:pPr>
              <w:spacing w:line="400" w:lineRule="exact"/>
              <w:jc w:val="center"/>
              <w:rPr>
                <w:rFonts w:hint="eastAsia" w:ascii="仿宋_GB2312" w:hAnsi="仿宋_GB2312" w:eastAsia="仿宋_GB2312" w:cs="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6" w:hRule="atLeast"/>
          <w:jc w:val="center"/>
        </w:trPr>
        <w:tc>
          <w:tcPr>
            <w:tcW w:w="1561" w:type="dxa"/>
            <w:vMerge w:val="continue"/>
            <w:vAlign w:val="center"/>
          </w:tcPr>
          <w:p>
            <w:pPr>
              <w:spacing w:line="400" w:lineRule="exact"/>
              <w:jc w:val="center"/>
              <w:rPr>
                <w:rFonts w:hint="eastAsia" w:ascii="仿宋_GB2312" w:hAnsi="仿宋_GB2312" w:eastAsia="仿宋_GB2312" w:cs="仿宋_GB2312"/>
                <w:b/>
                <w:bCs/>
                <w:sz w:val="24"/>
              </w:rPr>
            </w:pPr>
          </w:p>
        </w:tc>
        <w:tc>
          <w:tcPr>
            <w:tcW w:w="1068" w:type="dxa"/>
            <w:vAlign w:val="center"/>
          </w:tcPr>
          <w:p>
            <w:pPr>
              <w:pStyle w:val="14"/>
              <w:spacing w:line="400" w:lineRule="exact"/>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5.5</w:t>
            </w:r>
          </w:p>
        </w:tc>
        <w:tc>
          <w:tcPr>
            <w:tcW w:w="4229" w:type="dxa"/>
            <w:vAlign w:val="center"/>
          </w:tcPr>
          <w:p>
            <w:pPr>
              <w:pStyle w:val="14"/>
              <w:spacing w:line="360" w:lineRule="auto"/>
              <w:rPr>
                <w:rFonts w:hint="eastAsia" w:ascii="仿宋_GB2312" w:hAnsi="仿宋_GB2312" w:eastAsia="仿宋_GB2312" w:cs="仿宋_GB2312"/>
                <w:kern w:val="0"/>
              </w:rPr>
            </w:pPr>
            <w:r>
              <w:rPr>
                <w:rFonts w:hint="eastAsia" w:ascii="仿宋_GB2312" w:hAnsi="仿宋_GB2312" w:eastAsia="仿宋_GB2312" w:cs="仿宋_GB2312"/>
                <w:kern w:val="0"/>
              </w:rPr>
              <w:t>国家级贫困地区农副产品情况（如是）</w:t>
            </w:r>
          </w:p>
        </w:tc>
        <w:tc>
          <w:tcPr>
            <w:tcW w:w="627" w:type="dxa"/>
            <w:vAlign w:val="center"/>
          </w:tcPr>
          <w:p>
            <w:pPr>
              <w:spacing w:line="400" w:lineRule="exact"/>
              <w:jc w:val="center"/>
              <w:rPr>
                <w:rFonts w:hint="eastAsia" w:ascii="仿宋_GB2312" w:hAnsi="仿宋_GB2312" w:eastAsia="仿宋_GB2312" w:cs="仿宋_GB2312"/>
                <w:sz w:val="24"/>
              </w:rPr>
            </w:pPr>
          </w:p>
        </w:tc>
        <w:tc>
          <w:tcPr>
            <w:tcW w:w="594" w:type="dxa"/>
            <w:vAlign w:val="center"/>
          </w:tcPr>
          <w:p>
            <w:pPr>
              <w:spacing w:line="400" w:lineRule="exact"/>
              <w:jc w:val="center"/>
              <w:rPr>
                <w:rFonts w:hint="eastAsia" w:ascii="仿宋_GB2312" w:hAnsi="仿宋_GB2312" w:eastAsia="仿宋_GB2312" w:cs="仿宋_GB2312"/>
                <w:sz w:val="24"/>
              </w:rPr>
            </w:pPr>
          </w:p>
        </w:tc>
        <w:tc>
          <w:tcPr>
            <w:tcW w:w="616" w:type="dxa"/>
            <w:vAlign w:val="center"/>
          </w:tcPr>
          <w:p>
            <w:pPr>
              <w:spacing w:line="400" w:lineRule="exact"/>
              <w:jc w:val="center"/>
              <w:rPr>
                <w:rFonts w:hint="eastAsia" w:ascii="仿宋_GB2312" w:hAnsi="仿宋_GB2312" w:eastAsia="仿宋_GB2312" w:cs="仿宋_GB2312"/>
                <w:sz w:val="24"/>
              </w:rPr>
            </w:pPr>
          </w:p>
        </w:tc>
        <w:tc>
          <w:tcPr>
            <w:tcW w:w="839" w:type="dxa"/>
            <w:vAlign w:val="center"/>
          </w:tcPr>
          <w:p>
            <w:pPr>
              <w:spacing w:line="400" w:lineRule="exact"/>
              <w:jc w:val="center"/>
              <w:rPr>
                <w:rFonts w:hint="eastAsia" w:ascii="仿宋_GB2312" w:hAnsi="仿宋_GB2312" w:eastAsia="仿宋_GB2312" w:cs="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6" w:hRule="atLeast"/>
          <w:jc w:val="center"/>
        </w:trPr>
        <w:tc>
          <w:tcPr>
            <w:tcW w:w="1561" w:type="dxa"/>
            <w:vMerge w:val="continue"/>
            <w:vAlign w:val="center"/>
          </w:tcPr>
          <w:p>
            <w:pPr>
              <w:spacing w:line="400" w:lineRule="exact"/>
              <w:jc w:val="center"/>
              <w:rPr>
                <w:rFonts w:hint="eastAsia" w:ascii="仿宋_GB2312" w:hAnsi="仿宋_GB2312" w:eastAsia="仿宋_GB2312" w:cs="仿宋_GB2312"/>
                <w:b/>
                <w:bCs/>
                <w:sz w:val="24"/>
              </w:rPr>
            </w:pPr>
          </w:p>
        </w:tc>
        <w:tc>
          <w:tcPr>
            <w:tcW w:w="1068" w:type="dxa"/>
            <w:vAlign w:val="center"/>
          </w:tcPr>
          <w:p>
            <w:pPr>
              <w:pStyle w:val="14"/>
              <w:spacing w:line="400" w:lineRule="exact"/>
              <w:jc w:val="left"/>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5.6</w:t>
            </w:r>
          </w:p>
        </w:tc>
        <w:tc>
          <w:tcPr>
            <w:tcW w:w="4229" w:type="dxa"/>
            <w:vAlign w:val="center"/>
          </w:tcPr>
          <w:p>
            <w:pPr>
              <w:pStyle w:val="14"/>
              <w:spacing w:line="360" w:lineRule="auto"/>
              <w:rPr>
                <w:rFonts w:hint="eastAsia" w:ascii="仿宋_GB2312" w:hAnsi="仿宋_GB2312" w:eastAsia="仿宋_GB2312" w:cs="仿宋_GB2312"/>
                <w:kern w:val="0"/>
              </w:rPr>
            </w:pPr>
            <w:r>
              <w:rPr>
                <w:rFonts w:hint="eastAsia" w:ascii="仿宋_GB2312" w:hAnsi="仿宋_GB2312" w:eastAsia="仿宋_GB2312" w:cs="仿宋_GB2312"/>
                <w:kern w:val="0"/>
              </w:rPr>
              <w:t>国家级贫困地区物业服务情况（如是）</w:t>
            </w:r>
          </w:p>
        </w:tc>
        <w:tc>
          <w:tcPr>
            <w:tcW w:w="627" w:type="dxa"/>
            <w:vAlign w:val="center"/>
          </w:tcPr>
          <w:p>
            <w:pPr>
              <w:spacing w:line="400" w:lineRule="exact"/>
              <w:jc w:val="center"/>
              <w:rPr>
                <w:rFonts w:hint="eastAsia" w:ascii="仿宋_GB2312" w:hAnsi="仿宋_GB2312" w:eastAsia="仿宋_GB2312" w:cs="仿宋_GB2312"/>
                <w:sz w:val="24"/>
              </w:rPr>
            </w:pPr>
          </w:p>
        </w:tc>
        <w:tc>
          <w:tcPr>
            <w:tcW w:w="594" w:type="dxa"/>
            <w:vAlign w:val="center"/>
          </w:tcPr>
          <w:p>
            <w:pPr>
              <w:spacing w:line="400" w:lineRule="exact"/>
              <w:jc w:val="center"/>
              <w:rPr>
                <w:rFonts w:hint="eastAsia" w:ascii="仿宋_GB2312" w:hAnsi="仿宋_GB2312" w:eastAsia="仿宋_GB2312" w:cs="仿宋_GB2312"/>
                <w:sz w:val="24"/>
              </w:rPr>
            </w:pPr>
          </w:p>
        </w:tc>
        <w:tc>
          <w:tcPr>
            <w:tcW w:w="616" w:type="dxa"/>
            <w:vAlign w:val="center"/>
          </w:tcPr>
          <w:p>
            <w:pPr>
              <w:spacing w:line="400" w:lineRule="exact"/>
              <w:jc w:val="center"/>
              <w:rPr>
                <w:rFonts w:hint="eastAsia" w:ascii="仿宋_GB2312" w:hAnsi="仿宋_GB2312" w:eastAsia="仿宋_GB2312" w:cs="仿宋_GB2312"/>
                <w:sz w:val="24"/>
              </w:rPr>
            </w:pPr>
          </w:p>
        </w:tc>
        <w:tc>
          <w:tcPr>
            <w:tcW w:w="839" w:type="dxa"/>
            <w:vAlign w:val="center"/>
          </w:tcPr>
          <w:p>
            <w:pPr>
              <w:spacing w:line="400" w:lineRule="exact"/>
              <w:jc w:val="center"/>
              <w:rPr>
                <w:rFonts w:hint="eastAsia" w:ascii="仿宋_GB2312" w:hAnsi="仿宋_GB2312" w:eastAsia="仿宋_GB2312" w:cs="仿宋_GB2312"/>
                <w:sz w:val="24"/>
              </w:rPr>
            </w:pPr>
          </w:p>
        </w:tc>
      </w:tr>
    </w:tbl>
    <w:p>
      <w:pPr>
        <w:spacing w:line="360" w:lineRule="auto"/>
        <w:jc w:val="center"/>
        <w:rPr>
          <w:rFonts w:hint="eastAsia" w:ascii="仿宋_GB2312" w:hAnsi="仿宋_GB2312" w:eastAsia="仿宋_GB2312" w:cs="仿宋_GB2312"/>
          <w:b/>
          <w:sz w:val="44"/>
        </w:rPr>
      </w:pPr>
    </w:p>
    <w:p>
      <w:pPr>
        <w:pStyle w:val="23"/>
        <w:ind w:firstLine="440"/>
        <w:rPr>
          <w:rFonts w:hint="eastAsia" w:ascii="仿宋_GB2312" w:hAnsi="仿宋_GB2312" w:eastAsia="仿宋_GB2312" w:cs="仿宋_GB2312"/>
          <w:b/>
          <w:sz w:val="44"/>
        </w:rPr>
      </w:pPr>
    </w:p>
    <w:p>
      <w:pPr>
        <w:pStyle w:val="23"/>
        <w:ind w:firstLine="440"/>
        <w:rPr>
          <w:rFonts w:hint="eastAsia" w:ascii="仿宋_GB2312" w:hAnsi="仿宋_GB2312" w:eastAsia="仿宋_GB2312" w:cs="仿宋_GB2312"/>
          <w:b/>
          <w:sz w:val="44"/>
        </w:rPr>
      </w:pPr>
    </w:p>
    <w:p>
      <w:pPr>
        <w:pStyle w:val="23"/>
        <w:ind w:firstLine="440"/>
        <w:rPr>
          <w:rFonts w:hint="eastAsia" w:ascii="仿宋_GB2312" w:hAnsi="仿宋_GB2312" w:eastAsia="仿宋_GB2312" w:cs="仿宋_GB2312"/>
          <w:b/>
          <w:sz w:val="44"/>
        </w:rPr>
      </w:pPr>
    </w:p>
    <w:p>
      <w:pPr>
        <w:pStyle w:val="23"/>
        <w:ind w:firstLine="440"/>
        <w:rPr>
          <w:rFonts w:hint="eastAsia" w:ascii="仿宋_GB2312" w:hAnsi="仿宋_GB2312" w:eastAsia="仿宋_GB2312" w:cs="仿宋_GB2312"/>
          <w:b/>
          <w:sz w:val="44"/>
        </w:rPr>
      </w:pPr>
    </w:p>
    <w:p>
      <w:pPr>
        <w:pStyle w:val="23"/>
        <w:ind w:firstLine="440"/>
        <w:rPr>
          <w:rFonts w:hint="eastAsia" w:ascii="仿宋_GB2312" w:hAnsi="仿宋_GB2312" w:eastAsia="仿宋_GB2312" w:cs="仿宋_GB2312"/>
          <w:b/>
          <w:sz w:val="44"/>
        </w:rPr>
      </w:pPr>
    </w:p>
    <w:p>
      <w:pPr>
        <w:pStyle w:val="23"/>
        <w:ind w:firstLine="440"/>
        <w:rPr>
          <w:rFonts w:hint="eastAsia" w:ascii="仿宋_GB2312" w:hAnsi="仿宋_GB2312" w:eastAsia="仿宋_GB2312" w:cs="仿宋_GB2312"/>
          <w:b/>
          <w:sz w:val="44"/>
        </w:rPr>
      </w:pPr>
    </w:p>
    <w:p>
      <w:pPr>
        <w:pStyle w:val="23"/>
        <w:ind w:firstLine="440"/>
        <w:rPr>
          <w:rFonts w:hint="eastAsia" w:ascii="仿宋_GB2312" w:hAnsi="仿宋_GB2312" w:eastAsia="仿宋_GB2312" w:cs="仿宋_GB2312"/>
          <w:b/>
          <w:sz w:val="44"/>
        </w:rPr>
      </w:pPr>
    </w:p>
    <w:p>
      <w:pPr>
        <w:pStyle w:val="23"/>
        <w:ind w:firstLine="440"/>
        <w:rPr>
          <w:rFonts w:hint="eastAsia" w:ascii="仿宋_GB2312" w:hAnsi="仿宋_GB2312" w:eastAsia="仿宋_GB2312" w:cs="仿宋_GB2312"/>
          <w:b/>
          <w:sz w:val="44"/>
        </w:rPr>
      </w:pPr>
    </w:p>
    <w:p>
      <w:pPr>
        <w:pStyle w:val="23"/>
        <w:ind w:firstLine="440"/>
        <w:rPr>
          <w:rFonts w:hint="eastAsia" w:ascii="仿宋_GB2312" w:hAnsi="仿宋_GB2312" w:eastAsia="仿宋_GB2312" w:cs="仿宋_GB2312"/>
          <w:b/>
          <w:sz w:val="44"/>
        </w:rPr>
      </w:pPr>
    </w:p>
    <w:p>
      <w:pPr>
        <w:pStyle w:val="23"/>
        <w:ind w:firstLine="0" w:firstLineChars="0"/>
        <w:rPr>
          <w:rFonts w:hint="eastAsia" w:ascii="仿宋_GB2312" w:hAnsi="仿宋_GB2312" w:eastAsia="仿宋_GB2312" w:cs="仿宋_GB2312"/>
          <w:b/>
          <w:sz w:val="44"/>
        </w:rPr>
      </w:pPr>
    </w:p>
    <w:p>
      <w:pPr>
        <w:pStyle w:val="14"/>
        <w:spacing w:line="480" w:lineRule="exact"/>
        <w:rPr>
          <w:rFonts w:hint="eastAsia" w:ascii="仿宋_GB2312" w:hAnsi="仿宋_GB2312" w:eastAsia="仿宋_GB2312" w:cs="仿宋_GB2312"/>
          <w:b/>
          <w:color w:val="FF0000"/>
          <w:sz w:val="32"/>
          <w:szCs w:val="32"/>
        </w:rPr>
      </w:pPr>
      <w:bookmarkStart w:id="171" w:name="_Toc202820350"/>
      <w:bookmarkStart w:id="172" w:name="_Toc202251699"/>
      <w:bookmarkStart w:id="173" w:name="_Toc202252033"/>
      <w:bookmarkStart w:id="174" w:name="_Toc202819877"/>
      <w:bookmarkStart w:id="175" w:name="_Toc202816995"/>
      <w:bookmarkStart w:id="176" w:name="_Toc202251074"/>
      <w:bookmarkStart w:id="177" w:name="_Toc202254104"/>
      <w:r>
        <w:rPr>
          <w:rFonts w:hint="eastAsia" w:ascii="仿宋_GB2312" w:hAnsi="仿宋_GB2312" w:eastAsia="仿宋_GB2312" w:cs="仿宋_GB2312"/>
          <w:b/>
          <w:sz w:val="32"/>
          <w:szCs w:val="32"/>
        </w:rPr>
        <w:t>一、资格文件</w:t>
      </w:r>
    </w:p>
    <w:p>
      <w:pPr>
        <w:pStyle w:val="14"/>
        <w:spacing w:line="480" w:lineRule="exact"/>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32"/>
          <w:szCs w:val="32"/>
        </w:rPr>
        <w:t>1</w:t>
      </w:r>
      <w:bookmarkEnd w:id="171"/>
      <w:bookmarkEnd w:id="172"/>
      <w:bookmarkEnd w:id="173"/>
      <w:bookmarkEnd w:id="174"/>
      <w:bookmarkEnd w:id="175"/>
      <w:bookmarkEnd w:id="176"/>
      <w:bookmarkEnd w:id="177"/>
      <w:r>
        <w:rPr>
          <w:rFonts w:hint="eastAsia" w:ascii="仿宋_GB2312" w:hAnsi="仿宋_GB2312" w:eastAsia="仿宋_GB2312" w:cs="仿宋_GB2312"/>
          <w:b/>
          <w:sz w:val="32"/>
          <w:szCs w:val="32"/>
        </w:rPr>
        <w:t>.1磋商函</w:t>
      </w:r>
    </w:p>
    <w:p>
      <w:pPr>
        <w:snapToGrid w:val="0"/>
        <w:spacing w:line="400" w:lineRule="exact"/>
        <w:ind w:left="105" w:leftChars="50" w:firstLine="2"/>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致：珠海华信达工程顾问有限公司</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我方确认收到贵方</w:t>
      </w:r>
      <w:r>
        <w:rPr>
          <w:rFonts w:hint="eastAsia" w:ascii="仿宋_GB2312" w:hAnsi="仿宋_GB2312" w:eastAsia="仿宋_GB2312" w:cs="仿宋_GB2312"/>
          <w:sz w:val="24"/>
          <w:szCs w:val="24"/>
          <w:u w:val="single"/>
        </w:rPr>
        <w:t xml:space="preserve">             （项目名称）   </w:t>
      </w:r>
      <w:r>
        <w:rPr>
          <w:rFonts w:hint="eastAsia" w:ascii="仿宋_GB2312" w:hAnsi="仿宋_GB2312" w:eastAsia="仿宋_GB2312" w:cs="仿宋_GB2312"/>
          <w:kern w:val="28"/>
          <w:sz w:val="24"/>
          <w:szCs w:val="24"/>
        </w:rPr>
        <w:t>采购</w:t>
      </w:r>
      <w:r>
        <w:rPr>
          <w:rFonts w:hint="eastAsia" w:ascii="仿宋_GB2312" w:hAnsi="仿宋_GB2312" w:eastAsia="仿宋_GB2312" w:cs="仿宋_GB2312"/>
          <w:sz w:val="24"/>
          <w:szCs w:val="24"/>
        </w:rPr>
        <w:t>货物及相关服务的竞争性磋商文件（项目编号：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u w:val="single"/>
        </w:rPr>
        <w:t xml:space="preserve"> (响应人名称、地址)</w:t>
      </w:r>
      <w:r>
        <w:rPr>
          <w:rFonts w:hint="eastAsia" w:ascii="仿宋_GB2312" w:hAnsi="仿宋_GB2312" w:eastAsia="仿宋_GB2312" w:cs="仿宋_GB2312"/>
          <w:sz w:val="24"/>
          <w:szCs w:val="24"/>
        </w:rPr>
        <w:t>作为响应人已正式授权</w:t>
      </w:r>
      <w:r>
        <w:rPr>
          <w:rFonts w:hint="eastAsia" w:ascii="仿宋_GB2312" w:hAnsi="仿宋_GB2312" w:eastAsia="仿宋_GB2312" w:cs="仿宋_GB2312"/>
          <w:sz w:val="24"/>
          <w:szCs w:val="24"/>
          <w:u w:val="single"/>
        </w:rPr>
        <w:t xml:space="preserve"> (响应人授权代表全名、职务)</w:t>
      </w:r>
      <w:r>
        <w:rPr>
          <w:rFonts w:hint="eastAsia" w:ascii="仿宋_GB2312" w:hAnsi="仿宋_GB2312" w:eastAsia="仿宋_GB2312" w:cs="仿宋_GB2312"/>
          <w:sz w:val="24"/>
          <w:szCs w:val="24"/>
        </w:rPr>
        <w:t>为我方签名代表，代表我方提交响应文件进行磋商。</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一、资格性文件：</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 磋商函</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 法定代表人证明书及授权委托书</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 响应人资格声明函</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1.3.1.1法人或者其他组织的营业执照或法人证书等证明文件复印件</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1.3.1.2 有依法缴纳税收和社会保障资金的良好记录：响应文件中提供《资格条件承诺函》。</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1.3.1.3 具有履行合同所必需的设备和专业技术能力：响应文件中提供《资格条件承诺函》。</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1.3.1.4 具有良好的商业信誉和健全的财务会计制度：响应文件中提供《资格条件承诺函》。</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1.3.1.5 参加政府采购活动前三年内，在经营活动中没有重大违法记录：响应文件中提供《资格条件承诺函》。</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1.4资格条件承诺函</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1.5 承诺函</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二、技术文件：</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2.1 项目服务需求分析理解 </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2.2 质量保证措施及项目进度保证措施</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2.3 项目服务方案 </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2.4 响应人认为需要提供的其它说明和资料</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三、商务文件</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3.1 响应人基本情况表</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3.2同类业绩</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3.3项目团队情况</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3.4商务条款响应一览表</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四、经济价格文件</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4.1 报价表（首次报价）</w:t>
      </w:r>
    </w:p>
    <w:p>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五、其他文件</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5.1 中小企业声明函（如是）</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5.2 监狱企业的证明文件（如是）</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5.3 残疾人福利性单位声明函（如是）</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5.4 政策功能情况（如是）</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5.5 国家级贫困地区农副产品情况（如是）</w:t>
      </w:r>
    </w:p>
    <w:p>
      <w:pPr>
        <w:spacing w:line="360" w:lineRule="auto"/>
        <w:ind w:left="105" w:leftChars="50"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5.6 国家级贫困地区物业服务情况（如是）</w:t>
      </w:r>
    </w:p>
    <w:p>
      <w:pPr>
        <w:pStyle w:val="23"/>
        <w:ind w:firstLine="210"/>
        <w:rPr>
          <w:rFonts w:hint="eastAsia" w:ascii="仿宋_GB2312" w:hAnsi="仿宋_GB2312" w:eastAsia="仿宋_GB2312" w:cs="仿宋_GB2312"/>
        </w:rPr>
      </w:pPr>
    </w:p>
    <w:p>
      <w:pPr>
        <w:autoSpaceDE w:val="0"/>
        <w:autoSpaceDN w:val="0"/>
        <w:adjustRightInd w:val="0"/>
        <w:spacing w:line="400" w:lineRule="exact"/>
        <w:ind w:right="246"/>
        <w:rPr>
          <w:rFonts w:hint="eastAsia" w:ascii="仿宋_GB2312" w:hAnsi="仿宋_GB2312" w:eastAsia="仿宋_GB2312" w:cs="仿宋_GB2312"/>
          <w:szCs w:val="21"/>
        </w:rPr>
      </w:pPr>
      <w:r>
        <w:rPr>
          <w:rFonts w:hint="eastAsia" w:ascii="仿宋_GB2312" w:hAnsi="仿宋_GB2312" w:eastAsia="仿宋_GB2312" w:cs="仿宋_GB2312"/>
          <w:szCs w:val="21"/>
        </w:rPr>
        <w:t>在此，我方声明如下：</w:t>
      </w:r>
    </w:p>
    <w:p>
      <w:pPr>
        <w:widowControl w:val="0"/>
        <w:numPr>
          <w:ilvl w:val="0"/>
          <w:numId w:val="10"/>
        </w:numPr>
        <w:adjustRightInd w:val="0"/>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我们愿意遵守采购代理机构发布竞争性磋商文件的各项规定，自愿参加磋商, 并已清楚竞争性磋商文件的要求及有关文件规定，并严格按照竞争性磋商文件的规定履行全部责任和义务。</w:t>
      </w:r>
    </w:p>
    <w:p>
      <w:pPr>
        <w:widowControl w:val="0"/>
        <w:numPr>
          <w:ilvl w:val="0"/>
          <w:numId w:val="10"/>
        </w:numPr>
        <w:adjustRightInd w:val="0"/>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我们同意本磋商自磋商截止之日起</w:t>
      </w:r>
      <w:r>
        <w:rPr>
          <w:rFonts w:hint="eastAsia" w:ascii="仿宋_GB2312" w:hAnsi="仿宋_GB2312" w:eastAsia="仿宋_GB2312" w:cs="仿宋_GB2312"/>
          <w:b/>
          <w:sz w:val="24"/>
          <w:szCs w:val="24"/>
          <w:u w:val="single"/>
        </w:rPr>
        <w:t>120</w:t>
      </w:r>
      <w:r>
        <w:rPr>
          <w:rFonts w:hint="eastAsia" w:ascii="仿宋_GB2312" w:hAnsi="仿宋_GB2312" w:eastAsia="仿宋_GB2312" w:cs="仿宋_GB2312"/>
          <w:b/>
          <w:sz w:val="24"/>
          <w:szCs w:val="24"/>
        </w:rPr>
        <w:t>日历天内有效。如果我们的磋商被接受，则直至合同生效时止，本磋商始终有效。本磋商始终有效并不撤回已递交的响应文件。</w:t>
      </w:r>
    </w:p>
    <w:p>
      <w:pPr>
        <w:widowControl w:val="0"/>
        <w:numPr>
          <w:ilvl w:val="0"/>
          <w:numId w:val="10"/>
        </w:numPr>
        <w:adjustRightInd w:val="0"/>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我们已经详细地阅读并完全明白了全部竞争性磋商文件及附件，包括澄清（如有）及参考文件，我们完全理解本竞争性磋商文件的要求，我们同意放弃对竞争性磋商文件提出不明或误解的一切权力。</w:t>
      </w:r>
    </w:p>
    <w:p>
      <w:pPr>
        <w:widowControl w:val="0"/>
        <w:numPr>
          <w:ilvl w:val="0"/>
          <w:numId w:val="10"/>
        </w:numPr>
        <w:adjustRightInd w:val="0"/>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我们同意提供招标采购单位与磋商小组要求的有关磋商的一切数据或资料。</w:t>
      </w:r>
    </w:p>
    <w:p>
      <w:pPr>
        <w:widowControl w:val="0"/>
        <w:numPr>
          <w:ilvl w:val="0"/>
          <w:numId w:val="10"/>
        </w:numPr>
        <w:adjustRightInd w:val="0"/>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我们理解招标采购单位与磋商小组并无义务必须接受最低报价的磋商或其它任何磋商，完全理解采购代理机构拒绝迟到的任何磋商和最低磋商报价不是被授予成交的唯一条件。</w:t>
      </w:r>
    </w:p>
    <w:p>
      <w:pPr>
        <w:widowControl w:val="0"/>
        <w:numPr>
          <w:ilvl w:val="0"/>
          <w:numId w:val="10"/>
        </w:numPr>
        <w:adjustRightInd w:val="0"/>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 xml:space="preserve">如果我们未对竞争性磋商文件全部要求作出实质性响应，则完全同意并接受按无效磋商处理。 </w:t>
      </w:r>
    </w:p>
    <w:p>
      <w:pPr>
        <w:widowControl w:val="0"/>
        <w:numPr>
          <w:ilvl w:val="0"/>
          <w:numId w:val="10"/>
        </w:numPr>
        <w:adjustRightInd w:val="0"/>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我们证明提交的一切文件，无论是原件还是复印件均为准确、真实、有效、完整的，绝无任何虚假、伪造或者夸大。我们在此郑重承诺：在本次采购活动中，如有违法、违规、弄虚作假行为，所造成的损失、不良后果及法律责任，一律由我公司（企业）承担。</w:t>
      </w:r>
    </w:p>
    <w:p>
      <w:pPr>
        <w:widowControl w:val="0"/>
        <w:numPr>
          <w:ilvl w:val="0"/>
          <w:numId w:val="10"/>
        </w:numPr>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如果我们提供的声明或承诺不真实，则完全同意认定为我司提供虚假材料，并同意作相应处理。</w:t>
      </w:r>
    </w:p>
    <w:p>
      <w:pPr>
        <w:widowControl w:val="0"/>
        <w:numPr>
          <w:ilvl w:val="0"/>
          <w:numId w:val="10"/>
        </w:numPr>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我们是依法注册的法人，在法律、财务及运作上完全独立于本项目采购人、用户单位（如有）和采购代理机构。</w:t>
      </w:r>
    </w:p>
    <w:p>
      <w:pPr>
        <w:widowControl w:val="0"/>
        <w:numPr>
          <w:ilvl w:val="0"/>
          <w:numId w:val="10"/>
        </w:numPr>
        <w:adjustRightInd w:val="0"/>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所有有关本次磋商的函电请寄：</w:t>
      </w:r>
      <w:r>
        <w:rPr>
          <w:rFonts w:hint="eastAsia" w:ascii="仿宋_GB2312" w:hAnsi="仿宋_GB2312" w:eastAsia="仿宋_GB2312" w:cs="仿宋_GB2312"/>
          <w:b/>
          <w:sz w:val="24"/>
          <w:szCs w:val="24"/>
          <w:u w:val="single"/>
        </w:rPr>
        <w:t xml:space="preserve">  （响应人地址）   </w:t>
      </w:r>
    </w:p>
    <w:p>
      <w:pPr>
        <w:snapToGrid w:val="0"/>
        <w:spacing w:line="360" w:lineRule="auto"/>
        <w:ind w:left="420" w:firstLine="310"/>
        <w:rPr>
          <w:rFonts w:hint="eastAsia" w:ascii="仿宋_GB2312" w:hAnsi="仿宋_GB2312" w:eastAsia="仿宋_GB2312" w:cs="仿宋_GB2312"/>
          <w:b/>
          <w:sz w:val="24"/>
          <w:szCs w:val="24"/>
          <w:u w:val="single"/>
        </w:rPr>
      </w:pPr>
      <w:r>
        <w:rPr>
          <w:rFonts w:hint="eastAsia" w:ascii="仿宋_GB2312" w:hAnsi="仿宋_GB2312" w:eastAsia="仿宋_GB2312" w:cs="仿宋_GB2312"/>
          <w:b/>
          <w:sz w:val="24"/>
          <w:szCs w:val="24"/>
          <w:u w:val="single"/>
        </w:rPr>
        <w:t xml:space="preserve">备注：本磋商函内容不得擅自删改。 </w:t>
      </w:r>
    </w:p>
    <w:p>
      <w:pPr>
        <w:snapToGrid w:val="0"/>
        <w:spacing w:line="360" w:lineRule="auto"/>
        <w:rPr>
          <w:rFonts w:hint="eastAsia" w:ascii="仿宋_GB2312" w:hAnsi="仿宋_GB2312" w:eastAsia="仿宋_GB2312" w:cs="仿宋_GB2312"/>
          <w:sz w:val="24"/>
          <w:szCs w:val="24"/>
        </w:rPr>
      </w:pP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响应人名称（盖公章）:</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法定代表人或响应人授权代表（签名或盖章）：</w:t>
      </w:r>
      <w:r>
        <w:rPr>
          <w:rFonts w:hint="eastAsia" w:ascii="仿宋_GB2312" w:hAnsi="仿宋_GB2312" w:eastAsia="仿宋_GB2312" w:cs="仿宋_GB2312"/>
          <w:sz w:val="24"/>
          <w:szCs w:val="24"/>
          <w:u w:val="single"/>
        </w:rPr>
        <w:t xml:space="preserve">                            </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日</w:t>
      </w: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pStyle w:val="2"/>
        <w:ind w:left="0" w:leftChars="0"/>
        <w:rPr>
          <w:rFonts w:hint="eastAsia" w:ascii="仿宋_GB2312" w:hAnsi="仿宋_GB2312" w:eastAsia="仿宋_GB2312" w:cs="仿宋_GB2312"/>
          <w:b/>
          <w:sz w:val="32"/>
          <w:szCs w:val="32"/>
        </w:rPr>
      </w:pPr>
    </w:p>
    <w:p>
      <w:pPr>
        <w:spacing w:line="360" w:lineRule="auto"/>
        <w:jc w:val="center"/>
        <w:rPr>
          <w:rFonts w:hint="eastAsia" w:ascii="仿宋_GB2312" w:hAnsi="仿宋_GB2312" w:eastAsia="仿宋_GB2312" w:cs="仿宋_GB2312"/>
          <w:b/>
          <w:sz w:val="32"/>
          <w:szCs w:val="32"/>
        </w:rPr>
      </w:pPr>
    </w:p>
    <w:p>
      <w:pPr>
        <w:spacing w:line="360"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1.2法定代表人证明书及授权委托书</w:t>
      </w:r>
    </w:p>
    <w:p>
      <w:pPr>
        <w:keepLines/>
        <w:tabs>
          <w:tab w:val="left" w:pos="720"/>
        </w:tabs>
        <w:adjustRightInd w:val="0"/>
        <w:snapToGrid w:val="0"/>
        <w:spacing w:line="360" w:lineRule="auto"/>
        <w:jc w:val="center"/>
        <w:rPr>
          <w:rFonts w:hint="eastAsia" w:ascii="仿宋_GB2312" w:hAnsi="仿宋_GB2312" w:eastAsia="仿宋_GB2312" w:cs="仿宋_GB2312"/>
          <w:b/>
          <w:sz w:val="24"/>
        </w:rPr>
      </w:pPr>
    </w:p>
    <w:p>
      <w:pPr>
        <w:keepLines/>
        <w:tabs>
          <w:tab w:val="left" w:pos="720"/>
        </w:tabs>
        <w:adjustRightInd w:val="0"/>
        <w:snapToGrid w:val="0"/>
        <w:spacing w:line="360" w:lineRule="auto"/>
        <w:jc w:val="center"/>
        <w:rPr>
          <w:rFonts w:hint="eastAsia" w:ascii="仿宋_GB2312" w:hAnsi="仿宋_GB2312" w:eastAsia="仿宋_GB2312" w:cs="仿宋_GB2312"/>
          <w:bCs/>
          <w:sz w:val="44"/>
          <w:szCs w:val="44"/>
        </w:rPr>
      </w:pPr>
      <w:r>
        <w:rPr>
          <w:rFonts w:hint="eastAsia" w:ascii="仿宋_GB2312" w:hAnsi="仿宋_GB2312" w:eastAsia="仿宋_GB2312" w:cs="仿宋_GB2312"/>
          <w:bCs/>
          <w:sz w:val="44"/>
          <w:szCs w:val="44"/>
        </w:rPr>
        <w:t>法定代表人证明书</w:t>
      </w: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致：珠海华信达工程顾问有限公司</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姓名：</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性别：</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年龄：</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职务：</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身份证号码：</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系 </w:t>
      </w:r>
      <w:r>
        <w:rPr>
          <w:rFonts w:hint="eastAsia" w:ascii="仿宋_GB2312" w:hAnsi="仿宋_GB2312" w:eastAsia="仿宋_GB2312" w:cs="仿宋_GB2312"/>
          <w:szCs w:val="21"/>
          <w:u w:val="single"/>
        </w:rPr>
        <w:t xml:space="preserve">      （响应人名称）     </w:t>
      </w:r>
      <w:r>
        <w:rPr>
          <w:rFonts w:hint="eastAsia" w:ascii="仿宋_GB2312" w:hAnsi="仿宋_GB2312" w:eastAsia="仿宋_GB2312" w:cs="仿宋_GB2312"/>
          <w:szCs w:val="21"/>
        </w:rPr>
        <w:t xml:space="preserve">的法定代表人。为 </w:t>
      </w:r>
      <w:r>
        <w:rPr>
          <w:rFonts w:hint="eastAsia" w:ascii="仿宋_GB2312" w:hAnsi="仿宋_GB2312" w:eastAsia="仿宋_GB2312" w:cs="仿宋_GB2312"/>
          <w:szCs w:val="21"/>
          <w:u w:val="single"/>
        </w:rPr>
        <w:t xml:space="preserve"> 项目名称             </w:t>
      </w:r>
      <w:r>
        <w:rPr>
          <w:rFonts w:hint="eastAsia" w:ascii="仿宋_GB2312" w:hAnsi="仿宋_GB2312" w:eastAsia="仿宋_GB2312" w:cs="仿宋_GB2312"/>
          <w:szCs w:val="21"/>
        </w:rPr>
        <w:t>公开招标（</w:t>
      </w:r>
      <w:r>
        <w:rPr>
          <w:rFonts w:hint="eastAsia" w:ascii="仿宋_GB2312" w:hAnsi="仿宋_GB2312" w:eastAsia="仿宋_GB2312" w:cs="仿宋_GB2312"/>
          <w:szCs w:val="21"/>
          <w:u w:val="single"/>
        </w:rPr>
        <w:t xml:space="preserve">项目编号：           </w:t>
      </w:r>
      <w:r>
        <w:rPr>
          <w:rFonts w:hint="eastAsia" w:ascii="仿宋_GB2312" w:hAnsi="仿宋_GB2312" w:eastAsia="仿宋_GB2312" w:cs="仿宋_GB2312"/>
          <w:szCs w:val="21"/>
        </w:rPr>
        <w:t>）项目签署响应文件、进行合同签署和处理与之有关的一切事务。</w:t>
      </w:r>
    </w:p>
    <w:p>
      <w:pPr>
        <w:spacing w:line="360" w:lineRule="auto"/>
        <w:ind w:left="359" w:firstLine="357"/>
        <w:rPr>
          <w:rFonts w:hint="eastAsia" w:ascii="仿宋_GB2312" w:hAnsi="仿宋_GB2312" w:eastAsia="仿宋_GB2312" w:cs="仿宋_GB2312"/>
          <w:szCs w:val="21"/>
        </w:rPr>
      </w:pPr>
    </w:p>
    <w:p>
      <w:pPr>
        <w:spacing w:line="360" w:lineRule="auto"/>
        <w:ind w:left="171" w:firstLine="369"/>
        <w:rPr>
          <w:rFonts w:hint="eastAsia" w:ascii="仿宋_GB2312" w:hAnsi="仿宋_GB2312" w:eastAsia="仿宋_GB2312" w:cs="仿宋_GB2312"/>
          <w:szCs w:val="21"/>
        </w:rPr>
      </w:pPr>
      <w:r>
        <w:rPr>
          <w:rFonts w:hint="eastAsia" w:ascii="仿宋_GB2312" w:hAnsi="仿宋_GB2312" w:eastAsia="仿宋_GB2312" w:cs="仿宋_GB2312"/>
          <w:szCs w:val="21"/>
        </w:rPr>
        <w:t>特此证明。</w:t>
      </w:r>
    </w:p>
    <w:p>
      <w:pPr>
        <w:spacing w:line="360" w:lineRule="auto"/>
        <w:ind w:left="171" w:firstLine="559"/>
        <w:rPr>
          <w:rFonts w:hint="eastAsia" w:ascii="仿宋_GB2312" w:hAnsi="仿宋_GB2312" w:eastAsia="仿宋_GB2312" w:cs="仿宋_GB2312"/>
          <w:szCs w:val="21"/>
        </w:rPr>
      </w:pPr>
    </w:p>
    <w:p>
      <w:pPr>
        <w:spacing w:line="360" w:lineRule="auto"/>
        <w:ind w:firstLine="540"/>
        <w:rPr>
          <w:rFonts w:hint="eastAsia" w:ascii="仿宋_GB2312" w:hAnsi="仿宋_GB2312" w:eastAsia="仿宋_GB2312" w:cs="仿宋_GB2312"/>
          <w:szCs w:val="21"/>
          <w:u w:val="single"/>
        </w:rPr>
      </w:pPr>
      <w:r>
        <w:rPr>
          <w:rFonts w:hint="eastAsia" w:ascii="仿宋_GB2312" w:hAnsi="仿宋_GB2312" w:eastAsia="仿宋_GB2312" w:cs="仿宋_GB2312"/>
          <w:szCs w:val="21"/>
        </w:rPr>
        <w:t>响应人名称（公章）：</w:t>
      </w:r>
      <w:r>
        <w:rPr>
          <w:rFonts w:hint="eastAsia" w:ascii="仿宋_GB2312" w:hAnsi="仿宋_GB2312" w:eastAsia="仿宋_GB2312" w:cs="仿宋_GB2312"/>
          <w:szCs w:val="21"/>
          <w:u w:val="single"/>
        </w:rPr>
        <w:t xml:space="preserve">                       </w:t>
      </w:r>
    </w:p>
    <w:p>
      <w:pPr>
        <w:spacing w:line="360" w:lineRule="auto"/>
        <w:rPr>
          <w:rFonts w:hint="eastAsia" w:ascii="仿宋_GB2312" w:hAnsi="仿宋_GB2312" w:eastAsia="仿宋_GB2312" w:cs="仿宋_GB2312"/>
          <w:szCs w:val="21"/>
        </w:rPr>
      </w:pPr>
    </w:p>
    <w:p>
      <w:pPr>
        <w:spacing w:line="360" w:lineRule="auto"/>
        <w:ind w:firstLine="540"/>
        <w:rPr>
          <w:rFonts w:hint="eastAsia" w:ascii="仿宋_GB2312" w:hAnsi="仿宋_GB2312" w:eastAsia="仿宋_GB2312" w:cs="仿宋_GB2312"/>
          <w:szCs w:val="21"/>
        </w:rPr>
      </w:pPr>
      <w:r>
        <w:rPr>
          <w:rFonts w:hint="eastAsia" w:ascii="仿宋_GB2312" w:hAnsi="仿宋_GB2312" w:eastAsia="仿宋_GB2312" w:cs="仿宋_GB2312"/>
          <w:szCs w:val="21"/>
        </w:rPr>
        <w:t>日期：</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月</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日</w:t>
      </w:r>
    </w:p>
    <w:p>
      <w:pPr>
        <w:spacing w:line="360" w:lineRule="auto"/>
        <w:rPr>
          <w:rFonts w:hint="eastAsia" w:ascii="仿宋_GB2312" w:hAnsi="仿宋_GB2312" w:eastAsia="仿宋_GB2312" w:cs="仿宋_GB2312"/>
          <w:szCs w:val="21"/>
        </w:rPr>
      </w:pPr>
    </w:p>
    <w:p>
      <w:pPr>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注：此处所述“法定代表人”须与响应人的“营业执照”上的内容一致。</w:t>
      </w:r>
    </w:p>
    <w:p>
      <w:pPr>
        <w:keepLines/>
        <w:adjustRightInd w:val="0"/>
        <w:snapToGrid w:val="0"/>
        <w:spacing w:line="360" w:lineRule="auto"/>
        <w:rPr>
          <w:rFonts w:hint="eastAsia" w:ascii="仿宋_GB2312" w:hAnsi="仿宋_GB2312" w:eastAsia="仿宋_GB2312" w:cs="仿宋_GB2312"/>
          <w:bCs/>
          <w:szCs w:val="21"/>
        </w:rPr>
      </w:pPr>
      <w:r>
        <w:rPr>
          <w:rFonts w:hint="eastAsia" w:ascii="仿宋_GB2312" w:hAnsi="仿宋_GB2312" w:eastAsia="仿宋_GB2312" w:cs="仿宋_GB2312"/>
          <w:bCs/>
          <w:szCs w:val="21"/>
        </w:rPr>
        <w:t>附：法定代表人的身份证复印件：</w:t>
      </w:r>
    </w:p>
    <w:p>
      <w:pPr>
        <w:keepLines/>
        <w:adjustRightInd w:val="0"/>
        <w:snapToGrid w:val="0"/>
        <w:spacing w:line="360" w:lineRule="auto"/>
        <w:rPr>
          <w:rFonts w:hint="eastAsia" w:ascii="仿宋_GB2312" w:hAnsi="仿宋_GB2312" w:eastAsia="仿宋_GB2312" w:cs="仿宋_GB2312"/>
          <w:bCs/>
          <w:szCs w:val="21"/>
        </w:rPr>
      </w:pPr>
    </w:p>
    <w:tbl>
      <w:tblPr>
        <w:tblStyle w:val="25"/>
        <w:tblW w:w="59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9" w:hRule="atLeast"/>
          <w:jc w:val="center"/>
        </w:trPr>
        <w:tc>
          <w:tcPr>
            <w:tcW w:w="5995" w:type="dxa"/>
            <w:vAlign w:val="center"/>
          </w:tcPr>
          <w:p>
            <w:pPr>
              <w:keepLines/>
              <w:adjustRightInd w:val="0"/>
              <w:snapToGrid w:val="0"/>
              <w:spacing w:line="360" w:lineRule="auto"/>
              <w:jc w:val="center"/>
              <w:rPr>
                <w:rFonts w:hint="eastAsia" w:ascii="仿宋_GB2312" w:hAnsi="仿宋_GB2312" w:eastAsia="仿宋_GB2312" w:cs="仿宋_GB2312"/>
                <w:bCs/>
                <w:szCs w:val="21"/>
              </w:rPr>
            </w:pPr>
            <w:r>
              <w:rPr>
                <w:rFonts w:hint="eastAsia" w:ascii="仿宋_GB2312" w:hAnsi="仿宋_GB2312" w:eastAsia="仿宋_GB2312" w:cs="仿宋_GB2312"/>
                <w:bCs/>
                <w:szCs w:val="21"/>
              </w:rPr>
              <w:t>附：法定代表人身份证正反两面（护照）复印件</w:t>
            </w:r>
          </w:p>
        </w:tc>
      </w:tr>
    </w:tbl>
    <w:p>
      <w:pPr>
        <w:keepLines/>
        <w:adjustRightInd w:val="0"/>
        <w:snapToGrid w:val="0"/>
        <w:spacing w:line="360" w:lineRule="auto"/>
        <w:rPr>
          <w:rFonts w:hint="eastAsia" w:ascii="仿宋_GB2312" w:hAnsi="仿宋_GB2312" w:eastAsia="仿宋_GB2312" w:cs="仿宋_GB2312"/>
          <w:bCs/>
          <w:szCs w:val="21"/>
        </w:rPr>
      </w:pPr>
    </w:p>
    <w:p>
      <w:pPr>
        <w:keepLines/>
        <w:adjustRightInd w:val="0"/>
        <w:snapToGrid w:val="0"/>
        <w:spacing w:line="360" w:lineRule="auto"/>
        <w:rPr>
          <w:rFonts w:hint="eastAsia" w:ascii="仿宋_GB2312" w:hAnsi="仿宋_GB2312" w:eastAsia="仿宋_GB2312" w:cs="仿宋_GB2312"/>
          <w:bCs/>
          <w:sz w:val="24"/>
        </w:rPr>
      </w:pPr>
    </w:p>
    <w:p>
      <w:pPr>
        <w:tabs>
          <w:tab w:val="left" w:pos="720"/>
        </w:tabs>
        <w:adjustRightInd w:val="0"/>
        <w:snapToGrid w:val="0"/>
        <w:spacing w:before="156" w:beforeLines="50" w:after="156" w:afterLines="50"/>
        <w:rPr>
          <w:rFonts w:hint="eastAsia" w:ascii="仿宋_GB2312" w:hAnsi="仿宋_GB2312" w:eastAsia="仿宋_GB2312" w:cs="仿宋_GB2312"/>
          <w:sz w:val="24"/>
        </w:rPr>
      </w:pPr>
    </w:p>
    <w:p>
      <w:pPr>
        <w:tabs>
          <w:tab w:val="left" w:pos="720"/>
        </w:tabs>
        <w:adjustRightInd w:val="0"/>
        <w:snapToGrid w:val="0"/>
        <w:spacing w:before="156" w:beforeLines="50" w:after="156" w:afterLines="50"/>
        <w:rPr>
          <w:rFonts w:hint="eastAsia" w:ascii="仿宋_GB2312" w:hAnsi="仿宋_GB2312" w:eastAsia="仿宋_GB2312" w:cs="仿宋_GB2312"/>
          <w:sz w:val="24"/>
        </w:rPr>
      </w:pPr>
    </w:p>
    <w:p>
      <w:pPr>
        <w:tabs>
          <w:tab w:val="left" w:pos="720"/>
        </w:tabs>
        <w:adjustRightInd w:val="0"/>
        <w:snapToGrid w:val="0"/>
        <w:spacing w:before="156" w:beforeLines="50" w:after="156" w:afterLines="50"/>
        <w:rPr>
          <w:rFonts w:hint="eastAsia" w:ascii="仿宋_GB2312" w:hAnsi="仿宋_GB2312" w:eastAsia="仿宋_GB2312" w:cs="仿宋_GB2312"/>
          <w:sz w:val="24"/>
        </w:rPr>
      </w:pPr>
    </w:p>
    <w:p>
      <w:pPr>
        <w:tabs>
          <w:tab w:val="left" w:pos="720"/>
        </w:tabs>
        <w:adjustRightInd w:val="0"/>
        <w:snapToGrid w:val="0"/>
        <w:spacing w:before="156" w:beforeLines="50" w:after="156" w:afterLines="50"/>
        <w:jc w:val="center"/>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法定代表人授权委托书</w:t>
      </w:r>
    </w:p>
    <w:p>
      <w:pPr>
        <w:keepLines/>
        <w:adjustRightInd w:val="0"/>
        <w:snapToGrid w:val="0"/>
        <w:spacing w:line="360" w:lineRule="auto"/>
        <w:rPr>
          <w:rFonts w:hint="eastAsia" w:ascii="仿宋_GB2312" w:hAnsi="仿宋_GB2312" w:eastAsia="仿宋_GB2312" w:cs="仿宋_GB2312"/>
          <w:bCs/>
          <w:szCs w:val="21"/>
        </w:rPr>
      </w:pPr>
    </w:p>
    <w:p>
      <w:pPr>
        <w:keepLines/>
        <w:adjustRightInd w:val="0"/>
        <w:snapToGrid w:val="0"/>
        <w:spacing w:line="360" w:lineRule="auto"/>
        <w:rPr>
          <w:rFonts w:hint="eastAsia" w:ascii="仿宋_GB2312" w:hAnsi="仿宋_GB2312" w:eastAsia="仿宋_GB2312" w:cs="仿宋_GB2312"/>
          <w:bCs/>
          <w:szCs w:val="21"/>
        </w:rPr>
      </w:pPr>
      <w:r>
        <w:rPr>
          <w:rFonts w:hint="eastAsia" w:ascii="仿宋_GB2312" w:hAnsi="仿宋_GB2312" w:eastAsia="仿宋_GB2312" w:cs="仿宋_GB2312"/>
          <w:bCs/>
          <w:szCs w:val="21"/>
        </w:rPr>
        <w:t>致：珠海华信达工程顾问有限公司</w:t>
      </w:r>
    </w:p>
    <w:p>
      <w:pPr>
        <w:keepLines/>
        <w:adjustRightInd w:val="0"/>
        <w:snapToGrid w:val="0"/>
        <w:spacing w:line="360" w:lineRule="auto"/>
        <w:rPr>
          <w:rFonts w:hint="eastAsia" w:ascii="仿宋_GB2312" w:hAnsi="仿宋_GB2312" w:eastAsia="仿宋_GB2312" w:cs="仿宋_GB2312"/>
          <w:bCs/>
          <w:szCs w:val="21"/>
        </w:rPr>
      </w:pPr>
    </w:p>
    <w:p>
      <w:pPr>
        <w:pStyle w:val="14"/>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本授权委托书声明：注册于</w:t>
      </w:r>
      <w:r>
        <w:rPr>
          <w:rFonts w:hint="eastAsia" w:ascii="仿宋_GB2312" w:hAnsi="仿宋_GB2312" w:eastAsia="仿宋_GB2312" w:cs="仿宋_GB2312"/>
          <w:u w:val="single"/>
        </w:rPr>
        <w:t xml:space="preserve"> （响应人地址）  </w:t>
      </w:r>
      <w:r>
        <w:rPr>
          <w:rFonts w:hint="eastAsia" w:ascii="仿宋_GB2312" w:hAnsi="仿宋_GB2312" w:eastAsia="仿宋_GB2312" w:cs="仿宋_GB2312"/>
        </w:rPr>
        <w:t>的</w:t>
      </w:r>
      <w:r>
        <w:rPr>
          <w:rFonts w:hint="eastAsia" w:ascii="仿宋_GB2312" w:hAnsi="仿宋_GB2312" w:eastAsia="仿宋_GB2312" w:cs="仿宋_GB2312"/>
          <w:u w:val="single"/>
        </w:rPr>
        <w:t xml:space="preserve">  （响应人名称）    </w:t>
      </w:r>
      <w:r>
        <w:rPr>
          <w:rFonts w:hint="eastAsia" w:ascii="仿宋_GB2312" w:hAnsi="仿宋_GB2312" w:eastAsia="仿宋_GB2312" w:cs="仿宋_GB2312"/>
        </w:rPr>
        <w:t>在下面签名的</w:t>
      </w:r>
      <w:r>
        <w:rPr>
          <w:rFonts w:hint="eastAsia" w:ascii="仿宋_GB2312" w:hAnsi="仿宋_GB2312" w:eastAsia="仿宋_GB2312" w:cs="仿宋_GB2312"/>
          <w:u w:val="single"/>
        </w:rPr>
        <w:t>（法定代表人姓名、职务）</w:t>
      </w:r>
      <w:r>
        <w:rPr>
          <w:rFonts w:hint="eastAsia" w:ascii="仿宋_GB2312" w:hAnsi="仿宋_GB2312" w:eastAsia="仿宋_GB2312" w:cs="仿宋_GB2312"/>
        </w:rPr>
        <w:t>在此授权</w:t>
      </w:r>
      <w:r>
        <w:rPr>
          <w:rFonts w:hint="eastAsia" w:ascii="仿宋_GB2312" w:hAnsi="仿宋_GB2312" w:eastAsia="仿宋_GB2312" w:cs="仿宋_GB2312"/>
          <w:u w:val="single"/>
        </w:rPr>
        <w:t>（被授权人姓名、职务）</w:t>
      </w:r>
      <w:r>
        <w:rPr>
          <w:rFonts w:hint="eastAsia" w:ascii="仿宋_GB2312" w:hAnsi="仿宋_GB2312" w:eastAsia="仿宋_GB2312" w:cs="仿宋_GB2312"/>
        </w:rPr>
        <w:t>作为我公司的合法代理人，就</w:t>
      </w:r>
      <w:r>
        <w:rPr>
          <w:rFonts w:hint="eastAsia" w:ascii="仿宋_GB2312" w:hAnsi="仿宋_GB2312" w:eastAsia="仿宋_GB2312" w:cs="仿宋_GB2312"/>
          <w:u w:val="single"/>
        </w:rPr>
        <w:t>（项目名称、项目编号</w:t>
      </w:r>
      <w:r>
        <w:rPr>
          <w:rFonts w:hint="eastAsia" w:ascii="仿宋_GB2312" w:hAnsi="仿宋_GB2312" w:eastAsia="仿宋_GB2312" w:cs="仿宋_GB2312"/>
        </w:rPr>
        <w:t>）的招投标活动，提交响应文件及采购合同的签订、执行、完成和售后服务，作为响应人代表以我方的名义处理一切与之有关的事务。</w:t>
      </w:r>
    </w:p>
    <w:p>
      <w:pPr>
        <w:pStyle w:val="14"/>
        <w:spacing w:line="360" w:lineRule="auto"/>
        <w:ind w:firstLine="420" w:firstLineChars="200"/>
        <w:rPr>
          <w:rFonts w:hint="eastAsia" w:ascii="仿宋_GB2312" w:hAnsi="仿宋_GB2312" w:eastAsia="仿宋_GB2312" w:cs="仿宋_GB2312"/>
        </w:rPr>
      </w:pPr>
      <w:r>
        <w:rPr>
          <w:rFonts w:hint="eastAsia" w:ascii="仿宋_GB2312" w:hAnsi="仿宋_GB2312" w:eastAsia="仿宋_GB2312" w:cs="仿宋_GB2312"/>
        </w:rPr>
        <w:t>被授权人（响应人授权代表）无转委托权限。</w:t>
      </w:r>
    </w:p>
    <w:p>
      <w:pPr>
        <w:keepLines/>
        <w:adjustRightInd w:val="0"/>
        <w:snapToGrid w:val="0"/>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本授权书自法定代表人签字之日起生效，特此声明。</w:t>
      </w:r>
    </w:p>
    <w:p>
      <w:pPr>
        <w:keepLines/>
        <w:adjustRightInd w:val="0"/>
        <w:snapToGrid w:val="0"/>
        <w:spacing w:line="360" w:lineRule="auto"/>
        <w:rPr>
          <w:rFonts w:hint="eastAsia" w:ascii="仿宋_GB2312" w:hAnsi="仿宋_GB2312" w:eastAsia="仿宋_GB2312" w:cs="仿宋_GB2312"/>
          <w:bCs/>
          <w:szCs w:val="21"/>
        </w:rPr>
      </w:pPr>
    </w:p>
    <w:p>
      <w:pPr>
        <w:keepLines/>
        <w:adjustRightInd w:val="0"/>
        <w:snapToGrid w:val="0"/>
        <w:spacing w:line="360" w:lineRule="auto"/>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法定代表人（签字或盖章）：</w:t>
      </w:r>
      <w:r>
        <w:rPr>
          <w:rFonts w:hint="eastAsia" w:ascii="仿宋_GB2312" w:hAnsi="仿宋_GB2312" w:eastAsia="仿宋_GB2312" w:cs="仿宋_GB2312"/>
          <w:bCs/>
          <w:szCs w:val="21"/>
          <w:u w:val="single"/>
        </w:rPr>
        <w:t xml:space="preserve">                            </w:t>
      </w:r>
    </w:p>
    <w:p>
      <w:pPr>
        <w:keepLines/>
        <w:adjustRightInd w:val="0"/>
        <w:snapToGrid w:val="0"/>
        <w:spacing w:line="360" w:lineRule="auto"/>
        <w:rPr>
          <w:rFonts w:hint="eastAsia" w:ascii="仿宋_GB2312" w:hAnsi="仿宋_GB2312" w:eastAsia="仿宋_GB2312" w:cs="仿宋_GB2312"/>
          <w:bCs/>
          <w:szCs w:val="21"/>
        </w:rPr>
      </w:pPr>
    </w:p>
    <w:p>
      <w:pPr>
        <w:keepLines/>
        <w:adjustRightInd w:val="0"/>
        <w:snapToGrid w:val="0"/>
        <w:spacing w:line="360" w:lineRule="auto"/>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被授权人（签字或盖章）：</w:t>
      </w:r>
      <w:r>
        <w:rPr>
          <w:rFonts w:hint="eastAsia" w:ascii="仿宋_GB2312" w:hAnsi="仿宋_GB2312" w:eastAsia="仿宋_GB2312" w:cs="仿宋_GB2312"/>
          <w:bCs/>
          <w:szCs w:val="21"/>
          <w:u w:val="single"/>
        </w:rPr>
        <w:t xml:space="preserve">                                  </w:t>
      </w:r>
    </w:p>
    <w:p>
      <w:pPr>
        <w:keepLines/>
        <w:adjustRightInd w:val="0"/>
        <w:snapToGrid w:val="0"/>
        <w:spacing w:line="360" w:lineRule="auto"/>
        <w:rPr>
          <w:rFonts w:hint="eastAsia" w:ascii="仿宋_GB2312" w:hAnsi="仿宋_GB2312" w:eastAsia="仿宋_GB2312" w:cs="仿宋_GB2312"/>
          <w:bCs/>
          <w:szCs w:val="21"/>
        </w:rPr>
      </w:pPr>
    </w:p>
    <w:p>
      <w:pPr>
        <w:keepLines/>
        <w:adjustRightInd w:val="0"/>
        <w:snapToGrid w:val="0"/>
        <w:spacing w:line="360" w:lineRule="auto"/>
        <w:ind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响应人名称：</w:t>
      </w:r>
      <w:r>
        <w:rPr>
          <w:rFonts w:hint="eastAsia" w:ascii="仿宋_GB2312" w:hAnsi="仿宋_GB2312" w:eastAsia="仿宋_GB2312" w:cs="仿宋_GB2312"/>
          <w:bCs/>
          <w:szCs w:val="21"/>
          <w:u w:val="single"/>
        </w:rPr>
        <w:t xml:space="preserve">                           （公章）</w:t>
      </w:r>
    </w:p>
    <w:p>
      <w:pPr>
        <w:keepLines/>
        <w:adjustRightInd w:val="0"/>
        <w:snapToGrid w:val="0"/>
        <w:spacing w:line="360" w:lineRule="auto"/>
        <w:rPr>
          <w:rFonts w:hint="eastAsia" w:ascii="仿宋_GB2312" w:hAnsi="仿宋_GB2312" w:eastAsia="仿宋_GB2312" w:cs="仿宋_GB2312"/>
          <w:bCs/>
          <w:szCs w:val="21"/>
        </w:rPr>
      </w:pPr>
    </w:p>
    <w:p>
      <w:pPr>
        <w:keepLines/>
        <w:adjustRightInd w:val="0"/>
        <w:snapToGrid w:val="0"/>
        <w:spacing w:line="360" w:lineRule="auto"/>
        <w:rPr>
          <w:rFonts w:hint="eastAsia" w:ascii="仿宋_GB2312" w:hAnsi="仿宋_GB2312" w:eastAsia="仿宋_GB2312" w:cs="仿宋_GB2312"/>
          <w:bCs/>
          <w:szCs w:val="21"/>
        </w:rPr>
      </w:pPr>
      <w:r>
        <w:rPr>
          <w:rFonts w:hint="eastAsia" w:ascii="仿宋_GB2312" w:hAnsi="仿宋_GB2312" w:eastAsia="仿宋_GB2312" w:cs="仿宋_GB2312"/>
          <w:szCs w:val="21"/>
        </w:rPr>
        <w:t xml:space="preserve">   日   期：</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月</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日</w:t>
      </w:r>
    </w:p>
    <w:p>
      <w:pPr>
        <w:pStyle w:val="14"/>
        <w:spacing w:line="360" w:lineRule="auto"/>
        <w:rPr>
          <w:rFonts w:hint="eastAsia" w:ascii="仿宋_GB2312" w:hAnsi="仿宋_GB2312" w:eastAsia="仿宋_GB2312" w:cs="仿宋_GB2312"/>
          <w:b/>
        </w:rPr>
      </w:pPr>
      <w:r>
        <w:rPr>
          <w:rFonts w:hint="eastAsia" w:ascii="仿宋_GB2312" w:hAnsi="仿宋_GB2312" w:eastAsia="仿宋_GB2312" w:cs="仿宋_GB2312"/>
        </w:rPr>
        <w:t>注：响应人法定代表人参加投标的无须提供该委托书。</w:t>
      </w:r>
    </w:p>
    <w:p>
      <w:pPr>
        <w:keepLines/>
        <w:adjustRightInd w:val="0"/>
        <w:snapToGrid w:val="0"/>
        <w:spacing w:line="360" w:lineRule="auto"/>
        <w:rPr>
          <w:rFonts w:hint="eastAsia" w:ascii="仿宋_GB2312" w:hAnsi="仿宋_GB2312" w:eastAsia="仿宋_GB2312" w:cs="仿宋_GB2312"/>
          <w:bCs/>
          <w:szCs w:val="21"/>
        </w:rPr>
      </w:pPr>
      <w:r>
        <w:rPr>
          <w:rFonts w:hint="eastAsia" w:ascii="仿宋_GB2312" w:hAnsi="仿宋_GB2312" w:eastAsia="仿宋_GB2312" w:cs="仿宋_GB2312"/>
          <w:bCs/>
          <w:szCs w:val="21"/>
        </w:rPr>
        <w:t>附：被授权人的身份证复印件：</w:t>
      </w:r>
    </w:p>
    <w:p>
      <w:pPr>
        <w:keepLines/>
        <w:adjustRightInd w:val="0"/>
        <w:snapToGrid w:val="0"/>
        <w:spacing w:line="360" w:lineRule="auto"/>
        <w:rPr>
          <w:rFonts w:hint="eastAsia" w:ascii="仿宋_GB2312" w:hAnsi="仿宋_GB2312" w:eastAsia="仿宋_GB2312" w:cs="仿宋_GB2312"/>
          <w:bCs/>
          <w:szCs w:val="21"/>
        </w:rPr>
      </w:pPr>
    </w:p>
    <w:tbl>
      <w:tblPr>
        <w:tblStyle w:val="25"/>
        <w:tblW w:w="6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6325" w:type="dxa"/>
            <w:vAlign w:val="center"/>
          </w:tcPr>
          <w:p>
            <w:pPr>
              <w:keepLines/>
              <w:adjustRightInd w:val="0"/>
              <w:snapToGrid w:val="0"/>
              <w:spacing w:line="360" w:lineRule="auto"/>
              <w:jc w:val="center"/>
              <w:rPr>
                <w:rFonts w:hint="eastAsia" w:ascii="仿宋_GB2312" w:hAnsi="仿宋_GB2312" w:eastAsia="仿宋_GB2312" w:cs="仿宋_GB2312"/>
                <w:bCs/>
                <w:szCs w:val="21"/>
              </w:rPr>
            </w:pPr>
            <w:r>
              <w:rPr>
                <w:rFonts w:hint="eastAsia" w:ascii="仿宋_GB2312" w:hAnsi="仿宋_GB2312" w:eastAsia="仿宋_GB2312" w:cs="仿宋_GB2312"/>
                <w:bCs/>
                <w:szCs w:val="21"/>
              </w:rPr>
              <w:t>附：粘贴被授权委托人身份证正反两面（护照）复印件</w:t>
            </w:r>
          </w:p>
        </w:tc>
      </w:tr>
    </w:tbl>
    <w:p>
      <w:pPr>
        <w:tabs>
          <w:tab w:val="left" w:pos="720"/>
        </w:tabs>
        <w:adjustRightInd w:val="0"/>
        <w:snapToGrid w:val="0"/>
        <w:spacing w:before="156" w:beforeLines="50" w:after="156" w:afterLines="50"/>
        <w:rPr>
          <w:rFonts w:hint="eastAsia" w:ascii="仿宋_GB2312" w:hAnsi="仿宋_GB2312" w:eastAsia="仿宋_GB2312" w:cs="仿宋_GB2312"/>
        </w:rPr>
      </w:pPr>
    </w:p>
    <w:p>
      <w:pPr>
        <w:spacing w:line="360" w:lineRule="auto"/>
        <w:rPr>
          <w:rFonts w:hint="eastAsia" w:ascii="仿宋_GB2312" w:hAnsi="仿宋_GB2312" w:eastAsia="仿宋_GB2312" w:cs="仿宋_GB2312"/>
          <w:b/>
          <w:sz w:val="32"/>
          <w:szCs w:val="32"/>
        </w:rPr>
      </w:pPr>
    </w:p>
    <w:p>
      <w:pPr>
        <w:spacing w:line="360" w:lineRule="auto"/>
        <w:jc w:val="center"/>
        <w:rPr>
          <w:rFonts w:hint="eastAsia" w:ascii="仿宋_GB2312" w:hAnsi="仿宋_GB2312" w:eastAsia="仿宋_GB2312" w:cs="仿宋_GB2312"/>
          <w:b/>
          <w:sz w:val="32"/>
          <w:szCs w:val="32"/>
        </w:rPr>
      </w:pPr>
    </w:p>
    <w:p>
      <w:pPr>
        <w:spacing w:line="360"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1.3响应人资格声明函</w:t>
      </w:r>
    </w:p>
    <w:p>
      <w:pPr>
        <w:pStyle w:val="14"/>
      </w:pPr>
    </w:p>
    <w:p>
      <w:pPr>
        <w:snapToGrid w:val="0"/>
        <w:spacing w:line="440" w:lineRule="exact"/>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珠海华信达工程顾问有限公司：</w:t>
      </w:r>
    </w:p>
    <w:p>
      <w:pPr>
        <w:spacing w:line="480" w:lineRule="auto"/>
        <w:ind w:firstLine="403" w:firstLineChars="192"/>
        <w:rPr>
          <w:rFonts w:hint="eastAsia" w:ascii="仿宋_GB2312" w:hAnsi="仿宋_GB2312" w:eastAsia="仿宋_GB2312" w:cs="仿宋_GB2312"/>
          <w:szCs w:val="21"/>
        </w:rPr>
      </w:pPr>
      <w:r>
        <w:rPr>
          <w:rFonts w:hint="eastAsia" w:ascii="仿宋_GB2312" w:hAnsi="仿宋_GB2312" w:eastAsia="仿宋_GB2312" w:cs="仿宋_GB2312"/>
          <w:szCs w:val="21"/>
        </w:rPr>
        <w:t>关于贵方</w:t>
      </w:r>
      <w:r>
        <w:rPr>
          <w:rFonts w:hint="eastAsia" w:ascii="仿宋_GB2312" w:hAnsi="仿宋_GB2312" w:eastAsia="仿宋_GB2312" w:cs="仿宋_GB2312"/>
          <w:bCs/>
          <w:szCs w:val="21"/>
          <w:u w:val="single"/>
        </w:rPr>
        <w:t xml:space="preserve">           （</w:t>
      </w:r>
      <w:r>
        <w:rPr>
          <w:rFonts w:hint="eastAsia" w:ascii="仿宋_GB2312" w:hAnsi="仿宋_GB2312" w:eastAsia="仿宋_GB2312" w:cs="仿宋_GB2312"/>
          <w:szCs w:val="21"/>
          <w:u w:val="single"/>
        </w:rPr>
        <w:t>项目名称、编号</w:t>
      </w:r>
      <w:r>
        <w:rPr>
          <w:rFonts w:hint="eastAsia" w:ascii="仿宋_GB2312" w:hAnsi="仿宋_GB2312" w:eastAsia="仿宋_GB2312" w:cs="仿宋_GB2312"/>
          <w:bCs/>
          <w:szCs w:val="21"/>
          <w:u w:val="single"/>
        </w:rPr>
        <w:t xml:space="preserve">）  </w:t>
      </w:r>
      <w:r>
        <w:rPr>
          <w:rFonts w:hint="eastAsia" w:ascii="仿宋_GB2312" w:hAnsi="仿宋_GB2312" w:eastAsia="仿宋_GB2312" w:cs="仿宋_GB2312"/>
          <w:szCs w:val="21"/>
        </w:rPr>
        <w:t>项目的磋商邀请，本签字人愿意参加该项目投标，并证明提交的下列文件和说明是准确和真实的。</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 xml:space="preserve">1.3.1本单位具备《中华人民共和国政府采购法》第二十二条资格条件： </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1.3.1.1具有独立承担民事责任的能力；（响应文件中提供法人或者其他组织的营业执照或法人证书等证明材料。）</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1.3.1.2具有良好的商业信誉和健全的财务会计制度；响应文件中提供《资格条件承诺函》原件，格式见1.4。</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1.3.1.3具备履行合同所必需的设备和专业技术能力；响应文件中提供《资格条件承诺函》原件，格式见1.4。</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1.3.1.4有依法缴纳税收和社会保障资金的良好记录；响应文件中提供《资格条件承诺函》原件，格式见1.4。</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1.3.1.5参加政府采购活动前三年内，在经营活动中没有重大违法记录；响应文件中提供《资格条件承诺函》原件，格式见1.4。</w:t>
      </w:r>
    </w:p>
    <w:p>
      <w:pPr>
        <w:spacing w:before="120" w:after="120" w:line="360" w:lineRule="auto"/>
        <w:ind w:firstLine="420" w:firstLineChars="200"/>
        <w:rPr>
          <w:rFonts w:hint="eastAsia" w:ascii="仿宋_GB2312" w:hAnsi="仿宋_GB2312" w:eastAsia="仿宋_GB2312" w:cs="仿宋_GB2312"/>
          <w:spacing w:val="20"/>
          <w:szCs w:val="21"/>
        </w:rPr>
      </w:pPr>
      <w:r>
        <w:rPr>
          <w:rFonts w:hint="eastAsia" w:ascii="仿宋_GB2312" w:hAnsi="仿宋_GB2312" w:eastAsia="仿宋_GB2312" w:cs="仿宋_GB2312"/>
          <w:szCs w:val="21"/>
        </w:rPr>
        <w:t>1.3.1.6响应人必须符合法律、行政法规规定的其他条件。</w:t>
      </w:r>
    </w:p>
    <w:p>
      <w:pPr>
        <w:pStyle w:val="20"/>
        <w:spacing w:before="120" w:after="120" w:line="300" w:lineRule="auto"/>
        <w:ind w:firstLine="500" w:firstLineChars="200"/>
        <w:rPr>
          <w:rFonts w:hint="eastAsia" w:ascii="仿宋_GB2312" w:hAnsi="仿宋_GB2312" w:eastAsia="仿宋_GB2312" w:cs="仿宋_GB2312"/>
          <w:sz w:val="21"/>
          <w:szCs w:val="21"/>
        </w:rPr>
      </w:pPr>
      <w:r>
        <w:rPr>
          <w:rFonts w:hint="eastAsia" w:ascii="仿宋_GB2312" w:hAnsi="仿宋_GB2312" w:eastAsia="仿宋_GB2312" w:cs="仿宋_GB2312"/>
          <w:spacing w:val="20"/>
          <w:sz w:val="21"/>
          <w:szCs w:val="21"/>
        </w:rPr>
        <w:t>1.3.2响应人未被列入“信用中国”网站(www.creditchina.gov.cn)以下任意记录名单之一：①失信被执行人；②税收违法黑名单；③政府采购严重违法失信行为。同时，不处于中国政府采购网(www.ccgp.gov.cn)“政府采购严重违法失信行为信息记录”中的禁止参加政府采购活动期间。（说明：①由负责资格审查人员于资格审查时在“信用中国”网站（www.creditchina.gov.cn）及中国政府采购网(www.ccgp.gov.cn)查询结果为准。上述网站查询页面不能显示响应人相关查询信息的,视为响应人满足上述要求。响应人分支机构不满足信用信息相关要求的,也视为响应人不满足要求。②采购代理机构同时对信用信息查询记录和证据截图或下载存档。</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1.3.3本单位（企业）的法定代表人或单位负责人与本项目其他响应人的法定代表人或单位负责人不为同一人且与其他响应人之间不存在直接控股、管理关系。本公司（企业）不属于为采购项目提供整体设计、规范编制或者项目管理、监理、 检测等服务的供应商。（响应文件中提供《承诺函》，格式见附件。）</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1.3.4本单位目前没有处于被禁止参加政府采购活动的状态。</w:t>
      </w:r>
    </w:p>
    <w:p>
      <w:pPr>
        <w:spacing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1.3.5本单位已清楚磋商文件的要求及有关文件规定。</w:t>
      </w:r>
    </w:p>
    <w:p>
      <w:pPr>
        <w:spacing w:line="360" w:lineRule="auto"/>
        <w:ind w:firstLine="422" w:firstLineChars="200"/>
        <w:rPr>
          <w:rFonts w:hint="eastAsia" w:ascii="仿宋_GB2312" w:hAnsi="仿宋_GB2312" w:eastAsia="仿宋_GB2312" w:cs="仿宋_GB2312"/>
          <w:b/>
          <w:bCs/>
          <w:szCs w:val="21"/>
        </w:rPr>
      </w:pPr>
      <w:r>
        <w:rPr>
          <w:rFonts w:hint="eastAsia" w:ascii="仿宋_GB2312" w:hAnsi="仿宋_GB2312" w:eastAsia="仿宋_GB2312" w:cs="仿宋_GB2312"/>
          <w:b/>
          <w:bCs/>
          <w:szCs w:val="21"/>
        </w:rPr>
        <w:t>注：1、上述相关证明文件复印件加盖响应人公章（注明需提供原件的除外）。</w:t>
      </w:r>
    </w:p>
    <w:p>
      <w:pPr>
        <w:pStyle w:val="14"/>
        <w:ind w:firstLine="843" w:firstLineChars="400"/>
      </w:pPr>
      <w:r>
        <w:rPr>
          <w:rFonts w:hint="eastAsia" w:ascii="仿宋_GB2312" w:hAnsi="仿宋_GB2312" w:eastAsia="仿宋_GB2312" w:cs="仿宋_GB2312"/>
          <w:b/>
          <w:bCs/>
          <w:kern w:val="0"/>
          <w:szCs w:val="21"/>
        </w:rPr>
        <w:t>2、第1.3.1.2至1.3.1.5项的《资格条件承诺函》只须提供一份，无需重复提供。</w:t>
      </w:r>
    </w:p>
    <w:p>
      <w:pPr>
        <w:adjustRightInd w:val="0"/>
        <w:snapToGrid w:val="0"/>
        <w:spacing w:line="480" w:lineRule="auto"/>
        <w:ind w:firstLine="420" w:firstLineChars="200"/>
        <w:rPr>
          <w:rFonts w:hint="eastAsia" w:ascii="仿宋_GB2312" w:hAnsi="仿宋_GB2312" w:eastAsia="仿宋_GB2312" w:cs="仿宋_GB2312"/>
          <w:szCs w:val="21"/>
          <w:lang w:val="zh-CN"/>
        </w:rPr>
      </w:pPr>
      <w:r>
        <w:rPr>
          <w:rFonts w:hint="eastAsia" w:ascii="仿宋_GB2312" w:hAnsi="仿宋_GB2312" w:eastAsia="仿宋_GB2312" w:cs="仿宋_GB2312"/>
          <w:szCs w:val="21"/>
          <w:lang w:val="zh-CN"/>
        </w:rPr>
        <w:t>本资格声明函的签字人保证全部响应文件和问题的回答是真实和有效的。在评标过程中乃至定标后，如发现响应人所提供的资料不合法或不真实，则其投标将作废标处理。</w:t>
      </w:r>
    </w:p>
    <w:p>
      <w:pPr>
        <w:adjustRightInd w:val="0"/>
        <w:snapToGrid w:val="0"/>
        <w:spacing w:line="360" w:lineRule="auto"/>
        <w:ind w:firstLine="420" w:firstLineChars="200"/>
        <w:rPr>
          <w:rFonts w:hint="eastAsia" w:ascii="仿宋_GB2312" w:hAnsi="仿宋_GB2312" w:eastAsia="仿宋_GB2312" w:cs="仿宋_GB2312"/>
          <w:szCs w:val="21"/>
          <w:lang w:val="zh-CN"/>
        </w:rPr>
      </w:pPr>
    </w:p>
    <w:p>
      <w:pPr>
        <w:ind w:firstLine="153" w:firstLineChars="73"/>
        <w:rPr>
          <w:rFonts w:hint="eastAsia" w:ascii="仿宋_GB2312" w:hAnsi="仿宋_GB2312" w:eastAsia="仿宋_GB2312" w:cs="仿宋_GB2312"/>
          <w:szCs w:val="21"/>
        </w:rPr>
      </w:pPr>
    </w:p>
    <w:p>
      <w:pPr>
        <w:spacing w:line="360" w:lineRule="auto"/>
        <w:ind w:firstLine="420"/>
        <w:rPr>
          <w:rFonts w:hint="eastAsia" w:ascii="仿宋_GB2312" w:hAnsi="仿宋_GB2312" w:eastAsia="仿宋_GB2312" w:cs="仿宋_GB2312"/>
          <w:szCs w:val="21"/>
        </w:rPr>
      </w:pPr>
      <w:r>
        <w:rPr>
          <w:rFonts w:hint="eastAsia" w:ascii="仿宋_GB2312" w:hAnsi="仿宋_GB2312" w:eastAsia="仿宋_GB2312" w:cs="仿宋_GB2312"/>
          <w:szCs w:val="21"/>
        </w:rPr>
        <w:t>特此声明！</w:t>
      </w:r>
    </w:p>
    <w:p>
      <w:pPr>
        <w:snapToGrid w:val="0"/>
        <w:spacing w:line="440" w:lineRule="exact"/>
        <w:rPr>
          <w:rFonts w:hint="eastAsia" w:ascii="仿宋_GB2312" w:hAnsi="仿宋_GB2312" w:eastAsia="仿宋_GB2312" w:cs="仿宋_GB2312"/>
          <w:sz w:val="24"/>
          <w:szCs w:val="24"/>
        </w:rPr>
      </w:pP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响应人名称（盖公章）:</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法定代表人或响应人授权代表（签名或盖章）：</w:t>
      </w:r>
      <w:r>
        <w:rPr>
          <w:rFonts w:hint="eastAsia" w:ascii="仿宋_GB2312" w:hAnsi="仿宋_GB2312" w:eastAsia="仿宋_GB2312" w:cs="仿宋_GB2312"/>
          <w:sz w:val="24"/>
          <w:szCs w:val="24"/>
          <w:u w:val="single"/>
        </w:rPr>
        <w:t xml:space="preserve">                            </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日</w:t>
      </w:r>
    </w:p>
    <w:p>
      <w:pPr>
        <w:spacing w:line="480" w:lineRule="exact"/>
        <w:rPr>
          <w:rFonts w:hint="eastAsia" w:ascii="仿宋_GB2312" w:hAnsi="仿宋_GB2312" w:eastAsia="仿宋_GB2312" w:cs="仿宋_GB2312"/>
          <w:sz w:val="24"/>
          <w:szCs w:val="24"/>
        </w:rPr>
      </w:pPr>
    </w:p>
    <w:p>
      <w:pPr>
        <w:spacing w:line="480" w:lineRule="exact"/>
        <w:rPr>
          <w:rFonts w:hint="eastAsia" w:ascii="仿宋_GB2312" w:hAnsi="仿宋_GB2312" w:eastAsia="仿宋_GB2312" w:cs="仿宋_GB2312"/>
          <w:sz w:val="24"/>
          <w:szCs w:val="24"/>
        </w:rPr>
      </w:pPr>
    </w:p>
    <w:p>
      <w:pPr>
        <w:spacing w:line="480" w:lineRule="exact"/>
        <w:rPr>
          <w:rFonts w:hint="eastAsia" w:ascii="仿宋_GB2312" w:hAnsi="仿宋_GB2312" w:eastAsia="仿宋_GB2312" w:cs="仿宋_GB2312"/>
          <w:sz w:val="24"/>
          <w:szCs w:val="24"/>
        </w:rPr>
      </w:pPr>
    </w:p>
    <w:p>
      <w:pPr>
        <w:spacing w:line="480" w:lineRule="exact"/>
        <w:rPr>
          <w:rFonts w:hint="eastAsia" w:ascii="仿宋_GB2312" w:hAnsi="仿宋_GB2312" w:eastAsia="仿宋_GB2312" w:cs="仿宋_GB2312"/>
          <w:sz w:val="24"/>
          <w:szCs w:val="24"/>
        </w:rPr>
      </w:pPr>
    </w:p>
    <w:p>
      <w:pPr>
        <w:spacing w:line="480" w:lineRule="exact"/>
        <w:rPr>
          <w:rFonts w:hint="eastAsia" w:ascii="仿宋_GB2312" w:hAnsi="仿宋_GB2312" w:eastAsia="仿宋_GB2312" w:cs="仿宋_GB2312"/>
          <w:sz w:val="24"/>
          <w:szCs w:val="24"/>
        </w:rPr>
      </w:pPr>
    </w:p>
    <w:p>
      <w:pPr>
        <w:spacing w:line="480" w:lineRule="exact"/>
        <w:rPr>
          <w:rFonts w:hint="eastAsia" w:ascii="仿宋_GB2312" w:hAnsi="仿宋_GB2312" w:eastAsia="仿宋_GB2312" w:cs="仿宋_GB2312"/>
          <w:sz w:val="24"/>
          <w:szCs w:val="24"/>
        </w:rPr>
      </w:pPr>
    </w:p>
    <w:p>
      <w:pPr>
        <w:spacing w:line="480" w:lineRule="exact"/>
        <w:rPr>
          <w:rFonts w:hint="eastAsia" w:ascii="仿宋_GB2312" w:hAnsi="仿宋_GB2312" w:eastAsia="仿宋_GB2312" w:cs="仿宋_GB2312"/>
          <w:sz w:val="24"/>
          <w:szCs w:val="24"/>
        </w:rPr>
      </w:pPr>
    </w:p>
    <w:p>
      <w:pPr>
        <w:spacing w:line="480" w:lineRule="exact"/>
        <w:rPr>
          <w:rFonts w:hint="eastAsia" w:ascii="仿宋_GB2312" w:hAnsi="仿宋_GB2312" w:eastAsia="仿宋_GB2312" w:cs="仿宋_GB2312"/>
          <w:sz w:val="24"/>
          <w:szCs w:val="24"/>
        </w:rPr>
      </w:pPr>
    </w:p>
    <w:p>
      <w:pPr>
        <w:spacing w:line="480" w:lineRule="exact"/>
        <w:rPr>
          <w:rFonts w:hint="eastAsia" w:ascii="仿宋_GB2312" w:hAnsi="仿宋_GB2312" w:eastAsia="仿宋_GB2312" w:cs="仿宋_GB2312"/>
          <w:sz w:val="24"/>
          <w:szCs w:val="24"/>
        </w:rPr>
      </w:pPr>
    </w:p>
    <w:p>
      <w:pPr>
        <w:spacing w:line="480" w:lineRule="exact"/>
        <w:rPr>
          <w:rFonts w:hint="eastAsia" w:ascii="仿宋_GB2312" w:hAnsi="仿宋_GB2312" w:eastAsia="仿宋_GB2312" w:cs="仿宋_GB2312"/>
          <w:sz w:val="24"/>
          <w:szCs w:val="24"/>
        </w:rPr>
      </w:pPr>
    </w:p>
    <w:p>
      <w:pPr>
        <w:pStyle w:val="23"/>
        <w:ind w:firstLine="240"/>
        <w:rPr>
          <w:rFonts w:hint="eastAsia" w:ascii="仿宋_GB2312" w:hAnsi="仿宋_GB2312" w:eastAsia="仿宋_GB2312" w:cs="仿宋_GB2312"/>
          <w:sz w:val="24"/>
          <w:szCs w:val="24"/>
        </w:rPr>
      </w:pPr>
    </w:p>
    <w:p>
      <w:pPr>
        <w:pStyle w:val="23"/>
        <w:ind w:firstLine="240"/>
        <w:rPr>
          <w:rFonts w:hint="eastAsia" w:ascii="仿宋_GB2312" w:hAnsi="仿宋_GB2312" w:eastAsia="仿宋_GB2312" w:cs="仿宋_GB2312"/>
          <w:sz w:val="24"/>
          <w:szCs w:val="24"/>
        </w:rPr>
      </w:pPr>
    </w:p>
    <w:p>
      <w:pPr>
        <w:tabs>
          <w:tab w:val="left" w:pos="900"/>
        </w:tabs>
        <w:spacing w:before="100" w:after="100"/>
        <w:rPr>
          <w:rFonts w:hint="eastAsia" w:ascii="仿宋_GB2312" w:hAnsi="仿宋_GB2312" w:eastAsia="仿宋_GB2312" w:cs="仿宋_GB2312"/>
          <w:szCs w:val="28"/>
        </w:rPr>
      </w:pPr>
      <w:r>
        <w:rPr>
          <w:rFonts w:hint="eastAsia" w:ascii="仿宋_GB2312" w:hAnsi="仿宋_GB2312" w:eastAsia="仿宋_GB2312" w:cs="仿宋_GB2312"/>
          <w:szCs w:val="28"/>
        </w:rPr>
        <w:br w:type="page"/>
      </w:r>
    </w:p>
    <w:p>
      <w:pPr>
        <w:rPr>
          <w:sz w:val="32"/>
          <w:szCs w:val="32"/>
        </w:rPr>
      </w:pPr>
      <w:r>
        <w:rPr>
          <w:rFonts w:hint="eastAsia"/>
          <w:sz w:val="32"/>
          <w:szCs w:val="32"/>
        </w:rPr>
        <w:t>1.4</w:t>
      </w:r>
      <w:r>
        <w:rPr>
          <w:rFonts w:hint="eastAsia" w:ascii="仿宋_GB2312" w:hAnsi="仿宋_GB2312" w:eastAsia="仿宋_GB2312" w:cs="仿宋_GB2312"/>
          <w:b/>
          <w:kern w:val="2"/>
          <w:sz w:val="32"/>
          <w:szCs w:val="32"/>
        </w:rPr>
        <w:t>资格条件承诺函</w:t>
      </w:r>
    </w:p>
    <w:p>
      <w:pPr>
        <w:jc w:val="center"/>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资格条件承诺函</w:t>
      </w:r>
    </w:p>
    <w:p>
      <w:pPr>
        <w:rPr>
          <w:rFonts w:hint="eastAsia" w:ascii="仿宋_GB2312" w:hAnsi="仿宋_GB2312" w:eastAsia="仿宋_GB2312" w:cs="仿宋_GB2312"/>
          <w:sz w:val="32"/>
          <w:szCs w:val="32"/>
        </w:rPr>
      </w:pPr>
    </w:p>
    <w:p>
      <w:pPr>
        <w:ind w:firstLine="640" w:firstLineChars="200"/>
        <w:rPr>
          <w:rFonts w:hint="eastAsia"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我方（响应人）符合《中华人民共和国政府采购法》第二十二条第一款第（二）项、第（三）项、第（四）项、第（五）项规定条件，具体包括：</w:t>
      </w:r>
    </w:p>
    <w:p>
      <w:pPr>
        <w:ind w:firstLine="640" w:firstLineChars="200"/>
        <w:rPr>
          <w:rFonts w:hint="eastAsia"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1、 具有良好的商业信誉和健全的财务会计制度；</w:t>
      </w:r>
    </w:p>
    <w:p>
      <w:pPr>
        <w:ind w:firstLine="640" w:firstLineChars="200"/>
        <w:rPr>
          <w:rFonts w:hint="eastAsia"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2、 具有履行合同所必需的设备和专业技术能力；</w:t>
      </w:r>
    </w:p>
    <w:p>
      <w:pPr>
        <w:ind w:firstLine="640" w:firstLineChars="200"/>
        <w:rPr>
          <w:rFonts w:hint="eastAsia"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3、 具有依法缴纳税收和社会保障资金的良好记录；</w:t>
      </w:r>
    </w:p>
    <w:p>
      <w:pPr>
        <w:ind w:firstLine="640" w:firstLineChars="200"/>
        <w:rPr>
          <w:rFonts w:hint="eastAsia"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4、 参加政府采购活动前三年内，在经营活动中没有重大违法记录。</w:t>
      </w:r>
    </w:p>
    <w:p>
      <w:pPr>
        <w:ind w:firstLine="640" w:firstLineChars="200"/>
        <w:rPr>
          <w:rFonts w:hint="eastAsia"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特此承诺。</w:t>
      </w:r>
    </w:p>
    <w:p>
      <w:pPr>
        <w:ind w:firstLine="640" w:firstLineChars="200"/>
        <w:rPr>
          <w:rFonts w:hint="eastAsia" w:ascii="仿宋_GB2312" w:hAnsi="仿宋_GB2312" w:eastAsia="仿宋_GB2312" w:cs="仿宋_GB2312"/>
          <w:spacing w:val="20"/>
          <w:sz w:val="28"/>
          <w:szCs w:val="28"/>
        </w:rPr>
      </w:pPr>
    </w:p>
    <w:p>
      <w:pPr>
        <w:ind w:firstLine="640" w:firstLineChars="200"/>
        <w:rPr>
          <w:rFonts w:hint="eastAsia"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我方对上述承诺的真实性负责。如有虚假，将依法承担相应法律责任。</w:t>
      </w:r>
    </w:p>
    <w:p>
      <w:pPr>
        <w:ind w:firstLine="640" w:firstLineChars="200"/>
        <w:rPr>
          <w:rFonts w:hint="eastAsia" w:ascii="仿宋_GB2312" w:hAnsi="仿宋_GB2312" w:eastAsia="仿宋_GB2312" w:cs="仿宋_GB2312"/>
          <w:spacing w:val="20"/>
          <w:sz w:val="28"/>
          <w:szCs w:val="28"/>
        </w:rPr>
      </w:pPr>
    </w:p>
    <w:p>
      <w:pPr>
        <w:ind w:firstLine="640" w:firstLineChars="200"/>
        <w:rPr>
          <w:rFonts w:hint="eastAsia" w:ascii="仿宋_GB2312" w:hAnsi="仿宋_GB2312" w:eastAsia="仿宋_GB2312" w:cs="仿宋_GB2312"/>
          <w:spacing w:val="20"/>
          <w:sz w:val="28"/>
          <w:szCs w:val="28"/>
        </w:rPr>
      </w:pPr>
    </w:p>
    <w:p>
      <w:pPr>
        <w:ind w:firstLine="640" w:firstLineChars="200"/>
        <w:jc w:val="right"/>
        <w:rPr>
          <w:rFonts w:hint="eastAsia"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响应人名称（公章）</w:t>
      </w:r>
    </w:p>
    <w:p>
      <w:pPr>
        <w:ind w:firstLine="640" w:firstLineChars="200"/>
        <w:jc w:val="center"/>
        <w:rPr>
          <w:rFonts w:hint="eastAsia" w:ascii="仿宋_GB2312" w:hAnsi="仿宋_GB2312" w:eastAsia="仿宋_GB2312" w:cs="仿宋_GB2312"/>
          <w:spacing w:val="20"/>
          <w:sz w:val="28"/>
          <w:szCs w:val="28"/>
        </w:rPr>
      </w:pPr>
      <w:r>
        <w:rPr>
          <w:rFonts w:hint="eastAsia" w:ascii="仿宋_GB2312" w:hAnsi="仿宋_GB2312" w:eastAsia="仿宋_GB2312" w:cs="仿宋_GB2312"/>
          <w:spacing w:val="20"/>
          <w:sz w:val="28"/>
          <w:szCs w:val="28"/>
        </w:rPr>
        <w:t xml:space="preserve">                  日期：</w:t>
      </w:r>
    </w:p>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pStyle w:val="14"/>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1.5承诺函</w:t>
      </w:r>
    </w:p>
    <w:p>
      <w:pPr>
        <w:pStyle w:val="24"/>
        <w:ind w:left="0" w:leftChars="0" w:firstLine="0" w:firstLineChars="0"/>
        <w:jc w:val="center"/>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承诺函</w:t>
      </w:r>
    </w:p>
    <w:p>
      <w:pPr>
        <w:snapToGrid w:val="0"/>
        <w:spacing w:before="156" w:beforeLines="50"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致：珠海华信达工程顾问有限公司</w:t>
      </w:r>
    </w:p>
    <w:p>
      <w:pPr>
        <w:snapToGrid w:val="0"/>
        <w:spacing w:before="156" w:beforeLines="50" w:line="360" w:lineRule="auto"/>
        <w:ind w:firstLine="420" w:firstLineChars="200"/>
        <w:rPr>
          <w:rFonts w:hint="eastAsia" w:ascii="仿宋_GB2312" w:hAnsi="仿宋_GB2312" w:eastAsia="仿宋_GB2312" w:cs="仿宋_GB2312"/>
          <w:szCs w:val="21"/>
        </w:rPr>
      </w:pPr>
      <w:r>
        <w:rPr>
          <w:rFonts w:hint="eastAsia" w:ascii="仿宋_GB2312" w:hAnsi="仿宋_GB2312" w:eastAsia="仿宋_GB2312" w:cs="仿宋_GB2312"/>
          <w:szCs w:val="21"/>
        </w:rPr>
        <w:t>关于贵公司</w:t>
      </w:r>
      <w:r>
        <w:rPr>
          <w:rFonts w:hint="eastAsia" w:ascii="仿宋_GB2312" w:hAnsi="仿宋_GB2312" w:eastAsia="仿宋_GB2312" w:cs="仿宋_GB2312"/>
          <w:szCs w:val="21"/>
          <w:u w:val="single"/>
        </w:rPr>
        <w:t>　  　</w:t>
      </w:r>
      <w:r>
        <w:rPr>
          <w:rFonts w:hint="eastAsia" w:ascii="仿宋_GB2312" w:hAnsi="仿宋_GB2312" w:eastAsia="仿宋_GB2312" w:cs="仿宋_GB2312"/>
          <w:szCs w:val="21"/>
        </w:rPr>
        <w:t>年</w:t>
      </w:r>
      <w:r>
        <w:rPr>
          <w:rFonts w:hint="eastAsia" w:ascii="仿宋_GB2312" w:hAnsi="仿宋_GB2312" w:eastAsia="仿宋_GB2312" w:cs="仿宋_GB2312"/>
          <w:szCs w:val="21"/>
          <w:u w:val="single"/>
        </w:rPr>
        <w:t>　  　</w:t>
      </w:r>
      <w:r>
        <w:rPr>
          <w:rFonts w:hint="eastAsia" w:ascii="仿宋_GB2312" w:hAnsi="仿宋_GB2312" w:eastAsia="仿宋_GB2312" w:cs="仿宋_GB2312"/>
          <w:szCs w:val="21"/>
        </w:rPr>
        <w:t>月</w:t>
      </w:r>
      <w:r>
        <w:rPr>
          <w:rFonts w:hint="eastAsia" w:ascii="仿宋_GB2312" w:hAnsi="仿宋_GB2312" w:eastAsia="仿宋_GB2312" w:cs="仿宋_GB2312"/>
          <w:szCs w:val="21"/>
          <w:u w:val="single"/>
        </w:rPr>
        <w:t>　  　</w:t>
      </w:r>
      <w:r>
        <w:rPr>
          <w:rFonts w:hint="eastAsia" w:ascii="仿宋_GB2312" w:hAnsi="仿宋_GB2312" w:eastAsia="仿宋_GB2312" w:cs="仿宋_GB2312"/>
          <w:szCs w:val="21"/>
        </w:rPr>
        <w:t>日发布项目（</w:t>
      </w:r>
      <w:r>
        <w:rPr>
          <w:rFonts w:hint="eastAsia" w:ascii="仿宋_GB2312" w:hAnsi="仿宋_GB2312" w:eastAsia="仿宋_GB2312" w:cs="仿宋_GB2312"/>
          <w:szCs w:val="21"/>
          <w:u w:val="single"/>
        </w:rPr>
        <w:t xml:space="preserve">项目名称、编号   </w:t>
      </w:r>
      <w:r>
        <w:rPr>
          <w:rFonts w:hint="eastAsia" w:ascii="仿宋_GB2312" w:hAnsi="仿宋_GB2312" w:eastAsia="仿宋_GB2312" w:cs="仿宋_GB2312"/>
          <w:szCs w:val="21"/>
        </w:rPr>
        <w:t>）的采购公告，本公司（企业）愿意参加投标，并承诺：</w:t>
      </w:r>
    </w:p>
    <w:p>
      <w:pPr>
        <w:snapToGrid w:val="0"/>
        <w:spacing w:before="156" w:beforeLines="50" w:line="360" w:lineRule="auto"/>
        <w:ind w:firstLine="630" w:firstLineChars="300"/>
        <w:rPr>
          <w:rFonts w:hint="eastAsia" w:ascii="仿宋_GB2312" w:hAnsi="仿宋_GB2312" w:eastAsia="仿宋_GB2312" w:cs="仿宋_GB2312"/>
          <w:szCs w:val="21"/>
        </w:rPr>
      </w:pPr>
      <w:r>
        <w:rPr>
          <w:rFonts w:hint="eastAsia" w:ascii="仿宋_GB2312" w:hAnsi="仿宋_GB2312" w:eastAsia="仿宋_GB2312" w:cs="仿宋_GB2312"/>
          <w:szCs w:val="21"/>
        </w:rPr>
        <w:t>本公司（企业）的法定代表人或单位负责人与本项目其他响应人的法定代表人或单位负责人不为同一人且与其他响应人之间不存在直接控股、管理关系。</w:t>
      </w:r>
    </w:p>
    <w:p>
      <w:pPr>
        <w:snapToGrid w:val="0"/>
        <w:spacing w:before="156" w:beforeLines="50" w:line="360" w:lineRule="auto"/>
        <w:ind w:firstLine="630" w:firstLineChars="300"/>
        <w:rPr>
          <w:rFonts w:hint="eastAsia" w:ascii="仿宋_GB2312" w:hAnsi="仿宋_GB2312" w:eastAsia="仿宋_GB2312" w:cs="仿宋_GB2312"/>
          <w:szCs w:val="21"/>
        </w:rPr>
      </w:pPr>
      <w:r>
        <w:rPr>
          <w:rFonts w:hint="eastAsia" w:ascii="仿宋_GB2312" w:hAnsi="仿宋_GB2312" w:eastAsia="仿宋_GB2312" w:cs="仿宋_GB2312"/>
          <w:bCs/>
          <w:szCs w:val="21"/>
        </w:rPr>
        <w:t>根据《中华人民共和国政府采购法实施条例》的规定，本公司（企业）如为采购项目</w:t>
      </w:r>
      <w:r>
        <w:rPr>
          <w:rFonts w:hint="eastAsia" w:ascii="仿宋_GB2312" w:hAnsi="仿宋_GB2312" w:eastAsia="仿宋_GB2312" w:cs="仿宋_GB2312"/>
          <w:szCs w:val="21"/>
        </w:rPr>
        <w:t>（包组）</w:t>
      </w:r>
      <w:r>
        <w:rPr>
          <w:rFonts w:hint="eastAsia" w:ascii="仿宋_GB2312" w:hAnsi="仿宋_GB2312" w:eastAsia="仿宋_GB2312" w:cs="仿宋_GB2312"/>
          <w:bCs/>
          <w:szCs w:val="21"/>
        </w:rPr>
        <w:t>提供整体设计、规范编制或者项目管理、监理、检测等服务的供应商，不再参加该采购项目的其他采购活动。否</w:t>
      </w:r>
      <w:r>
        <w:rPr>
          <w:rFonts w:hint="eastAsia" w:ascii="仿宋_GB2312" w:hAnsi="仿宋_GB2312" w:eastAsia="仿宋_GB2312" w:cs="仿宋_GB2312"/>
          <w:szCs w:val="21"/>
        </w:rPr>
        <w:t>则，由此所造成的损失、不良后果及法律责任，一律由我公司（企业）承担。</w:t>
      </w:r>
    </w:p>
    <w:p>
      <w:pPr>
        <w:spacing w:line="360" w:lineRule="auto"/>
        <w:rPr>
          <w:rFonts w:hint="eastAsia" w:ascii="仿宋_GB2312" w:hAnsi="仿宋_GB2312" w:eastAsia="仿宋_GB2312" w:cs="仿宋_GB2312"/>
          <w:sz w:val="24"/>
          <w:szCs w:val="24"/>
        </w:rPr>
      </w:pPr>
    </w:p>
    <w:p>
      <w:pPr>
        <w:spacing w:line="360" w:lineRule="auto"/>
        <w:rPr>
          <w:rFonts w:hint="eastAsia" w:ascii="仿宋_GB2312" w:hAnsi="仿宋_GB2312" w:eastAsia="仿宋_GB2312" w:cs="仿宋_GB2312"/>
          <w:sz w:val="24"/>
          <w:szCs w:val="24"/>
        </w:rPr>
      </w:pP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响应人名称（盖公章）:</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法定代表人或响应人授权代表（签名或盖章）：</w:t>
      </w:r>
      <w:r>
        <w:rPr>
          <w:rFonts w:hint="eastAsia" w:ascii="仿宋_GB2312" w:hAnsi="仿宋_GB2312" w:eastAsia="仿宋_GB2312" w:cs="仿宋_GB2312"/>
          <w:sz w:val="24"/>
          <w:szCs w:val="24"/>
          <w:u w:val="single"/>
        </w:rPr>
        <w:t xml:space="preserve">                            </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日</w:t>
      </w: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jc w:val="both"/>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二、响应人应提交的技术文件</w:t>
      </w:r>
    </w:p>
    <w:p>
      <w:pPr>
        <w:spacing w:line="360" w:lineRule="auto"/>
        <w:rPr>
          <w:rFonts w:hint="eastAsia" w:ascii="仿宋_GB2312" w:hAnsi="仿宋_GB2312" w:eastAsia="仿宋_GB2312" w:cs="仿宋_GB2312"/>
          <w:b/>
          <w:sz w:val="32"/>
          <w:szCs w:val="32"/>
        </w:rPr>
      </w:pPr>
    </w:p>
    <w:p>
      <w:pPr>
        <w:wordWrap w:val="0"/>
        <w:spacing w:line="360" w:lineRule="auto"/>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项目名称：</w:t>
      </w:r>
      <w:r>
        <w:rPr>
          <w:rFonts w:hint="eastAsia" w:ascii="仿宋_GB2312" w:hAnsi="仿宋_GB2312" w:eastAsia="仿宋_GB2312" w:cs="仿宋_GB2312"/>
          <w:sz w:val="24"/>
          <w:szCs w:val="24"/>
          <w:u w:val="single"/>
        </w:rPr>
        <w:t xml:space="preserve">                                            </w:t>
      </w:r>
    </w:p>
    <w:p>
      <w:pPr>
        <w:wordWrap w:val="0"/>
        <w:spacing w:line="360" w:lineRule="auto"/>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项目编号：</w:t>
      </w:r>
      <w:r>
        <w:rPr>
          <w:rFonts w:hint="eastAsia" w:ascii="仿宋_GB2312" w:hAnsi="仿宋_GB2312" w:eastAsia="仿宋_GB2312" w:cs="仿宋_GB2312"/>
          <w:sz w:val="24"/>
          <w:szCs w:val="24"/>
          <w:u w:val="single"/>
        </w:rPr>
        <w:t xml:space="preserve">                                            </w:t>
      </w:r>
    </w:p>
    <w:p>
      <w:pPr>
        <w:tabs>
          <w:tab w:val="left" w:pos="1322"/>
        </w:tabs>
        <w:ind w:left="420"/>
        <w:rPr>
          <w:rFonts w:hint="eastAsia" w:ascii="仿宋_GB2312" w:hAnsi="仿宋_GB2312" w:eastAsia="仿宋_GB2312" w:cs="仿宋_GB2312"/>
          <w:sz w:val="24"/>
          <w:szCs w:val="24"/>
          <w:lang w:val="en-GB"/>
        </w:rPr>
      </w:pPr>
    </w:p>
    <w:p>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GB"/>
        </w:rPr>
        <w:t>主要内容应包括但不限于以下内容（格式自定）：</w:t>
      </w:r>
    </w:p>
    <w:p>
      <w:pPr>
        <w:spacing w:line="400" w:lineRule="exact"/>
        <w:rPr>
          <w:rFonts w:hint="eastAsia" w:ascii="仿宋_GB2312" w:hAnsi="仿宋_GB2312" w:eastAsia="仿宋_GB2312" w:cs="仿宋_GB2312"/>
          <w:sz w:val="24"/>
          <w:szCs w:val="24"/>
        </w:rPr>
      </w:pP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2.1 项目服务需求分析理解 </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2.2 质量保证措施及项目进度保证措施</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2.3 项目服务方案 </w:t>
      </w:r>
    </w:p>
    <w:p>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2.4 响应人认为需要提供的其它说明和资料</w:t>
      </w:r>
    </w:p>
    <w:p>
      <w:pPr>
        <w:spacing w:line="400" w:lineRule="exact"/>
        <w:rPr>
          <w:rFonts w:hint="eastAsia" w:ascii="仿宋_GB2312" w:hAnsi="仿宋_GB2312" w:eastAsia="仿宋_GB2312" w:cs="仿宋_GB2312"/>
          <w:sz w:val="24"/>
          <w:szCs w:val="24"/>
        </w:rPr>
      </w:pPr>
    </w:p>
    <w:p>
      <w:pPr>
        <w:spacing w:line="400" w:lineRule="exact"/>
        <w:rPr>
          <w:rFonts w:hint="eastAsia" w:ascii="仿宋_GB2312" w:hAnsi="仿宋_GB2312" w:eastAsia="仿宋_GB2312" w:cs="仿宋_GB2312"/>
          <w:sz w:val="24"/>
          <w:szCs w:val="24"/>
        </w:rPr>
      </w:pPr>
    </w:p>
    <w:p>
      <w:pPr>
        <w:adjustRightInd w:val="0"/>
        <w:snapToGrid w:val="0"/>
        <w:spacing w:line="300" w:lineRule="auto"/>
        <w:rPr>
          <w:rFonts w:hint="eastAsia" w:ascii="仿宋_GB2312" w:hAnsi="仿宋_GB2312" w:eastAsia="仿宋_GB2312" w:cs="仿宋_GB2312"/>
          <w:sz w:val="24"/>
          <w:szCs w:val="24"/>
        </w:rPr>
      </w:pP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响应人名称（盖公章）:</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法定代表人或响应人授权代表（签名或盖章）：</w:t>
      </w:r>
      <w:r>
        <w:rPr>
          <w:rFonts w:hint="eastAsia" w:ascii="仿宋_GB2312" w:hAnsi="仿宋_GB2312" w:eastAsia="仿宋_GB2312" w:cs="仿宋_GB2312"/>
          <w:sz w:val="24"/>
          <w:szCs w:val="24"/>
          <w:u w:val="single"/>
        </w:rPr>
        <w:t xml:space="preserve">                            </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年</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日</w:t>
      </w:r>
    </w:p>
    <w:p>
      <w:pPr>
        <w:jc w:val="center"/>
        <w:rPr>
          <w:rFonts w:hint="eastAsia" w:ascii="仿宋_GB2312" w:hAnsi="仿宋_GB2312" w:eastAsia="仿宋_GB2312" w:cs="仿宋_GB2312"/>
          <w:b/>
          <w:sz w:val="32"/>
          <w:szCs w:val="32"/>
        </w:rPr>
      </w:pPr>
    </w:p>
    <w:p>
      <w:pPr>
        <w:jc w:val="center"/>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pStyle w:val="14"/>
        <w:rPr>
          <w:rFonts w:hint="eastAsia" w:ascii="仿宋_GB2312" w:hAnsi="仿宋_GB2312" w:eastAsia="仿宋_GB2312" w:cs="仿宋_GB2312"/>
          <w:b/>
          <w:sz w:val="32"/>
          <w:szCs w:val="32"/>
        </w:rPr>
      </w:pPr>
    </w:p>
    <w:p>
      <w:pPr>
        <w:pStyle w:val="14"/>
        <w:rPr>
          <w:rFonts w:hint="eastAsia" w:ascii="仿宋_GB2312" w:hAnsi="仿宋_GB2312" w:eastAsia="仿宋_GB2312" w:cs="仿宋_GB2312"/>
          <w:b/>
          <w:sz w:val="32"/>
          <w:szCs w:val="32"/>
        </w:rPr>
      </w:pPr>
    </w:p>
    <w:p>
      <w:pPr>
        <w:pStyle w:val="14"/>
        <w:rPr>
          <w:rFonts w:hint="eastAsia" w:ascii="仿宋_GB2312" w:hAnsi="仿宋_GB2312" w:eastAsia="仿宋_GB2312" w:cs="仿宋_GB2312"/>
          <w:b/>
          <w:sz w:val="32"/>
          <w:szCs w:val="32"/>
        </w:rPr>
      </w:pPr>
    </w:p>
    <w:p>
      <w:pPr>
        <w:pStyle w:val="14"/>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三、响应人应提交的商务文件</w:t>
      </w:r>
    </w:p>
    <w:p>
      <w:pPr>
        <w:spacing w:line="360"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3.1响应人基本情况表</w:t>
      </w:r>
    </w:p>
    <w:p>
      <w:pPr>
        <w:widowControl w:val="0"/>
        <w:tabs>
          <w:tab w:val="left" w:pos="420"/>
          <w:tab w:val="left" w:pos="481"/>
          <w:tab w:val="left" w:pos="840"/>
        </w:tabs>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1.公司名称：</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xml:space="preserve">. </w:t>
      </w:r>
    </w:p>
    <w:p>
      <w:pPr>
        <w:widowControl w:val="0"/>
        <w:tabs>
          <w:tab w:val="left" w:pos="420"/>
          <w:tab w:val="left" w:pos="481"/>
          <w:tab w:val="left" w:pos="840"/>
        </w:tabs>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2.地    址：</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pPr>
        <w:widowControl w:val="0"/>
        <w:tabs>
          <w:tab w:val="left" w:pos="420"/>
          <w:tab w:val="left" w:pos="481"/>
          <w:tab w:val="left" w:pos="840"/>
        </w:tabs>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3.电话号码：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传真：</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pPr>
        <w:widowControl w:val="0"/>
        <w:tabs>
          <w:tab w:val="left" w:pos="420"/>
          <w:tab w:val="left" w:pos="481"/>
          <w:tab w:val="left" w:pos="840"/>
        </w:tabs>
        <w:spacing w:line="360" w:lineRule="auto"/>
        <w:jc w:val="both"/>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4.注册资金：</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   经济性质：</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pPr>
        <w:widowControl w:val="0"/>
        <w:tabs>
          <w:tab w:val="left" w:pos="420"/>
          <w:tab w:val="left" w:pos="481"/>
          <w:tab w:val="left" w:pos="840"/>
        </w:tabs>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5.公司开户银行名称及账号：</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pPr>
        <w:widowControl w:val="0"/>
        <w:tabs>
          <w:tab w:val="left" w:pos="420"/>
          <w:tab w:val="left" w:pos="481"/>
          <w:tab w:val="left" w:pos="840"/>
        </w:tabs>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6.营业执照注册号（统一社会信用代码）：</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w:t>
      </w:r>
    </w:p>
    <w:p>
      <w:pPr>
        <w:widowControl w:val="0"/>
        <w:tabs>
          <w:tab w:val="left" w:pos="420"/>
          <w:tab w:val="left" w:pos="481"/>
          <w:tab w:val="left" w:pos="840"/>
        </w:tabs>
        <w:spacing w:line="360" w:lineRule="auto"/>
        <w:jc w:val="both"/>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7.公司简介:</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（企业规模、技术力量、财务状况、管理水平等方面进行阐述）。</w:t>
      </w:r>
    </w:p>
    <w:p>
      <w:pPr>
        <w:adjustRightInd w:val="0"/>
        <w:snapToGrid w:val="0"/>
        <w:spacing w:line="360" w:lineRule="auto"/>
        <w:rPr>
          <w:rFonts w:hint="eastAsia" w:ascii="仿宋_GB2312" w:hAnsi="仿宋_GB2312" w:eastAsia="仿宋_GB2312" w:cs="仿宋_GB2312"/>
          <w:sz w:val="24"/>
          <w:szCs w:val="24"/>
        </w:rPr>
      </w:pPr>
    </w:p>
    <w:p>
      <w:pPr>
        <w:adjustRightInd w:val="0"/>
        <w:snapToGrid w:val="0"/>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我/我们声明以上所述是正确无误的，您有权进行您认为必要的所有调查。</w:t>
      </w:r>
    </w:p>
    <w:p>
      <w:pPr>
        <w:adjustRightInd w:val="0"/>
        <w:snapToGrid w:val="0"/>
        <w:spacing w:line="360" w:lineRule="auto"/>
        <w:ind w:firstLine="480" w:firstLineChars="200"/>
        <w:rPr>
          <w:rFonts w:hint="eastAsia" w:ascii="仿宋_GB2312" w:hAnsi="仿宋_GB2312" w:eastAsia="仿宋_GB2312" w:cs="仿宋_GB2312"/>
          <w:sz w:val="24"/>
          <w:szCs w:val="24"/>
        </w:rPr>
      </w:pPr>
    </w:p>
    <w:p>
      <w:pPr>
        <w:adjustRightInd w:val="0"/>
        <w:snapToGrid w:val="0"/>
        <w:spacing w:line="360" w:lineRule="auto"/>
        <w:ind w:firstLine="480" w:firstLineChars="200"/>
        <w:rPr>
          <w:rFonts w:hint="eastAsia" w:ascii="仿宋_GB2312" w:hAnsi="仿宋_GB2312" w:eastAsia="仿宋_GB2312" w:cs="仿宋_GB2312"/>
          <w:sz w:val="24"/>
          <w:szCs w:val="24"/>
        </w:rPr>
      </w:pPr>
    </w:p>
    <w:p>
      <w:pPr>
        <w:spacing w:line="50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pacing w:val="4"/>
          <w:sz w:val="24"/>
          <w:szCs w:val="24"/>
        </w:rPr>
        <w:t>响应人名称（盖公章）：</w:t>
      </w:r>
      <w:r>
        <w:rPr>
          <w:rFonts w:hint="eastAsia" w:ascii="仿宋_GB2312" w:hAnsi="仿宋_GB2312" w:eastAsia="仿宋_GB2312" w:cs="仿宋_GB2312"/>
          <w:spacing w:val="4"/>
          <w:sz w:val="24"/>
          <w:szCs w:val="24"/>
          <w:u w:val="single"/>
        </w:rPr>
        <w:t xml:space="preserve">                                               </w:t>
      </w:r>
    </w:p>
    <w:p>
      <w:pPr>
        <w:spacing w:line="520" w:lineRule="exact"/>
        <w:rPr>
          <w:rFonts w:hint="eastAsia" w:ascii="仿宋_GB2312" w:hAnsi="仿宋_GB2312" w:eastAsia="仿宋_GB2312" w:cs="仿宋_GB2312"/>
          <w:spacing w:val="4"/>
          <w:sz w:val="24"/>
          <w:szCs w:val="24"/>
        </w:rPr>
      </w:pPr>
      <w:r>
        <w:rPr>
          <w:rFonts w:hint="eastAsia" w:ascii="仿宋_GB2312" w:hAnsi="仿宋_GB2312" w:eastAsia="仿宋_GB2312" w:cs="仿宋_GB2312"/>
          <w:sz w:val="24"/>
          <w:szCs w:val="24"/>
        </w:rPr>
        <w:t>法定代表人或响应人授权代表（签名或盖章）：</w:t>
      </w:r>
      <w:r>
        <w:rPr>
          <w:rFonts w:hint="eastAsia" w:ascii="仿宋_GB2312" w:hAnsi="仿宋_GB2312" w:eastAsia="仿宋_GB2312" w:cs="仿宋_GB2312"/>
          <w:spacing w:val="4"/>
          <w:sz w:val="24"/>
          <w:szCs w:val="24"/>
          <w:u w:val="single"/>
        </w:rPr>
        <w:t xml:space="preserve">                        </w:t>
      </w:r>
    </w:p>
    <w:p>
      <w:pPr>
        <w:spacing w:line="520" w:lineRule="exact"/>
        <w:rPr>
          <w:rFonts w:hint="eastAsia" w:ascii="仿宋_GB2312" w:hAnsi="仿宋_GB2312" w:eastAsia="仿宋_GB2312" w:cs="仿宋_GB2312"/>
          <w:spacing w:val="4"/>
          <w:sz w:val="24"/>
          <w:szCs w:val="24"/>
        </w:rPr>
      </w:pPr>
      <w:r>
        <w:rPr>
          <w:rFonts w:hint="eastAsia" w:ascii="仿宋_GB2312" w:hAnsi="仿宋_GB2312" w:eastAsia="仿宋_GB2312" w:cs="仿宋_GB2312"/>
          <w:spacing w:val="4"/>
          <w:sz w:val="24"/>
          <w:szCs w:val="24"/>
        </w:rPr>
        <w:t>日     期：</w:t>
      </w:r>
      <w:r>
        <w:rPr>
          <w:rFonts w:hint="eastAsia" w:ascii="仿宋_GB2312" w:hAnsi="仿宋_GB2312" w:eastAsia="仿宋_GB2312" w:cs="仿宋_GB2312"/>
          <w:spacing w:val="4"/>
          <w:sz w:val="24"/>
          <w:szCs w:val="24"/>
          <w:u w:val="single"/>
        </w:rPr>
        <w:t xml:space="preserve">                                                        </w:t>
      </w:r>
    </w:p>
    <w:p>
      <w:pPr>
        <w:adjustRightInd w:val="0"/>
        <w:snapToGrid w:val="0"/>
        <w:spacing w:line="360" w:lineRule="auto"/>
        <w:ind w:firstLine="480" w:firstLineChars="200"/>
        <w:rPr>
          <w:rFonts w:hint="eastAsia" w:ascii="仿宋_GB2312" w:hAnsi="仿宋_GB2312" w:eastAsia="仿宋_GB2312" w:cs="仿宋_GB2312"/>
          <w:sz w:val="24"/>
          <w:szCs w:val="24"/>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p>
    <w:p>
      <w:pPr>
        <w:widowControl w:val="0"/>
        <w:jc w:val="both"/>
        <w:rPr>
          <w:rFonts w:hint="eastAsia" w:ascii="仿宋_GB2312" w:hAnsi="仿宋_GB2312" w:eastAsia="仿宋_GB2312" w:cs="仿宋_GB2312"/>
          <w:spacing w:val="20"/>
          <w:kern w:val="2"/>
          <w:sz w:val="28"/>
          <w:szCs w:val="28"/>
        </w:rPr>
      </w:pPr>
      <w:r>
        <w:rPr>
          <w:rFonts w:hint="eastAsia" w:ascii="仿宋_GB2312" w:hAnsi="仿宋_GB2312" w:eastAsia="仿宋_GB2312" w:cs="仿宋_GB2312"/>
          <w:spacing w:val="20"/>
          <w:kern w:val="2"/>
          <w:sz w:val="28"/>
          <w:szCs w:val="28"/>
        </w:rPr>
        <w:t>其他商务文件</w:t>
      </w:r>
    </w:p>
    <w:p>
      <w:pPr>
        <w:spacing w:line="400" w:lineRule="exact"/>
        <w:ind w:left="945" w:hanging="945" w:hangingChars="450"/>
        <w:rPr>
          <w:rFonts w:hint="eastAsia" w:ascii="仿宋_GB2312" w:hAnsi="仿宋_GB2312" w:eastAsia="仿宋_GB2312" w:cs="仿宋_GB2312"/>
          <w:szCs w:val="21"/>
        </w:rPr>
      </w:pPr>
    </w:p>
    <w:p>
      <w:pPr>
        <w:wordWrap w:val="0"/>
        <w:spacing w:line="36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项目名称：</w:t>
      </w:r>
      <w:r>
        <w:rPr>
          <w:rFonts w:hint="eastAsia" w:ascii="仿宋_GB2312" w:hAnsi="仿宋_GB2312" w:eastAsia="仿宋_GB2312" w:cs="仿宋_GB2312"/>
          <w:szCs w:val="21"/>
          <w:u w:val="single"/>
        </w:rPr>
        <w:t xml:space="preserve">                                      </w:t>
      </w:r>
    </w:p>
    <w:p>
      <w:pPr>
        <w:wordWrap w:val="0"/>
        <w:spacing w:line="360" w:lineRule="auto"/>
        <w:rPr>
          <w:rFonts w:hint="eastAsia" w:ascii="仿宋_GB2312" w:hAnsi="仿宋_GB2312" w:eastAsia="仿宋_GB2312" w:cs="仿宋_GB2312"/>
          <w:szCs w:val="21"/>
        </w:rPr>
      </w:pPr>
      <w:r>
        <w:rPr>
          <w:rFonts w:hint="eastAsia" w:ascii="仿宋_GB2312" w:hAnsi="仿宋_GB2312" w:eastAsia="仿宋_GB2312" w:cs="仿宋_GB2312"/>
          <w:szCs w:val="21"/>
        </w:rPr>
        <w:t>项目编号：</w:t>
      </w:r>
      <w:r>
        <w:rPr>
          <w:rFonts w:hint="eastAsia" w:ascii="仿宋_GB2312" w:hAnsi="仿宋_GB2312" w:eastAsia="仿宋_GB2312" w:cs="仿宋_GB2312"/>
          <w:szCs w:val="21"/>
          <w:u w:val="single"/>
        </w:rPr>
        <w:t xml:space="preserve">                                      </w:t>
      </w:r>
    </w:p>
    <w:p>
      <w:pPr>
        <w:rPr>
          <w:rFonts w:hint="eastAsia" w:ascii="仿宋_GB2312" w:hAnsi="仿宋_GB2312" w:eastAsia="仿宋_GB2312" w:cs="仿宋_GB2312"/>
          <w:sz w:val="24"/>
        </w:rPr>
      </w:pPr>
    </w:p>
    <w:p>
      <w:pPr>
        <w:rPr>
          <w:rFonts w:hint="eastAsia" w:ascii="仿宋_GB2312" w:hAnsi="仿宋_GB2312" w:eastAsia="仿宋_GB2312" w:cs="仿宋_GB2312"/>
          <w:sz w:val="24"/>
        </w:rPr>
      </w:pPr>
    </w:p>
    <w:p>
      <w:pPr>
        <w:rPr>
          <w:rFonts w:hint="eastAsia" w:ascii="仿宋_GB2312" w:hAnsi="仿宋_GB2312" w:eastAsia="仿宋_GB2312" w:cs="仿宋_GB2312"/>
          <w:sz w:val="24"/>
        </w:rPr>
      </w:pPr>
    </w:p>
    <w:p>
      <w:pPr>
        <w:rPr>
          <w:rFonts w:hint="eastAsia" w:ascii="仿宋_GB2312" w:hAnsi="仿宋_GB2312" w:eastAsia="仿宋_GB2312" w:cs="仿宋_GB2312"/>
          <w:sz w:val="24"/>
        </w:rPr>
      </w:pPr>
    </w:p>
    <w:p>
      <w:pPr>
        <w:rPr>
          <w:rFonts w:hint="eastAsia" w:ascii="仿宋_GB2312" w:hAnsi="仿宋_GB2312" w:eastAsia="仿宋_GB2312" w:cs="仿宋_GB2312"/>
          <w:sz w:val="24"/>
        </w:rPr>
      </w:pPr>
      <w:r>
        <w:rPr>
          <w:rFonts w:hint="eastAsia" w:ascii="仿宋_GB2312" w:hAnsi="仿宋_GB2312" w:eastAsia="仿宋_GB2312" w:cs="仿宋_GB2312"/>
          <w:sz w:val="24"/>
        </w:rPr>
        <w:t>包括但不限于以下内容。格式自拟，根据评分细则的要求提交相应资料。</w:t>
      </w:r>
    </w:p>
    <w:p>
      <w:pPr>
        <w:autoSpaceDE w:val="0"/>
        <w:autoSpaceDN w:val="0"/>
        <w:adjustRightInd w:val="0"/>
        <w:spacing w:line="300" w:lineRule="auto"/>
        <w:ind w:right="246" w:firstLine="770" w:firstLineChars="321"/>
        <w:rPr>
          <w:rFonts w:hint="eastAsia" w:ascii="仿宋_GB2312" w:hAnsi="仿宋_GB2312" w:eastAsia="仿宋_GB2312" w:cs="仿宋_GB2312"/>
          <w:sz w:val="24"/>
        </w:rPr>
      </w:pPr>
    </w:p>
    <w:p>
      <w:pPr>
        <w:pStyle w:val="23"/>
        <w:spacing w:line="360" w:lineRule="auto"/>
        <w:ind w:firstLine="638" w:firstLineChars="266"/>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color w:val="auto"/>
          <w:kern w:val="0"/>
          <w:sz w:val="24"/>
          <w:szCs w:val="24"/>
          <w:lang w:bidi="ar"/>
        </w:rPr>
        <w:t>3.2同类业绩</w:t>
      </w:r>
    </w:p>
    <w:p>
      <w:pPr>
        <w:pStyle w:val="23"/>
        <w:spacing w:line="360" w:lineRule="auto"/>
        <w:ind w:firstLine="638" w:firstLineChars="266"/>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color w:val="auto"/>
          <w:kern w:val="0"/>
          <w:sz w:val="24"/>
          <w:szCs w:val="24"/>
          <w:lang w:bidi="ar"/>
        </w:rPr>
        <w:t>3.3项目团队情况</w:t>
      </w:r>
    </w:p>
    <w:p>
      <w:pPr>
        <w:spacing w:line="500" w:lineRule="exact"/>
        <w:rPr>
          <w:rFonts w:hint="eastAsia" w:ascii="仿宋_GB2312" w:hAnsi="仿宋_GB2312" w:eastAsia="仿宋_GB2312" w:cs="仿宋_GB2312"/>
          <w:sz w:val="24"/>
          <w:szCs w:val="24"/>
        </w:rPr>
      </w:pPr>
    </w:p>
    <w:p>
      <w:pPr>
        <w:spacing w:line="500" w:lineRule="exact"/>
        <w:rPr>
          <w:rFonts w:hint="eastAsia" w:ascii="仿宋_GB2312" w:hAnsi="仿宋_GB2312" w:eastAsia="仿宋_GB2312" w:cs="仿宋_GB2312"/>
          <w:sz w:val="24"/>
          <w:szCs w:val="24"/>
        </w:rPr>
      </w:pPr>
    </w:p>
    <w:p>
      <w:pPr>
        <w:spacing w:line="50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pacing w:val="4"/>
          <w:sz w:val="24"/>
          <w:szCs w:val="24"/>
        </w:rPr>
        <w:t>响应人名称（盖公章）：</w:t>
      </w:r>
      <w:r>
        <w:rPr>
          <w:rFonts w:hint="eastAsia" w:ascii="仿宋_GB2312" w:hAnsi="仿宋_GB2312" w:eastAsia="仿宋_GB2312" w:cs="仿宋_GB2312"/>
          <w:spacing w:val="4"/>
          <w:sz w:val="24"/>
          <w:szCs w:val="24"/>
          <w:u w:val="single"/>
        </w:rPr>
        <w:t xml:space="preserve">                                               </w:t>
      </w:r>
    </w:p>
    <w:p>
      <w:pPr>
        <w:spacing w:line="520" w:lineRule="exact"/>
        <w:rPr>
          <w:rFonts w:hint="eastAsia" w:ascii="仿宋_GB2312" w:hAnsi="仿宋_GB2312" w:eastAsia="仿宋_GB2312" w:cs="仿宋_GB2312"/>
          <w:spacing w:val="4"/>
          <w:sz w:val="24"/>
          <w:szCs w:val="24"/>
        </w:rPr>
      </w:pPr>
      <w:r>
        <w:rPr>
          <w:rFonts w:hint="eastAsia" w:ascii="仿宋_GB2312" w:hAnsi="仿宋_GB2312" w:eastAsia="仿宋_GB2312" w:cs="仿宋_GB2312"/>
          <w:sz w:val="24"/>
          <w:szCs w:val="24"/>
        </w:rPr>
        <w:t>法定代表人或响应人授权代表（签名或盖章）：</w:t>
      </w:r>
      <w:r>
        <w:rPr>
          <w:rFonts w:hint="eastAsia" w:ascii="仿宋_GB2312" w:hAnsi="仿宋_GB2312" w:eastAsia="仿宋_GB2312" w:cs="仿宋_GB2312"/>
          <w:spacing w:val="4"/>
          <w:sz w:val="24"/>
          <w:szCs w:val="24"/>
          <w:u w:val="single"/>
        </w:rPr>
        <w:t xml:space="preserve">                        </w:t>
      </w:r>
    </w:p>
    <w:p>
      <w:pPr>
        <w:spacing w:line="520" w:lineRule="exact"/>
        <w:rPr>
          <w:rFonts w:hint="eastAsia" w:ascii="仿宋_GB2312" w:hAnsi="仿宋_GB2312" w:eastAsia="仿宋_GB2312" w:cs="仿宋_GB2312"/>
          <w:spacing w:val="4"/>
          <w:sz w:val="24"/>
          <w:szCs w:val="24"/>
        </w:rPr>
      </w:pPr>
      <w:r>
        <w:rPr>
          <w:rFonts w:hint="eastAsia" w:ascii="仿宋_GB2312" w:hAnsi="仿宋_GB2312" w:eastAsia="仿宋_GB2312" w:cs="仿宋_GB2312"/>
          <w:spacing w:val="4"/>
          <w:sz w:val="24"/>
          <w:szCs w:val="24"/>
        </w:rPr>
        <w:t>日     期：</w:t>
      </w:r>
      <w:r>
        <w:rPr>
          <w:rFonts w:hint="eastAsia" w:ascii="仿宋_GB2312" w:hAnsi="仿宋_GB2312" w:eastAsia="仿宋_GB2312" w:cs="仿宋_GB2312"/>
          <w:spacing w:val="4"/>
          <w:sz w:val="24"/>
          <w:szCs w:val="24"/>
          <w:u w:val="single"/>
        </w:rPr>
        <w:t xml:space="preserve">                                                        </w:t>
      </w:r>
    </w:p>
    <w:p>
      <w:pPr>
        <w:widowControl w:val="0"/>
        <w:numPr>
          <w:ilvl w:val="0"/>
          <w:numId w:val="11"/>
        </w:numPr>
        <w:tabs>
          <w:tab w:val="left" w:pos="426"/>
        </w:tabs>
        <w:spacing w:line="440" w:lineRule="exact"/>
        <w:ind w:hanging="780"/>
        <w:jc w:val="both"/>
        <w:rPr>
          <w:rFonts w:hint="eastAsia" w:ascii="仿宋_GB2312" w:hAnsi="仿宋_GB2312" w:eastAsia="仿宋_GB2312" w:cs="仿宋_GB2312"/>
          <w:bCs/>
        </w:rPr>
      </w:pPr>
      <w:r>
        <w:rPr>
          <w:rFonts w:hint="eastAsia" w:ascii="仿宋_GB2312" w:hAnsi="仿宋_GB2312" w:eastAsia="仿宋_GB2312" w:cs="仿宋_GB2312"/>
          <w:sz w:val="24"/>
        </w:rPr>
        <w:br w:type="page"/>
      </w:r>
    </w:p>
    <w:p>
      <w:pPr>
        <w:spacing w:line="360"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3.5商务条款响应一览表格式</w:t>
      </w:r>
    </w:p>
    <w:p>
      <w:pPr>
        <w:spacing w:line="360" w:lineRule="auto"/>
        <w:rPr>
          <w:rFonts w:hint="eastAsia" w:ascii="仿宋_GB2312" w:hAnsi="仿宋_GB2312" w:eastAsia="仿宋_GB2312" w:cs="仿宋_GB2312"/>
          <w:b/>
          <w:sz w:val="32"/>
          <w:szCs w:val="32"/>
        </w:rPr>
      </w:pPr>
    </w:p>
    <w:p>
      <w:pPr>
        <w:spacing w:line="360"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商务条款响应一览表</w:t>
      </w:r>
    </w:p>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说明：响应人必须对应竞争性磋商文件的合同条款逐条应答并按要求填写下表。</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项目名称：</w:t>
      </w:r>
      <w:r>
        <w:rPr>
          <w:rFonts w:hint="eastAsia" w:ascii="仿宋_GB2312" w:hAnsi="仿宋_GB2312" w:eastAsia="仿宋_GB2312" w:cs="仿宋_GB2312"/>
          <w:iCs/>
          <w:sz w:val="24"/>
          <w:szCs w:val="24"/>
        </w:rPr>
        <w:t xml:space="preserve"> </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项目编号：</w:t>
      </w:r>
    </w:p>
    <w:tbl>
      <w:tblPr>
        <w:tblStyle w:val="25"/>
        <w:tblW w:w="9507" w:type="dxa"/>
        <w:tblInd w:w="-72"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40"/>
        <w:gridCol w:w="3094"/>
        <w:gridCol w:w="2575"/>
        <w:gridCol w:w="309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794" w:hRule="atLeast"/>
        </w:trPr>
        <w:tc>
          <w:tcPr>
            <w:tcW w:w="740" w:type="dxa"/>
            <w:tcBorders>
              <w:top w:val="single" w:color="auto" w:sz="12" w:space="0"/>
            </w:tcBorders>
            <w:shd w:val="clear" w:color="auto" w:fill="EEECE1"/>
            <w:vAlign w:val="center"/>
          </w:tcPr>
          <w:p>
            <w:pPr>
              <w:ind w:left="-109" w:leftChars="-52" w:right="-113" w:rightChars="-54"/>
              <w:jc w:val="center"/>
              <w:rPr>
                <w:rFonts w:hint="eastAsia" w:ascii="仿宋_GB2312" w:hAnsi="仿宋_GB2312" w:eastAsia="仿宋_GB2312" w:cs="仿宋_GB2312"/>
                <w:szCs w:val="21"/>
              </w:rPr>
            </w:pPr>
            <w:r>
              <w:rPr>
                <w:rFonts w:hint="eastAsia" w:ascii="仿宋_GB2312" w:hAnsi="仿宋_GB2312" w:eastAsia="仿宋_GB2312" w:cs="仿宋_GB2312"/>
                <w:szCs w:val="21"/>
              </w:rPr>
              <w:t>序号</w:t>
            </w:r>
          </w:p>
        </w:tc>
        <w:tc>
          <w:tcPr>
            <w:tcW w:w="3094" w:type="dxa"/>
            <w:tcBorders>
              <w:top w:val="single" w:color="auto" w:sz="12" w:space="0"/>
            </w:tcBorders>
            <w:shd w:val="clear" w:color="auto" w:fill="EEECE1"/>
            <w:vAlign w:val="center"/>
          </w:tcPr>
          <w:p>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竞争性磋商文件条款描述</w:t>
            </w:r>
          </w:p>
        </w:tc>
        <w:tc>
          <w:tcPr>
            <w:tcW w:w="2575" w:type="dxa"/>
            <w:tcBorders>
              <w:top w:val="single" w:color="auto" w:sz="12" w:space="0"/>
            </w:tcBorders>
            <w:shd w:val="clear" w:color="auto" w:fill="EEECE1"/>
            <w:vAlign w:val="center"/>
          </w:tcPr>
          <w:p>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响应人响应描述</w:t>
            </w:r>
          </w:p>
        </w:tc>
        <w:tc>
          <w:tcPr>
            <w:tcW w:w="3098" w:type="dxa"/>
            <w:tcBorders>
              <w:top w:val="single" w:color="auto" w:sz="12" w:space="0"/>
            </w:tcBorders>
            <w:shd w:val="clear" w:color="auto" w:fill="EEECE1"/>
            <w:vAlign w:val="center"/>
          </w:tcPr>
          <w:p>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偏离情况说明</w:t>
            </w:r>
          </w:p>
          <w:p>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（正偏离/完全响应/负偏离）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740" w:type="dxa"/>
            <w:vAlign w:val="center"/>
          </w:tcPr>
          <w:p>
            <w:pPr>
              <w:widowControl w:val="0"/>
              <w:numPr>
                <w:ilvl w:val="0"/>
                <w:numId w:val="12"/>
              </w:numPr>
              <w:jc w:val="center"/>
              <w:rPr>
                <w:rFonts w:hint="eastAsia" w:ascii="仿宋_GB2312" w:hAnsi="仿宋_GB2312" w:eastAsia="仿宋_GB2312" w:cs="仿宋_GB2312"/>
                <w:sz w:val="24"/>
                <w:szCs w:val="24"/>
              </w:rPr>
            </w:pPr>
          </w:p>
        </w:tc>
        <w:tc>
          <w:tcPr>
            <w:tcW w:w="3094" w:type="dxa"/>
            <w:vAlign w:val="center"/>
          </w:tcPr>
          <w:p>
            <w:pPr>
              <w:pStyle w:val="14"/>
              <w:tabs>
                <w:tab w:val="left" w:pos="2340"/>
              </w:tabs>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响应报价</w:t>
            </w:r>
          </w:p>
        </w:tc>
        <w:tc>
          <w:tcPr>
            <w:tcW w:w="2575" w:type="dxa"/>
            <w:vAlign w:val="center"/>
          </w:tcPr>
          <w:p>
            <w:pPr>
              <w:jc w:val="center"/>
              <w:rPr>
                <w:rFonts w:hint="eastAsia" w:ascii="仿宋_GB2312" w:hAnsi="仿宋_GB2312" w:eastAsia="仿宋_GB2312" w:cs="仿宋_GB2312"/>
                <w:sz w:val="24"/>
                <w:szCs w:val="24"/>
              </w:rPr>
            </w:pPr>
          </w:p>
        </w:tc>
        <w:tc>
          <w:tcPr>
            <w:tcW w:w="3098" w:type="dxa"/>
            <w:vAlign w:val="center"/>
          </w:tcPr>
          <w:p>
            <w:pPr>
              <w:jc w:val="center"/>
              <w:rPr>
                <w:rFonts w:hint="eastAsia" w:ascii="仿宋_GB2312" w:hAnsi="仿宋_GB2312" w:eastAsia="仿宋_GB2312" w:cs="仿宋_GB2312"/>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740" w:type="dxa"/>
            <w:vAlign w:val="center"/>
          </w:tcPr>
          <w:p>
            <w:pPr>
              <w:widowControl w:val="0"/>
              <w:numPr>
                <w:ilvl w:val="0"/>
                <w:numId w:val="12"/>
              </w:numPr>
              <w:jc w:val="center"/>
              <w:rPr>
                <w:rFonts w:hint="eastAsia" w:ascii="仿宋_GB2312" w:hAnsi="仿宋_GB2312" w:eastAsia="仿宋_GB2312" w:cs="仿宋_GB2312"/>
                <w:sz w:val="24"/>
                <w:szCs w:val="24"/>
              </w:rPr>
            </w:pPr>
          </w:p>
        </w:tc>
        <w:tc>
          <w:tcPr>
            <w:tcW w:w="3094" w:type="dxa"/>
            <w:vAlign w:val="center"/>
          </w:tcPr>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服务期限</w:t>
            </w:r>
          </w:p>
        </w:tc>
        <w:tc>
          <w:tcPr>
            <w:tcW w:w="2575" w:type="dxa"/>
            <w:vAlign w:val="center"/>
          </w:tcPr>
          <w:p>
            <w:pPr>
              <w:jc w:val="center"/>
              <w:rPr>
                <w:rFonts w:hint="eastAsia" w:ascii="仿宋_GB2312" w:hAnsi="仿宋_GB2312" w:eastAsia="仿宋_GB2312" w:cs="仿宋_GB2312"/>
                <w:sz w:val="24"/>
                <w:szCs w:val="24"/>
              </w:rPr>
            </w:pPr>
          </w:p>
        </w:tc>
        <w:tc>
          <w:tcPr>
            <w:tcW w:w="3098" w:type="dxa"/>
            <w:vAlign w:val="center"/>
          </w:tcPr>
          <w:p>
            <w:pPr>
              <w:jc w:val="center"/>
              <w:rPr>
                <w:rFonts w:hint="eastAsia" w:ascii="仿宋_GB2312" w:hAnsi="仿宋_GB2312" w:eastAsia="仿宋_GB2312" w:cs="仿宋_GB2312"/>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740" w:type="dxa"/>
            <w:vAlign w:val="center"/>
          </w:tcPr>
          <w:p>
            <w:pPr>
              <w:widowControl w:val="0"/>
              <w:numPr>
                <w:ilvl w:val="0"/>
                <w:numId w:val="12"/>
              </w:numPr>
              <w:jc w:val="center"/>
              <w:rPr>
                <w:rFonts w:hint="eastAsia" w:ascii="仿宋_GB2312" w:hAnsi="仿宋_GB2312" w:eastAsia="仿宋_GB2312" w:cs="仿宋_GB2312"/>
                <w:sz w:val="24"/>
                <w:szCs w:val="24"/>
              </w:rPr>
            </w:pPr>
          </w:p>
        </w:tc>
        <w:tc>
          <w:tcPr>
            <w:tcW w:w="3094" w:type="dxa"/>
            <w:vAlign w:val="center"/>
          </w:tcPr>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服务内容及要求</w:t>
            </w:r>
          </w:p>
        </w:tc>
        <w:tc>
          <w:tcPr>
            <w:tcW w:w="2575" w:type="dxa"/>
            <w:vAlign w:val="center"/>
          </w:tcPr>
          <w:p>
            <w:pPr>
              <w:jc w:val="center"/>
              <w:rPr>
                <w:rFonts w:hint="eastAsia" w:ascii="仿宋_GB2312" w:hAnsi="仿宋_GB2312" w:eastAsia="仿宋_GB2312" w:cs="仿宋_GB2312"/>
                <w:sz w:val="24"/>
                <w:szCs w:val="24"/>
              </w:rPr>
            </w:pPr>
          </w:p>
        </w:tc>
        <w:tc>
          <w:tcPr>
            <w:tcW w:w="3098" w:type="dxa"/>
            <w:vAlign w:val="center"/>
          </w:tcPr>
          <w:p>
            <w:pPr>
              <w:jc w:val="center"/>
              <w:rPr>
                <w:rFonts w:hint="eastAsia" w:ascii="仿宋_GB2312" w:hAnsi="仿宋_GB2312" w:eastAsia="仿宋_GB2312" w:cs="仿宋_GB2312"/>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4" w:hRule="atLeast"/>
        </w:trPr>
        <w:tc>
          <w:tcPr>
            <w:tcW w:w="740" w:type="dxa"/>
            <w:vAlign w:val="center"/>
          </w:tcPr>
          <w:p>
            <w:pPr>
              <w:widowControl w:val="0"/>
              <w:numPr>
                <w:ilvl w:val="0"/>
                <w:numId w:val="12"/>
              </w:numPr>
              <w:jc w:val="center"/>
              <w:rPr>
                <w:rFonts w:hint="eastAsia" w:ascii="仿宋_GB2312" w:hAnsi="仿宋_GB2312" w:eastAsia="仿宋_GB2312" w:cs="仿宋_GB2312"/>
                <w:sz w:val="24"/>
                <w:szCs w:val="24"/>
              </w:rPr>
            </w:pPr>
          </w:p>
        </w:tc>
        <w:tc>
          <w:tcPr>
            <w:tcW w:w="3094" w:type="dxa"/>
            <w:vAlign w:val="center"/>
          </w:tcPr>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付款方式</w:t>
            </w:r>
          </w:p>
        </w:tc>
        <w:tc>
          <w:tcPr>
            <w:tcW w:w="2575" w:type="dxa"/>
            <w:vAlign w:val="center"/>
          </w:tcPr>
          <w:p>
            <w:pPr>
              <w:jc w:val="center"/>
              <w:rPr>
                <w:rFonts w:hint="eastAsia" w:ascii="仿宋_GB2312" w:hAnsi="仿宋_GB2312" w:eastAsia="仿宋_GB2312" w:cs="仿宋_GB2312"/>
                <w:sz w:val="24"/>
                <w:szCs w:val="24"/>
              </w:rPr>
            </w:pPr>
          </w:p>
        </w:tc>
        <w:tc>
          <w:tcPr>
            <w:tcW w:w="3098" w:type="dxa"/>
            <w:vAlign w:val="center"/>
          </w:tcPr>
          <w:p>
            <w:pPr>
              <w:jc w:val="center"/>
              <w:rPr>
                <w:rFonts w:hint="eastAsia" w:ascii="仿宋_GB2312" w:hAnsi="仿宋_GB2312" w:eastAsia="仿宋_GB2312" w:cs="仿宋_GB2312"/>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740" w:type="dxa"/>
            <w:vAlign w:val="center"/>
          </w:tcPr>
          <w:p>
            <w:pPr>
              <w:jc w:val="center"/>
              <w:rPr>
                <w:rFonts w:hint="eastAsia" w:ascii="仿宋_GB2312" w:hAnsi="仿宋_GB2312" w:eastAsia="仿宋_GB2312" w:cs="仿宋_GB2312"/>
                <w:sz w:val="24"/>
              </w:rPr>
            </w:pPr>
            <w:r>
              <w:rPr>
                <w:rFonts w:hint="eastAsia" w:ascii="仿宋_GB2312" w:hAnsi="仿宋_GB2312" w:eastAsia="仿宋_GB2312" w:cs="仿宋_GB2312"/>
                <w:sz w:val="24"/>
              </w:rPr>
              <w:t>5</w:t>
            </w:r>
          </w:p>
        </w:tc>
        <w:tc>
          <w:tcPr>
            <w:tcW w:w="3094" w:type="dxa"/>
            <w:vAlign w:val="center"/>
          </w:tcPr>
          <w:p>
            <w:pPr>
              <w:spacing w:line="360" w:lineRule="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验收</w:t>
            </w:r>
            <w:r>
              <w:rPr>
                <w:rFonts w:hint="eastAsia" w:ascii="仿宋_GB2312" w:hAnsi="仿宋_GB2312" w:eastAsia="仿宋_GB2312" w:cs="仿宋_GB2312"/>
                <w:sz w:val="24"/>
                <w:szCs w:val="24"/>
                <w:lang w:val="en-US" w:eastAsia="zh-CN"/>
              </w:rPr>
              <w:t>要求</w:t>
            </w:r>
          </w:p>
        </w:tc>
        <w:tc>
          <w:tcPr>
            <w:tcW w:w="2575" w:type="dxa"/>
            <w:vAlign w:val="center"/>
          </w:tcPr>
          <w:p>
            <w:pPr>
              <w:jc w:val="center"/>
              <w:rPr>
                <w:rFonts w:hint="eastAsia" w:ascii="仿宋_GB2312" w:hAnsi="仿宋_GB2312" w:eastAsia="仿宋_GB2312" w:cs="仿宋_GB2312"/>
                <w:sz w:val="24"/>
                <w:szCs w:val="24"/>
              </w:rPr>
            </w:pPr>
          </w:p>
        </w:tc>
        <w:tc>
          <w:tcPr>
            <w:tcW w:w="3098" w:type="dxa"/>
            <w:vAlign w:val="center"/>
          </w:tcPr>
          <w:p>
            <w:pPr>
              <w:jc w:val="center"/>
              <w:rPr>
                <w:rFonts w:hint="eastAsia" w:ascii="仿宋_GB2312" w:hAnsi="仿宋_GB2312" w:eastAsia="仿宋_GB2312" w:cs="仿宋_GB2312"/>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740" w:type="dxa"/>
            <w:vAlign w:val="center"/>
          </w:tcPr>
          <w:p>
            <w:pPr>
              <w:jc w:val="center"/>
              <w:rPr>
                <w:rFonts w:hint="eastAsia" w:ascii="仿宋_GB2312" w:hAnsi="仿宋_GB2312" w:eastAsia="仿宋_GB2312" w:cs="仿宋_GB2312"/>
                <w:sz w:val="24"/>
              </w:rPr>
            </w:pPr>
            <w:r>
              <w:rPr>
                <w:rFonts w:hint="eastAsia" w:ascii="仿宋_GB2312" w:hAnsi="仿宋_GB2312" w:eastAsia="仿宋_GB2312" w:cs="仿宋_GB2312"/>
                <w:sz w:val="24"/>
              </w:rPr>
              <w:t>6</w:t>
            </w:r>
          </w:p>
        </w:tc>
        <w:tc>
          <w:tcPr>
            <w:tcW w:w="3094" w:type="dxa"/>
            <w:vAlign w:val="center"/>
          </w:tcPr>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双方的权利和义务</w:t>
            </w:r>
          </w:p>
        </w:tc>
        <w:tc>
          <w:tcPr>
            <w:tcW w:w="2575" w:type="dxa"/>
            <w:vAlign w:val="center"/>
          </w:tcPr>
          <w:p>
            <w:pPr>
              <w:jc w:val="center"/>
              <w:rPr>
                <w:rFonts w:hint="eastAsia" w:ascii="仿宋_GB2312" w:hAnsi="仿宋_GB2312" w:eastAsia="仿宋_GB2312" w:cs="仿宋_GB2312"/>
                <w:sz w:val="24"/>
                <w:szCs w:val="24"/>
              </w:rPr>
            </w:pPr>
          </w:p>
        </w:tc>
        <w:tc>
          <w:tcPr>
            <w:tcW w:w="3098" w:type="dxa"/>
            <w:vAlign w:val="center"/>
          </w:tcPr>
          <w:p>
            <w:pPr>
              <w:jc w:val="center"/>
              <w:rPr>
                <w:rFonts w:hint="eastAsia" w:ascii="仿宋_GB2312" w:hAnsi="仿宋_GB2312" w:eastAsia="仿宋_GB2312" w:cs="仿宋_GB2312"/>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740" w:type="dxa"/>
            <w:vAlign w:val="center"/>
          </w:tcPr>
          <w:p>
            <w:pPr>
              <w:jc w:val="center"/>
              <w:rPr>
                <w:rFonts w:hint="eastAsia" w:ascii="仿宋_GB2312" w:hAnsi="仿宋_GB2312" w:eastAsia="仿宋_GB2312" w:cs="仿宋_GB2312"/>
                <w:sz w:val="24"/>
              </w:rPr>
            </w:pPr>
            <w:r>
              <w:rPr>
                <w:rFonts w:hint="eastAsia" w:ascii="仿宋_GB2312" w:hAnsi="仿宋_GB2312" w:eastAsia="仿宋_GB2312" w:cs="仿宋_GB2312"/>
                <w:sz w:val="24"/>
              </w:rPr>
              <w:t>7</w:t>
            </w:r>
          </w:p>
        </w:tc>
        <w:tc>
          <w:tcPr>
            <w:tcW w:w="3094" w:type="dxa"/>
            <w:vAlign w:val="center"/>
          </w:tcPr>
          <w:p>
            <w:pPr>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违约责任</w:t>
            </w:r>
          </w:p>
        </w:tc>
        <w:tc>
          <w:tcPr>
            <w:tcW w:w="2575" w:type="dxa"/>
            <w:vAlign w:val="center"/>
          </w:tcPr>
          <w:p>
            <w:pPr>
              <w:jc w:val="center"/>
              <w:rPr>
                <w:rFonts w:hint="eastAsia" w:ascii="仿宋_GB2312" w:hAnsi="仿宋_GB2312" w:eastAsia="仿宋_GB2312" w:cs="仿宋_GB2312"/>
                <w:sz w:val="24"/>
                <w:szCs w:val="24"/>
              </w:rPr>
            </w:pPr>
          </w:p>
        </w:tc>
        <w:tc>
          <w:tcPr>
            <w:tcW w:w="3098" w:type="dxa"/>
            <w:vAlign w:val="center"/>
          </w:tcPr>
          <w:p>
            <w:pPr>
              <w:jc w:val="center"/>
              <w:rPr>
                <w:rFonts w:hint="eastAsia" w:ascii="仿宋_GB2312" w:hAnsi="仿宋_GB2312" w:eastAsia="仿宋_GB2312" w:cs="仿宋_GB2312"/>
                <w:sz w:val="24"/>
                <w:szCs w:val="24"/>
              </w:rPr>
            </w:pPr>
          </w:p>
        </w:tc>
      </w:tr>
    </w:tbl>
    <w:p>
      <w:pPr>
        <w:spacing w:line="500" w:lineRule="exact"/>
        <w:rPr>
          <w:rFonts w:hint="eastAsia" w:ascii="仿宋_GB2312" w:hAnsi="仿宋_GB2312" w:eastAsia="仿宋_GB2312" w:cs="仿宋_GB2312"/>
          <w:sz w:val="24"/>
          <w:szCs w:val="24"/>
        </w:rPr>
      </w:pPr>
    </w:p>
    <w:p>
      <w:pPr>
        <w:spacing w:line="50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pacing w:val="4"/>
          <w:sz w:val="24"/>
          <w:szCs w:val="24"/>
        </w:rPr>
        <w:t>响应人名称（盖公章）：</w:t>
      </w:r>
      <w:r>
        <w:rPr>
          <w:rFonts w:hint="eastAsia" w:ascii="仿宋_GB2312" w:hAnsi="仿宋_GB2312" w:eastAsia="仿宋_GB2312" w:cs="仿宋_GB2312"/>
          <w:spacing w:val="4"/>
          <w:sz w:val="24"/>
          <w:szCs w:val="24"/>
          <w:u w:val="single"/>
        </w:rPr>
        <w:t xml:space="preserve">                                               </w:t>
      </w:r>
    </w:p>
    <w:p>
      <w:pPr>
        <w:spacing w:line="520" w:lineRule="exact"/>
        <w:rPr>
          <w:rFonts w:hint="eastAsia" w:ascii="仿宋_GB2312" w:hAnsi="仿宋_GB2312" w:eastAsia="仿宋_GB2312" w:cs="仿宋_GB2312"/>
          <w:spacing w:val="4"/>
          <w:sz w:val="24"/>
          <w:szCs w:val="24"/>
        </w:rPr>
      </w:pPr>
      <w:r>
        <w:rPr>
          <w:rFonts w:hint="eastAsia" w:ascii="仿宋_GB2312" w:hAnsi="仿宋_GB2312" w:eastAsia="仿宋_GB2312" w:cs="仿宋_GB2312"/>
          <w:sz w:val="24"/>
          <w:szCs w:val="24"/>
        </w:rPr>
        <w:t>法定代表人或响应人授权代表（签名或盖章）：</w:t>
      </w:r>
      <w:r>
        <w:rPr>
          <w:rFonts w:hint="eastAsia" w:ascii="仿宋_GB2312" w:hAnsi="仿宋_GB2312" w:eastAsia="仿宋_GB2312" w:cs="仿宋_GB2312"/>
          <w:spacing w:val="4"/>
          <w:sz w:val="24"/>
          <w:szCs w:val="24"/>
          <w:u w:val="single"/>
        </w:rPr>
        <w:t xml:space="preserve">                        </w:t>
      </w:r>
    </w:p>
    <w:p>
      <w:pPr>
        <w:spacing w:line="520" w:lineRule="exact"/>
        <w:rPr>
          <w:rFonts w:hint="eastAsia" w:ascii="仿宋_GB2312" w:hAnsi="仿宋_GB2312" w:eastAsia="仿宋_GB2312" w:cs="仿宋_GB2312"/>
          <w:spacing w:val="4"/>
          <w:sz w:val="24"/>
          <w:szCs w:val="24"/>
        </w:rPr>
      </w:pPr>
      <w:r>
        <w:rPr>
          <w:rFonts w:hint="eastAsia" w:ascii="仿宋_GB2312" w:hAnsi="仿宋_GB2312" w:eastAsia="仿宋_GB2312" w:cs="仿宋_GB2312"/>
          <w:spacing w:val="4"/>
          <w:sz w:val="24"/>
          <w:szCs w:val="24"/>
        </w:rPr>
        <w:t>日     期：</w:t>
      </w:r>
      <w:r>
        <w:rPr>
          <w:rFonts w:hint="eastAsia" w:ascii="仿宋_GB2312" w:hAnsi="仿宋_GB2312" w:eastAsia="仿宋_GB2312" w:cs="仿宋_GB2312"/>
          <w:spacing w:val="4"/>
          <w:sz w:val="24"/>
          <w:szCs w:val="24"/>
          <w:u w:val="single"/>
        </w:rPr>
        <w:t xml:space="preserve">                                                        </w:t>
      </w:r>
    </w:p>
    <w:p>
      <w:pPr>
        <w:spacing w:line="360" w:lineRule="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br w:type="page"/>
      </w:r>
    </w:p>
    <w:p>
      <w:pPr>
        <w:spacing w:line="360" w:lineRule="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四、经济价格文件</w:t>
      </w:r>
    </w:p>
    <w:p>
      <w:pPr>
        <w:spacing w:line="360"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4.1报价表（首次报价）</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项目名称： </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项目编号： </w:t>
      </w:r>
    </w:p>
    <w:tbl>
      <w:tblPr>
        <w:tblStyle w:val="25"/>
        <w:tblW w:w="9923"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709"/>
        <w:gridCol w:w="3119"/>
        <w:gridCol w:w="32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tcBorders>
              <w:top w:val="single" w:color="auto" w:sz="12" w:space="0"/>
              <w:left w:val="single" w:color="auto" w:sz="4" w:space="0"/>
              <w:bottom w:val="double" w:color="auto" w:sz="4" w:space="0"/>
            </w:tcBorders>
            <w:shd w:val="clear" w:color="auto" w:fill="EEECE1"/>
            <w:vAlign w:val="center"/>
          </w:tcPr>
          <w:p>
            <w:pPr>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采购内容</w:t>
            </w:r>
          </w:p>
        </w:tc>
        <w:tc>
          <w:tcPr>
            <w:tcW w:w="709" w:type="dxa"/>
            <w:tcBorders>
              <w:top w:val="single" w:color="auto" w:sz="12" w:space="0"/>
              <w:bottom w:val="double" w:color="auto" w:sz="4" w:space="0"/>
            </w:tcBorders>
            <w:shd w:val="clear" w:color="auto" w:fill="EEECE1"/>
            <w:vAlign w:val="center"/>
          </w:tcPr>
          <w:p>
            <w:pPr>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数量</w:t>
            </w:r>
          </w:p>
        </w:tc>
        <w:tc>
          <w:tcPr>
            <w:tcW w:w="3119" w:type="dxa"/>
            <w:tcBorders>
              <w:top w:val="single" w:color="auto" w:sz="12" w:space="0"/>
              <w:bottom w:val="double" w:color="auto" w:sz="4" w:space="0"/>
            </w:tcBorders>
            <w:shd w:val="clear" w:color="auto" w:fill="EEECE1"/>
            <w:vAlign w:val="center"/>
          </w:tcPr>
          <w:p>
            <w:pPr>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报 价</w:t>
            </w:r>
          </w:p>
          <w:p>
            <w:pPr>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（人民币 元）</w:t>
            </w:r>
          </w:p>
        </w:tc>
        <w:tc>
          <w:tcPr>
            <w:tcW w:w="3260" w:type="dxa"/>
            <w:tcBorders>
              <w:top w:val="single" w:color="auto" w:sz="12" w:space="0"/>
              <w:bottom w:val="double" w:color="auto" w:sz="4" w:space="0"/>
            </w:tcBorders>
            <w:shd w:val="clear" w:color="auto" w:fill="EEECE1"/>
            <w:vAlign w:val="center"/>
          </w:tcPr>
          <w:p>
            <w:pPr>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服务期限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020" w:hRule="atLeast"/>
          <w:jc w:val="center"/>
        </w:trPr>
        <w:tc>
          <w:tcPr>
            <w:tcW w:w="2835" w:type="dxa"/>
            <w:tcBorders>
              <w:top w:val="double" w:color="auto" w:sz="4" w:space="0"/>
              <w:left w:val="single" w:color="auto" w:sz="4" w:space="0"/>
              <w:bottom w:val="single" w:color="auto" w:sz="12" w:space="0"/>
            </w:tcBorders>
            <w:vAlign w:val="center"/>
          </w:tcPr>
          <w:p>
            <w:pPr>
              <w:snapToGrid w:val="0"/>
              <w:jc w:val="center"/>
              <w:rPr>
                <w:rFonts w:hint="eastAsia" w:ascii="仿宋_GB2312" w:hAnsi="仿宋_GB2312" w:eastAsia="仿宋_GB2312" w:cs="仿宋_GB2312"/>
                <w:sz w:val="24"/>
                <w:szCs w:val="24"/>
              </w:rPr>
            </w:pPr>
          </w:p>
          <w:p>
            <w:pPr>
              <w:snapToGrid w:val="0"/>
              <w:jc w:val="center"/>
              <w:rPr>
                <w:rFonts w:hint="eastAsia" w:ascii="仿宋_GB2312" w:hAnsi="仿宋_GB2312" w:eastAsia="仿宋_GB2312" w:cs="仿宋_GB2312"/>
                <w:sz w:val="24"/>
                <w:szCs w:val="24"/>
              </w:rPr>
            </w:pPr>
          </w:p>
          <w:p>
            <w:pPr>
              <w:snapToGrid w:val="0"/>
              <w:jc w:val="center"/>
              <w:rPr>
                <w:rFonts w:hint="eastAsia" w:ascii="仿宋_GB2312" w:hAnsi="仿宋_GB2312" w:eastAsia="仿宋_GB2312" w:cs="仿宋_GB2312"/>
                <w:sz w:val="24"/>
                <w:szCs w:val="24"/>
              </w:rPr>
            </w:pPr>
          </w:p>
          <w:p>
            <w:pPr>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横琴粤澳深度合作区城市规划和建设局建设工程桩基施工过程质量数据采集分析第三方技术支撑服务项目</w:t>
            </w:r>
          </w:p>
          <w:p>
            <w:pPr>
              <w:snapToGrid w:val="0"/>
              <w:jc w:val="center"/>
              <w:rPr>
                <w:rFonts w:hint="eastAsia" w:ascii="仿宋_GB2312" w:hAnsi="仿宋_GB2312" w:eastAsia="仿宋_GB2312" w:cs="仿宋_GB2312"/>
                <w:sz w:val="24"/>
                <w:szCs w:val="24"/>
              </w:rPr>
            </w:pPr>
          </w:p>
          <w:p>
            <w:pPr>
              <w:snapToGrid w:val="0"/>
              <w:jc w:val="center"/>
              <w:rPr>
                <w:rFonts w:hint="eastAsia" w:ascii="仿宋_GB2312" w:hAnsi="仿宋_GB2312" w:eastAsia="仿宋_GB2312" w:cs="仿宋_GB2312"/>
                <w:sz w:val="24"/>
                <w:szCs w:val="24"/>
              </w:rPr>
            </w:pPr>
          </w:p>
          <w:p>
            <w:pPr>
              <w:snapToGrid w:val="0"/>
              <w:jc w:val="center"/>
              <w:rPr>
                <w:rFonts w:hint="eastAsia" w:ascii="仿宋_GB2312" w:hAnsi="仿宋_GB2312" w:eastAsia="仿宋_GB2312" w:cs="仿宋_GB2312"/>
                <w:sz w:val="24"/>
                <w:szCs w:val="24"/>
              </w:rPr>
            </w:pPr>
          </w:p>
        </w:tc>
        <w:tc>
          <w:tcPr>
            <w:tcW w:w="709" w:type="dxa"/>
            <w:tcBorders>
              <w:top w:val="double" w:color="auto" w:sz="4" w:space="0"/>
              <w:bottom w:val="single" w:color="auto" w:sz="12" w:space="0"/>
            </w:tcBorders>
            <w:vAlign w:val="center"/>
          </w:tcPr>
          <w:p>
            <w:pPr>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一项</w:t>
            </w:r>
          </w:p>
        </w:tc>
        <w:tc>
          <w:tcPr>
            <w:tcW w:w="3119" w:type="dxa"/>
            <w:tcBorders>
              <w:top w:val="double" w:color="auto" w:sz="4" w:space="0"/>
              <w:bottom w:val="single" w:color="auto" w:sz="12" w:space="0"/>
            </w:tcBorders>
            <w:vAlign w:val="center"/>
          </w:tcPr>
          <w:p>
            <w:pPr>
              <w:spacing w:line="400" w:lineRule="exact"/>
              <w:rPr>
                <w:rFonts w:hint="eastAsia" w:ascii="仿宋_GB2312" w:hAnsi="仿宋_GB2312" w:eastAsia="仿宋_GB2312" w:cs="仿宋_GB2312"/>
                <w:bCs/>
                <w:sz w:val="24"/>
                <w:szCs w:val="24"/>
                <w:u w:val="single"/>
              </w:rPr>
            </w:pPr>
            <w:r>
              <w:rPr>
                <w:rFonts w:hint="eastAsia" w:ascii="仿宋_GB2312" w:hAnsi="仿宋_GB2312" w:eastAsia="仿宋_GB2312" w:cs="仿宋_GB2312"/>
                <w:bCs/>
                <w:sz w:val="24"/>
                <w:szCs w:val="24"/>
              </w:rPr>
              <w:t>小写：       大写：</w:t>
            </w:r>
          </w:p>
        </w:tc>
        <w:tc>
          <w:tcPr>
            <w:tcW w:w="3260" w:type="dxa"/>
            <w:tcBorders>
              <w:top w:val="double" w:color="auto" w:sz="4" w:space="0"/>
              <w:bottom w:val="single" w:color="auto" w:sz="12" w:space="0"/>
            </w:tcBorders>
            <w:vAlign w:val="center"/>
          </w:tcPr>
          <w:p>
            <w:pPr>
              <w:pStyle w:val="57"/>
              <w:tabs>
                <w:tab w:val="left" w:pos="3125"/>
              </w:tabs>
              <w:spacing w:line="360" w:lineRule="auto"/>
              <w:ind w:firstLine="0" w:firstLineChars="0"/>
              <w:rPr>
                <w:rFonts w:hint="eastAsia" w:ascii="仿宋_GB2312" w:hAnsi="仿宋_GB2312" w:eastAsia="仿宋_GB2312" w:cs="仿宋_GB2312"/>
                <w:bCs/>
                <w:szCs w:val="24"/>
              </w:rPr>
            </w:pPr>
            <w:r>
              <w:rPr>
                <w:rFonts w:hint="eastAsia" w:ascii="仿宋_GB2312" w:hAnsi="仿宋_GB2312" w:eastAsia="仿宋_GB2312" w:cs="仿宋_GB2312"/>
                <w:bCs/>
                <w:szCs w:val="24"/>
              </w:rPr>
              <w:t>自合同签订之日起1年内完成</w:t>
            </w:r>
          </w:p>
          <w:p>
            <w:pPr>
              <w:pStyle w:val="57"/>
              <w:tabs>
                <w:tab w:val="left" w:pos="3125"/>
              </w:tabs>
              <w:spacing w:line="360" w:lineRule="auto"/>
              <w:ind w:firstLine="0" w:firstLineChars="0"/>
              <w:rPr>
                <w:rFonts w:hint="eastAsia" w:ascii="仿宋_GB2312" w:hAnsi="仿宋_GB2312" w:eastAsia="仿宋_GB2312" w:cs="仿宋_GB2312"/>
                <w:bCs/>
                <w:szCs w:val="24"/>
              </w:rPr>
            </w:pPr>
          </w:p>
        </w:tc>
      </w:tr>
    </w:tbl>
    <w:p>
      <w:pPr>
        <w:snapToGrid w:val="0"/>
        <w:rPr>
          <w:rFonts w:hint="eastAsia" w:ascii="仿宋_GB2312" w:hAnsi="仿宋_GB2312" w:eastAsia="仿宋_GB2312" w:cs="仿宋_GB2312"/>
          <w:sz w:val="24"/>
          <w:szCs w:val="24"/>
        </w:rPr>
      </w:pPr>
    </w:p>
    <w:p>
      <w:pPr>
        <w:spacing w:line="50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pacing w:val="4"/>
          <w:sz w:val="24"/>
          <w:szCs w:val="24"/>
        </w:rPr>
        <w:t>响应人名称（盖公章）：</w:t>
      </w:r>
      <w:r>
        <w:rPr>
          <w:rFonts w:hint="eastAsia" w:ascii="仿宋_GB2312" w:hAnsi="仿宋_GB2312" w:eastAsia="仿宋_GB2312" w:cs="仿宋_GB2312"/>
          <w:spacing w:val="4"/>
          <w:sz w:val="24"/>
          <w:szCs w:val="24"/>
          <w:u w:val="single"/>
        </w:rPr>
        <w:t xml:space="preserve">                                               </w:t>
      </w:r>
    </w:p>
    <w:p>
      <w:pPr>
        <w:spacing w:line="520" w:lineRule="exact"/>
        <w:rPr>
          <w:rFonts w:hint="eastAsia" w:ascii="仿宋_GB2312" w:hAnsi="仿宋_GB2312" w:eastAsia="仿宋_GB2312" w:cs="仿宋_GB2312"/>
          <w:spacing w:val="4"/>
          <w:sz w:val="24"/>
          <w:szCs w:val="24"/>
        </w:rPr>
      </w:pPr>
      <w:r>
        <w:rPr>
          <w:rFonts w:hint="eastAsia" w:ascii="仿宋_GB2312" w:hAnsi="仿宋_GB2312" w:eastAsia="仿宋_GB2312" w:cs="仿宋_GB2312"/>
          <w:sz w:val="24"/>
          <w:szCs w:val="24"/>
        </w:rPr>
        <w:t>法定代表人或响应人授权代表（签名或盖章）：</w:t>
      </w:r>
      <w:r>
        <w:rPr>
          <w:rFonts w:hint="eastAsia" w:ascii="仿宋_GB2312" w:hAnsi="仿宋_GB2312" w:eastAsia="仿宋_GB2312" w:cs="仿宋_GB2312"/>
          <w:spacing w:val="4"/>
          <w:sz w:val="24"/>
          <w:szCs w:val="24"/>
          <w:u w:val="single"/>
        </w:rPr>
        <w:t xml:space="preserve">                        </w:t>
      </w:r>
    </w:p>
    <w:p>
      <w:pPr>
        <w:spacing w:line="520" w:lineRule="exact"/>
        <w:rPr>
          <w:rFonts w:hint="eastAsia" w:ascii="仿宋_GB2312" w:hAnsi="仿宋_GB2312" w:eastAsia="仿宋_GB2312" w:cs="仿宋_GB2312"/>
          <w:spacing w:val="4"/>
          <w:sz w:val="24"/>
          <w:szCs w:val="24"/>
        </w:rPr>
      </w:pPr>
      <w:r>
        <w:rPr>
          <w:rFonts w:hint="eastAsia" w:ascii="仿宋_GB2312" w:hAnsi="仿宋_GB2312" w:eastAsia="仿宋_GB2312" w:cs="仿宋_GB2312"/>
          <w:spacing w:val="4"/>
          <w:sz w:val="24"/>
          <w:szCs w:val="24"/>
        </w:rPr>
        <w:t>日     期：</w:t>
      </w:r>
      <w:r>
        <w:rPr>
          <w:rFonts w:hint="eastAsia" w:ascii="仿宋_GB2312" w:hAnsi="仿宋_GB2312" w:eastAsia="仿宋_GB2312" w:cs="仿宋_GB2312"/>
          <w:spacing w:val="4"/>
          <w:sz w:val="24"/>
          <w:szCs w:val="24"/>
          <w:u w:val="single"/>
        </w:rPr>
        <w:t xml:space="preserve">                                                        </w:t>
      </w:r>
    </w:p>
    <w:p>
      <w:pPr>
        <w:spacing w:line="400" w:lineRule="exact"/>
        <w:rPr>
          <w:rFonts w:hint="eastAsia" w:ascii="仿宋_GB2312" w:hAnsi="仿宋_GB2312" w:eastAsia="仿宋_GB2312" w:cs="仿宋_GB2312"/>
          <w:b/>
          <w:bCs/>
          <w:sz w:val="24"/>
          <w:szCs w:val="24"/>
        </w:rPr>
      </w:pPr>
    </w:p>
    <w:p>
      <w:pPr>
        <w:spacing w:line="400" w:lineRule="exact"/>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备注：</w:t>
      </w:r>
    </w:p>
    <w:p>
      <w:pPr>
        <w:widowControl w:val="0"/>
        <w:numPr>
          <w:ilvl w:val="0"/>
          <w:numId w:val="13"/>
        </w:numPr>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响应报价的小数点后保留两位有效数。</w:t>
      </w:r>
    </w:p>
    <w:p>
      <w:pPr>
        <w:widowControl w:val="0"/>
        <w:numPr>
          <w:ilvl w:val="0"/>
          <w:numId w:val="13"/>
        </w:numPr>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此表须附在正、副本的响应文件中。</w:t>
      </w:r>
    </w:p>
    <w:p>
      <w:pPr>
        <w:widowControl w:val="0"/>
        <w:numPr>
          <w:ilvl w:val="0"/>
          <w:numId w:val="13"/>
        </w:numPr>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未报价或报价为零的视为响应人已包含在磋商总报价中。</w:t>
      </w:r>
    </w:p>
    <w:p>
      <w:pPr>
        <w:spacing w:line="360" w:lineRule="auto"/>
        <w:jc w:val="center"/>
        <w:rPr>
          <w:rFonts w:hint="eastAsia" w:ascii="仿宋_GB2312" w:hAnsi="仿宋_GB2312" w:eastAsia="仿宋_GB2312" w:cs="仿宋_GB2312"/>
          <w:b/>
          <w:sz w:val="32"/>
          <w:szCs w:val="32"/>
        </w:rPr>
      </w:pPr>
    </w:p>
    <w:p>
      <w:pPr>
        <w:spacing w:line="360" w:lineRule="auto"/>
        <w:jc w:val="center"/>
        <w:rPr>
          <w:rFonts w:hint="eastAsia" w:ascii="仿宋_GB2312" w:hAnsi="仿宋_GB2312" w:eastAsia="仿宋_GB2312" w:cs="仿宋_GB2312"/>
          <w:b/>
          <w:sz w:val="32"/>
          <w:szCs w:val="32"/>
        </w:rPr>
      </w:pPr>
    </w:p>
    <w:p>
      <w:pPr>
        <w:spacing w:line="360" w:lineRule="auto"/>
        <w:jc w:val="center"/>
        <w:rPr>
          <w:rFonts w:hint="eastAsia" w:ascii="仿宋_GB2312" w:hAnsi="仿宋_GB2312" w:eastAsia="仿宋_GB2312" w:cs="仿宋_GB2312"/>
          <w:b/>
          <w:sz w:val="32"/>
          <w:szCs w:val="32"/>
        </w:rPr>
      </w:pPr>
    </w:p>
    <w:p>
      <w:pPr>
        <w:spacing w:line="360" w:lineRule="auto"/>
        <w:jc w:val="center"/>
        <w:rPr>
          <w:rFonts w:hint="eastAsia" w:ascii="仿宋_GB2312" w:hAnsi="仿宋_GB2312" w:eastAsia="仿宋_GB2312" w:cs="仿宋_GB2312"/>
          <w:b/>
          <w:sz w:val="32"/>
          <w:szCs w:val="32"/>
        </w:rPr>
      </w:pPr>
    </w:p>
    <w:p>
      <w:pPr>
        <w:spacing w:line="360" w:lineRule="auto"/>
        <w:jc w:val="center"/>
        <w:rPr>
          <w:rFonts w:hint="eastAsia" w:ascii="仿宋_GB2312" w:hAnsi="仿宋_GB2312" w:eastAsia="仿宋_GB2312" w:cs="仿宋_GB2312"/>
          <w:b/>
          <w:sz w:val="32"/>
          <w:szCs w:val="32"/>
        </w:rPr>
      </w:pPr>
    </w:p>
    <w:p>
      <w:pPr>
        <w:spacing w:line="360" w:lineRule="auto"/>
        <w:jc w:val="center"/>
        <w:rPr>
          <w:rFonts w:hint="eastAsia" w:ascii="仿宋_GB2312" w:hAnsi="仿宋_GB2312" w:eastAsia="仿宋_GB2312" w:cs="仿宋_GB2312"/>
          <w:b/>
          <w:sz w:val="32"/>
          <w:szCs w:val="32"/>
        </w:rPr>
      </w:pPr>
    </w:p>
    <w:p>
      <w:pPr>
        <w:spacing w:line="360"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4.1报价表（最终报价）</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项目名称： </w:t>
      </w:r>
    </w:p>
    <w:p>
      <w:pPr>
        <w:snapToGrid w:val="0"/>
        <w:spacing w:line="360" w:lineRule="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项目编号： </w:t>
      </w:r>
    </w:p>
    <w:tbl>
      <w:tblPr>
        <w:tblStyle w:val="25"/>
        <w:tblW w:w="92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658"/>
        <w:gridCol w:w="2898"/>
        <w:gridCol w:w="302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634" w:type="dxa"/>
            <w:tcBorders>
              <w:top w:val="single" w:color="auto" w:sz="12" w:space="0"/>
              <w:left w:val="single" w:color="auto" w:sz="4" w:space="0"/>
              <w:bottom w:val="double" w:color="auto" w:sz="4" w:space="0"/>
            </w:tcBorders>
            <w:shd w:val="clear" w:color="auto" w:fill="EEECE1"/>
            <w:vAlign w:val="center"/>
          </w:tcPr>
          <w:p>
            <w:pPr>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采购内容</w:t>
            </w:r>
          </w:p>
        </w:tc>
        <w:tc>
          <w:tcPr>
            <w:tcW w:w="658" w:type="dxa"/>
            <w:tcBorders>
              <w:top w:val="single" w:color="auto" w:sz="12" w:space="0"/>
              <w:bottom w:val="double" w:color="auto" w:sz="4" w:space="0"/>
            </w:tcBorders>
            <w:shd w:val="clear" w:color="auto" w:fill="EEECE1"/>
            <w:vAlign w:val="center"/>
          </w:tcPr>
          <w:p>
            <w:pPr>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数量</w:t>
            </w:r>
          </w:p>
        </w:tc>
        <w:tc>
          <w:tcPr>
            <w:tcW w:w="2898" w:type="dxa"/>
            <w:tcBorders>
              <w:top w:val="single" w:color="auto" w:sz="12" w:space="0"/>
              <w:bottom w:val="double" w:color="auto" w:sz="4" w:space="0"/>
            </w:tcBorders>
            <w:shd w:val="clear" w:color="auto" w:fill="EEECE1"/>
            <w:vAlign w:val="center"/>
          </w:tcPr>
          <w:p>
            <w:pPr>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报 价</w:t>
            </w:r>
          </w:p>
          <w:p>
            <w:pPr>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（人民币 元）</w:t>
            </w:r>
          </w:p>
        </w:tc>
        <w:tc>
          <w:tcPr>
            <w:tcW w:w="3029" w:type="dxa"/>
            <w:tcBorders>
              <w:top w:val="single" w:color="auto" w:sz="12" w:space="0"/>
              <w:bottom w:val="double" w:color="auto" w:sz="4" w:space="0"/>
            </w:tcBorders>
            <w:shd w:val="clear" w:color="auto" w:fill="EEECE1"/>
            <w:vAlign w:val="center"/>
          </w:tcPr>
          <w:p>
            <w:pPr>
              <w:jc w:val="center"/>
              <w:rPr>
                <w:rFonts w:hint="eastAsia" w:ascii="仿宋_GB2312" w:hAnsi="仿宋_GB2312" w:eastAsia="仿宋_GB2312" w:cs="仿宋_GB2312"/>
                <w:b/>
                <w:szCs w:val="21"/>
              </w:rPr>
            </w:pPr>
            <w:r>
              <w:rPr>
                <w:rFonts w:hint="eastAsia" w:ascii="仿宋_GB2312" w:hAnsi="仿宋_GB2312" w:eastAsia="仿宋_GB2312" w:cs="仿宋_GB2312"/>
                <w:b/>
                <w:szCs w:val="21"/>
              </w:rPr>
              <w:t>服务期限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816" w:hRule="atLeast"/>
          <w:jc w:val="center"/>
        </w:trPr>
        <w:tc>
          <w:tcPr>
            <w:tcW w:w="2634" w:type="dxa"/>
            <w:tcBorders>
              <w:top w:val="double" w:color="auto" w:sz="4" w:space="0"/>
              <w:left w:val="single" w:color="auto" w:sz="4" w:space="0"/>
              <w:bottom w:val="single" w:color="auto" w:sz="12" w:space="0"/>
            </w:tcBorders>
            <w:vAlign w:val="center"/>
          </w:tcPr>
          <w:p>
            <w:pPr>
              <w:snapToGrid w:val="0"/>
              <w:jc w:val="center"/>
              <w:rPr>
                <w:rFonts w:hint="eastAsia" w:ascii="仿宋_GB2312" w:hAnsi="仿宋_GB2312" w:eastAsia="仿宋_GB2312" w:cs="仿宋_GB2312"/>
                <w:sz w:val="24"/>
                <w:szCs w:val="24"/>
              </w:rPr>
            </w:pPr>
          </w:p>
          <w:p>
            <w:pPr>
              <w:snapToGrid w:val="0"/>
              <w:jc w:val="center"/>
              <w:rPr>
                <w:rFonts w:hint="eastAsia" w:ascii="仿宋_GB2312" w:hAnsi="仿宋_GB2312" w:eastAsia="仿宋_GB2312" w:cs="仿宋_GB2312"/>
                <w:sz w:val="24"/>
                <w:szCs w:val="24"/>
              </w:rPr>
            </w:pPr>
          </w:p>
          <w:p>
            <w:pPr>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横琴粤澳深度合作区城市规划和建设局建设工程桩基施工过程质量数据采集分析第三方技术支撑服务项目</w:t>
            </w:r>
          </w:p>
          <w:p>
            <w:pPr>
              <w:snapToGrid w:val="0"/>
              <w:jc w:val="center"/>
              <w:rPr>
                <w:rFonts w:hint="eastAsia" w:ascii="仿宋_GB2312" w:hAnsi="仿宋_GB2312" w:eastAsia="仿宋_GB2312" w:cs="仿宋_GB2312"/>
                <w:sz w:val="24"/>
                <w:szCs w:val="24"/>
              </w:rPr>
            </w:pPr>
          </w:p>
          <w:p>
            <w:pPr>
              <w:snapToGrid w:val="0"/>
              <w:jc w:val="center"/>
              <w:rPr>
                <w:rFonts w:hint="eastAsia" w:ascii="仿宋_GB2312" w:hAnsi="仿宋_GB2312" w:eastAsia="仿宋_GB2312" w:cs="仿宋_GB2312"/>
                <w:sz w:val="24"/>
                <w:szCs w:val="24"/>
              </w:rPr>
            </w:pPr>
          </w:p>
          <w:p>
            <w:pPr>
              <w:snapToGrid w:val="0"/>
              <w:jc w:val="center"/>
              <w:rPr>
                <w:rFonts w:hint="eastAsia" w:ascii="仿宋_GB2312" w:hAnsi="仿宋_GB2312" w:eastAsia="仿宋_GB2312" w:cs="仿宋_GB2312"/>
                <w:sz w:val="24"/>
                <w:szCs w:val="24"/>
              </w:rPr>
            </w:pPr>
          </w:p>
        </w:tc>
        <w:tc>
          <w:tcPr>
            <w:tcW w:w="658" w:type="dxa"/>
            <w:tcBorders>
              <w:top w:val="double" w:color="auto" w:sz="4" w:space="0"/>
              <w:bottom w:val="single" w:color="auto" w:sz="12" w:space="0"/>
            </w:tcBorders>
            <w:vAlign w:val="center"/>
          </w:tcPr>
          <w:p>
            <w:pPr>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一项</w:t>
            </w:r>
          </w:p>
        </w:tc>
        <w:tc>
          <w:tcPr>
            <w:tcW w:w="2898" w:type="dxa"/>
            <w:tcBorders>
              <w:top w:val="double" w:color="auto" w:sz="4" w:space="0"/>
              <w:bottom w:val="single" w:color="auto" w:sz="12" w:space="0"/>
            </w:tcBorders>
            <w:vAlign w:val="center"/>
          </w:tcPr>
          <w:p>
            <w:pPr>
              <w:spacing w:line="400" w:lineRule="exact"/>
              <w:rPr>
                <w:rFonts w:hint="eastAsia" w:ascii="仿宋_GB2312" w:hAnsi="仿宋_GB2312" w:eastAsia="仿宋_GB2312" w:cs="仿宋_GB2312"/>
                <w:bCs/>
                <w:sz w:val="24"/>
                <w:szCs w:val="24"/>
                <w:u w:val="single"/>
              </w:rPr>
            </w:pPr>
            <w:r>
              <w:rPr>
                <w:rFonts w:hint="eastAsia" w:ascii="仿宋_GB2312" w:hAnsi="仿宋_GB2312" w:eastAsia="仿宋_GB2312" w:cs="仿宋_GB2312"/>
                <w:bCs/>
                <w:sz w:val="24"/>
                <w:szCs w:val="24"/>
              </w:rPr>
              <w:t>小写：       大写：</w:t>
            </w:r>
          </w:p>
        </w:tc>
        <w:tc>
          <w:tcPr>
            <w:tcW w:w="3029" w:type="dxa"/>
            <w:tcBorders>
              <w:top w:val="double" w:color="auto" w:sz="4" w:space="0"/>
              <w:bottom w:val="single" w:color="auto" w:sz="12" w:space="0"/>
            </w:tcBorders>
            <w:vAlign w:val="center"/>
          </w:tcPr>
          <w:p>
            <w:pPr>
              <w:pStyle w:val="57"/>
              <w:tabs>
                <w:tab w:val="left" w:pos="3125"/>
              </w:tabs>
              <w:spacing w:line="360" w:lineRule="auto"/>
              <w:ind w:firstLine="0" w:firstLineChars="0"/>
              <w:rPr>
                <w:rFonts w:hint="eastAsia" w:ascii="仿宋_GB2312" w:hAnsi="仿宋_GB2312" w:eastAsia="仿宋_GB2312" w:cs="仿宋_GB2312"/>
                <w:bCs/>
                <w:szCs w:val="24"/>
              </w:rPr>
            </w:pPr>
            <w:r>
              <w:rPr>
                <w:rFonts w:hint="eastAsia" w:ascii="仿宋_GB2312" w:hAnsi="仿宋_GB2312" w:eastAsia="仿宋_GB2312" w:cs="仿宋_GB2312"/>
                <w:bCs/>
                <w:szCs w:val="24"/>
              </w:rPr>
              <w:t>自合同签订之日起1年内完成</w:t>
            </w:r>
          </w:p>
          <w:p>
            <w:pPr>
              <w:pStyle w:val="57"/>
              <w:tabs>
                <w:tab w:val="left" w:pos="3125"/>
              </w:tabs>
              <w:spacing w:line="360" w:lineRule="auto"/>
              <w:ind w:firstLine="0" w:firstLineChars="0"/>
              <w:rPr>
                <w:rFonts w:hint="eastAsia" w:ascii="仿宋_GB2312" w:hAnsi="仿宋_GB2312" w:eastAsia="仿宋_GB2312" w:cs="仿宋_GB2312"/>
                <w:bCs/>
                <w:szCs w:val="24"/>
              </w:rPr>
            </w:pPr>
          </w:p>
        </w:tc>
      </w:tr>
    </w:tbl>
    <w:p>
      <w:pPr>
        <w:snapToGrid w:val="0"/>
        <w:rPr>
          <w:rFonts w:hint="eastAsia" w:ascii="仿宋_GB2312" w:hAnsi="仿宋_GB2312" w:eastAsia="仿宋_GB2312" w:cs="仿宋_GB2312"/>
          <w:sz w:val="24"/>
          <w:szCs w:val="24"/>
        </w:rPr>
      </w:pPr>
    </w:p>
    <w:p>
      <w:pPr>
        <w:spacing w:line="50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pacing w:val="4"/>
          <w:sz w:val="24"/>
          <w:szCs w:val="24"/>
        </w:rPr>
        <w:t>响应人名称（盖公章）：</w:t>
      </w:r>
      <w:r>
        <w:rPr>
          <w:rFonts w:hint="eastAsia" w:ascii="仿宋_GB2312" w:hAnsi="仿宋_GB2312" w:eastAsia="仿宋_GB2312" w:cs="仿宋_GB2312"/>
          <w:spacing w:val="4"/>
          <w:sz w:val="24"/>
          <w:szCs w:val="24"/>
          <w:u w:val="single"/>
        </w:rPr>
        <w:t xml:space="preserve">                                               </w:t>
      </w:r>
    </w:p>
    <w:p>
      <w:pPr>
        <w:spacing w:line="520" w:lineRule="exact"/>
        <w:rPr>
          <w:rFonts w:hint="eastAsia" w:ascii="仿宋_GB2312" w:hAnsi="仿宋_GB2312" w:eastAsia="仿宋_GB2312" w:cs="仿宋_GB2312"/>
          <w:spacing w:val="4"/>
          <w:sz w:val="24"/>
          <w:szCs w:val="24"/>
        </w:rPr>
      </w:pPr>
      <w:r>
        <w:rPr>
          <w:rFonts w:hint="eastAsia" w:ascii="仿宋_GB2312" w:hAnsi="仿宋_GB2312" w:eastAsia="仿宋_GB2312" w:cs="仿宋_GB2312"/>
          <w:sz w:val="24"/>
          <w:szCs w:val="24"/>
        </w:rPr>
        <w:t>法定代表人或响应人授权代表（签名或盖章）：</w:t>
      </w:r>
      <w:r>
        <w:rPr>
          <w:rFonts w:hint="eastAsia" w:ascii="仿宋_GB2312" w:hAnsi="仿宋_GB2312" w:eastAsia="仿宋_GB2312" w:cs="仿宋_GB2312"/>
          <w:spacing w:val="4"/>
          <w:sz w:val="24"/>
          <w:szCs w:val="24"/>
          <w:u w:val="single"/>
        </w:rPr>
        <w:t xml:space="preserve">                        </w:t>
      </w:r>
    </w:p>
    <w:p>
      <w:pPr>
        <w:spacing w:line="520" w:lineRule="exact"/>
        <w:rPr>
          <w:rFonts w:hint="eastAsia" w:ascii="仿宋_GB2312" w:hAnsi="仿宋_GB2312" w:eastAsia="仿宋_GB2312" w:cs="仿宋_GB2312"/>
          <w:spacing w:val="4"/>
          <w:sz w:val="24"/>
          <w:szCs w:val="24"/>
        </w:rPr>
      </w:pPr>
      <w:r>
        <w:rPr>
          <w:rFonts w:hint="eastAsia" w:ascii="仿宋_GB2312" w:hAnsi="仿宋_GB2312" w:eastAsia="仿宋_GB2312" w:cs="仿宋_GB2312"/>
          <w:spacing w:val="4"/>
          <w:sz w:val="24"/>
          <w:szCs w:val="24"/>
        </w:rPr>
        <w:t>日     期：</w:t>
      </w:r>
      <w:r>
        <w:rPr>
          <w:rFonts w:hint="eastAsia" w:ascii="仿宋_GB2312" w:hAnsi="仿宋_GB2312" w:eastAsia="仿宋_GB2312" w:cs="仿宋_GB2312"/>
          <w:spacing w:val="4"/>
          <w:sz w:val="24"/>
          <w:szCs w:val="24"/>
          <w:u w:val="single"/>
        </w:rPr>
        <w:t xml:space="preserve">                                                        </w:t>
      </w:r>
    </w:p>
    <w:p>
      <w:pPr>
        <w:spacing w:line="400" w:lineRule="exact"/>
        <w:rPr>
          <w:rFonts w:hint="eastAsia" w:ascii="仿宋_GB2312" w:hAnsi="仿宋_GB2312" w:eastAsia="仿宋_GB2312" w:cs="仿宋_GB2312"/>
          <w:b/>
          <w:bCs/>
          <w:sz w:val="24"/>
          <w:szCs w:val="24"/>
        </w:rPr>
      </w:pPr>
    </w:p>
    <w:p>
      <w:pPr>
        <w:spacing w:line="400" w:lineRule="exact"/>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备注：</w:t>
      </w:r>
    </w:p>
    <w:p>
      <w:pPr>
        <w:widowControl w:val="0"/>
        <w:numPr>
          <w:ilvl w:val="255"/>
          <w:numId w:val="0"/>
        </w:numPr>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1.响应报价的小数点后保留两位有效数。</w:t>
      </w:r>
    </w:p>
    <w:p>
      <w:pPr>
        <w:widowControl w:val="0"/>
        <w:numPr>
          <w:ilvl w:val="255"/>
          <w:numId w:val="0"/>
        </w:numPr>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2.未报价或报价为零的视为响应人已包含在磋商总报价中。</w:t>
      </w:r>
    </w:p>
    <w:p>
      <w:pPr>
        <w:widowControl w:val="0"/>
        <w:numPr>
          <w:ilvl w:val="255"/>
          <w:numId w:val="0"/>
        </w:numPr>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3.报价表（最终报价）无须放在响应文件中，在评标环节中与评委磋商后提供。</w:t>
      </w:r>
    </w:p>
    <w:p>
      <w:pPr>
        <w:widowControl w:val="0"/>
        <w:numPr>
          <w:ilvl w:val="255"/>
          <w:numId w:val="0"/>
        </w:numPr>
        <w:snapToGrid w:val="0"/>
        <w:spacing w:line="360" w:lineRule="auto"/>
        <w:jc w:val="both"/>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4.响应人可先加盖公章或签字。</w:t>
      </w:r>
    </w:p>
    <w:p>
      <w:pPr>
        <w:spacing w:line="360" w:lineRule="auto"/>
        <w:jc w:val="center"/>
        <w:rPr>
          <w:rFonts w:hint="eastAsia" w:ascii="仿宋_GB2312" w:hAnsi="仿宋_GB2312" w:eastAsia="仿宋_GB2312" w:cs="仿宋_GB2312"/>
          <w:b/>
          <w:sz w:val="32"/>
          <w:szCs w:val="32"/>
        </w:rPr>
      </w:pPr>
    </w:p>
    <w:p>
      <w:pPr>
        <w:pStyle w:val="3"/>
        <w:rPr>
          <w:rFonts w:hint="eastAsia" w:ascii="仿宋_GB2312" w:hAnsi="仿宋_GB2312" w:eastAsia="仿宋_GB2312" w:cs="仿宋_GB2312"/>
          <w:bCs w:val="0"/>
          <w:kern w:val="2"/>
          <w:sz w:val="32"/>
          <w:szCs w:val="32"/>
        </w:rPr>
      </w:pPr>
    </w:p>
    <w:p>
      <w:pPr>
        <w:spacing w:line="360" w:lineRule="auto"/>
        <w:rPr>
          <w:rFonts w:hint="eastAsia" w:ascii="仿宋_GB2312" w:hAnsi="仿宋_GB2312" w:eastAsia="仿宋_GB2312" w:cs="仿宋_GB2312"/>
          <w:b/>
          <w:kern w:val="2"/>
          <w:sz w:val="32"/>
          <w:szCs w:val="32"/>
        </w:rPr>
      </w:pPr>
    </w:p>
    <w:p>
      <w:pPr>
        <w:pStyle w:val="14"/>
        <w:rPr>
          <w:rFonts w:hint="eastAsia" w:ascii="仿宋_GB2312" w:hAnsi="仿宋_GB2312" w:eastAsia="仿宋_GB2312" w:cs="仿宋_GB2312"/>
          <w:b/>
          <w:sz w:val="32"/>
          <w:szCs w:val="32"/>
        </w:rPr>
      </w:pPr>
    </w:p>
    <w:p>
      <w:pPr>
        <w:pStyle w:val="14"/>
        <w:rPr>
          <w:rFonts w:hint="eastAsia" w:ascii="仿宋_GB2312" w:hAnsi="仿宋_GB2312" w:eastAsia="仿宋_GB2312" w:cs="仿宋_GB2312"/>
          <w:b/>
          <w:sz w:val="32"/>
          <w:szCs w:val="32"/>
        </w:rPr>
      </w:pPr>
    </w:p>
    <w:p>
      <w:pPr>
        <w:spacing w:line="360" w:lineRule="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五、其他文件</w:t>
      </w:r>
    </w:p>
    <w:p>
      <w:pPr>
        <w:adjustRightInd w:val="0"/>
        <w:snapToGrid w:val="0"/>
        <w:spacing w:line="300" w:lineRule="auto"/>
        <w:ind w:firstLine="210" w:firstLineChars="100"/>
        <w:rPr>
          <w:rFonts w:hint="eastAsia" w:ascii="仿宋_GB2312" w:hAnsi="仿宋_GB2312" w:eastAsia="仿宋_GB2312" w:cs="仿宋_GB2312"/>
          <w:b/>
          <w:bCs/>
          <w:sz w:val="44"/>
          <w:szCs w:val="44"/>
        </w:rPr>
      </w:pPr>
      <w:r>
        <w:rPr>
          <w:rFonts w:hint="eastAsia" w:ascii="仿宋_GB2312" w:hAnsi="仿宋_GB2312" w:eastAsia="仿宋_GB2312" w:cs="仿宋_GB2312"/>
          <w:szCs w:val="28"/>
        </w:rPr>
        <w:t>5.1中小企业声明函</w:t>
      </w:r>
    </w:p>
    <w:p>
      <w:pPr>
        <w:jc w:val="center"/>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中小企业声明函</w:t>
      </w:r>
    </w:p>
    <w:p>
      <w:pPr>
        <w:ind w:firstLine="480"/>
        <w:rPr>
          <w:rFonts w:hint="eastAsia" w:ascii="仿宋" w:hAnsi="仿宋" w:eastAsia="仿宋" w:cs="仿宋"/>
          <w:sz w:val="24"/>
          <w:szCs w:val="24"/>
        </w:rPr>
      </w:pPr>
      <w:r>
        <w:rPr>
          <w:rFonts w:hint="eastAsia" w:ascii="仿宋" w:hAnsi="仿宋" w:eastAsia="仿宋" w:cs="仿宋"/>
          <w:sz w:val="24"/>
          <w:szCs w:val="24"/>
        </w:rPr>
        <w:t>中小企业声明函（所投产品制造商为中小企业时提交本函，所属行业应符合采购文件中明确的本项目所属行业）</w:t>
      </w:r>
    </w:p>
    <w:p>
      <w:pPr>
        <w:jc w:val="center"/>
        <w:rPr>
          <w:rFonts w:hint="eastAsia" w:ascii="仿宋" w:hAnsi="仿宋" w:eastAsia="仿宋" w:cs="仿宋"/>
          <w:sz w:val="24"/>
          <w:szCs w:val="24"/>
        </w:rPr>
      </w:pPr>
      <w:r>
        <w:rPr>
          <w:rFonts w:hint="eastAsia" w:ascii="仿宋" w:hAnsi="仿宋" w:eastAsia="仿宋" w:cs="仿宋"/>
          <w:b/>
          <w:sz w:val="24"/>
          <w:szCs w:val="24"/>
        </w:rPr>
        <w:t>中小企业声明函（货物）</w:t>
      </w:r>
    </w:p>
    <w:p>
      <w:pPr>
        <w:ind w:firstLine="480"/>
        <w:rPr>
          <w:rFonts w:hint="eastAsia" w:ascii="仿宋" w:hAnsi="仿宋" w:eastAsia="仿宋" w:cs="仿宋"/>
          <w:sz w:val="24"/>
          <w:szCs w:val="24"/>
        </w:rPr>
      </w:pPr>
      <w:r>
        <w:rPr>
          <w:rFonts w:hint="eastAsia" w:ascii="仿宋" w:hAnsi="仿宋" w:eastAsia="仿宋" w:cs="仿宋"/>
          <w:sz w:val="24"/>
          <w:szCs w:val="24"/>
        </w:rPr>
        <w:t>本公司（联合体）郑重声明，根据《政府采购促进中小企业发展管理办法》（财库﹝2020﹞46 号）的规定，本公司（联合体）参加</w:t>
      </w:r>
      <w:r>
        <w:rPr>
          <w:rFonts w:hint="eastAsia" w:ascii="仿宋" w:hAnsi="仿宋" w:eastAsia="仿宋" w:cs="仿宋"/>
          <w:sz w:val="24"/>
          <w:szCs w:val="24"/>
          <w:u w:val="single"/>
        </w:rPr>
        <w:t>（单位名称）</w:t>
      </w:r>
      <w:r>
        <w:rPr>
          <w:rFonts w:hint="eastAsia" w:ascii="仿宋" w:hAnsi="仿宋" w:eastAsia="仿宋" w:cs="仿宋"/>
          <w:sz w:val="24"/>
          <w:szCs w:val="24"/>
        </w:rPr>
        <w:t>的</w:t>
      </w:r>
      <w:r>
        <w:rPr>
          <w:rFonts w:hint="eastAsia" w:ascii="仿宋" w:hAnsi="仿宋" w:eastAsia="仿宋" w:cs="仿宋"/>
          <w:sz w:val="24"/>
          <w:szCs w:val="24"/>
          <w:u w:val="single"/>
        </w:rPr>
        <w:t>（项目名称）</w:t>
      </w:r>
      <w:r>
        <w:rPr>
          <w:rFonts w:hint="eastAsia" w:ascii="仿宋" w:hAnsi="仿宋" w:eastAsia="仿宋" w:cs="仿宋"/>
          <w:sz w:val="24"/>
          <w:szCs w:val="24"/>
        </w:rPr>
        <w:t>采购活动，提供的货物全部由符合政策要求的中小企业制造。相关企业（含联合体中的中小企业、签订分包意向协议的中小企业）的具体情况如下：</w:t>
      </w:r>
    </w:p>
    <w:p>
      <w:pPr>
        <w:ind w:firstLine="48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u w:val="single"/>
        </w:rPr>
        <w:t>（标的名称）</w:t>
      </w:r>
      <w:r>
        <w:rPr>
          <w:rFonts w:hint="eastAsia" w:ascii="仿宋" w:hAnsi="仿宋" w:eastAsia="仿宋" w:cs="仿宋"/>
          <w:sz w:val="24"/>
          <w:szCs w:val="24"/>
        </w:rPr>
        <w:t>，属于</w:t>
      </w:r>
      <w:r>
        <w:rPr>
          <w:rFonts w:hint="eastAsia" w:ascii="仿宋" w:hAnsi="仿宋" w:eastAsia="仿宋" w:cs="仿宋"/>
          <w:sz w:val="24"/>
          <w:szCs w:val="24"/>
          <w:u w:val="single"/>
        </w:rPr>
        <w:t>其他未列明</w:t>
      </w:r>
      <w:r>
        <w:rPr>
          <w:rFonts w:hint="eastAsia" w:ascii="仿宋" w:hAnsi="仿宋" w:eastAsia="仿宋" w:cs="仿宋"/>
          <w:sz w:val="24"/>
          <w:szCs w:val="24"/>
        </w:rPr>
        <w:t>行业；制造商为</w:t>
      </w:r>
      <w:r>
        <w:rPr>
          <w:rFonts w:hint="eastAsia" w:ascii="仿宋" w:hAnsi="仿宋" w:eastAsia="仿宋" w:cs="仿宋"/>
          <w:sz w:val="24"/>
          <w:szCs w:val="24"/>
          <w:u w:val="single"/>
        </w:rPr>
        <w:t>（企业名称）</w:t>
      </w:r>
      <w:r>
        <w:rPr>
          <w:rFonts w:hint="eastAsia" w:ascii="仿宋" w:hAnsi="仿宋" w:eastAsia="仿宋" w:cs="仿宋"/>
          <w:sz w:val="24"/>
          <w:szCs w:val="24"/>
        </w:rPr>
        <w:t>，从业人员__________________人，营业收入为__________________万元，资产总额为__________________万元，属于</w:t>
      </w:r>
      <w:r>
        <w:rPr>
          <w:rFonts w:hint="eastAsia" w:ascii="仿宋" w:hAnsi="仿宋" w:eastAsia="仿宋" w:cs="仿宋"/>
          <w:sz w:val="24"/>
          <w:szCs w:val="24"/>
          <w:u w:val="single"/>
        </w:rPr>
        <w:t>（中型企业、小型企业、微型企业）</w:t>
      </w:r>
      <w:r>
        <w:rPr>
          <w:rFonts w:hint="eastAsia" w:ascii="仿宋" w:hAnsi="仿宋" w:eastAsia="仿宋" w:cs="仿宋"/>
          <w:sz w:val="24"/>
          <w:szCs w:val="24"/>
        </w:rPr>
        <w:t>；</w:t>
      </w:r>
    </w:p>
    <w:p>
      <w:pPr>
        <w:ind w:firstLine="48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u w:val="single"/>
        </w:rPr>
        <w:t>（标的名称）</w:t>
      </w:r>
      <w:r>
        <w:rPr>
          <w:rFonts w:hint="eastAsia" w:ascii="仿宋" w:hAnsi="仿宋" w:eastAsia="仿宋" w:cs="仿宋"/>
          <w:sz w:val="24"/>
          <w:szCs w:val="24"/>
        </w:rPr>
        <w:t>，属于</w:t>
      </w:r>
      <w:r>
        <w:rPr>
          <w:rFonts w:hint="eastAsia" w:ascii="仿宋" w:hAnsi="仿宋" w:eastAsia="仿宋" w:cs="仿宋"/>
          <w:sz w:val="24"/>
          <w:szCs w:val="24"/>
          <w:u w:val="single"/>
        </w:rPr>
        <w:t>（采购文件中明确的所属行业）</w:t>
      </w:r>
      <w:r>
        <w:rPr>
          <w:rFonts w:hint="eastAsia" w:ascii="仿宋" w:hAnsi="仿宋" w:eastAsia="仿宋" w:cs="仿宋"/>
          <w:sz w:val="24"/>
          <w:szCs w:val="24"/>
        </w:rPr>
        <w:t>行业；制造商为</w:t>
      </w:r>
      <w:r>
        <w:rPr>
          <w:rFonts w:hint="eastAsia" w:ascii="仿宋" w:hAnsi="仿宋" w:eastAsia="仿宋" w:cs="仿宋"/>
          <w:sz w:val="24"/>
          <w:szCs w:val="24"/>
          <w:u w:val="single"/>
        </w:rPr>
        <w:t>（企业名称）</w:t>
      </w:r>
      <w:r>
        <w:rPr>
          <w:rFonts w:hint="eastAsia" w:ascii="仿宋" w:hAnsi="仿宋" w:eastAsia="仿宋" w:cs="仿宋"/>
          <w:sz w:val="24"/>
          <w:szCs w:val="24"/>
        </w:rPr>
        <w:t>，从业人员__________________人，营业收入为__________________万元，资产总额为__________________万元，属于</w:t>
      </w:r>
      <w:r>
        <w:rPr>
          <w:rFonts w:hint="eastAsia" w:ascii="仿宋" w:hAnsi="仿宋" w:eastAsia="仿宋" w:cs="仿宋"/>
          <w:sz w:val="24"/>
          <w:szCs w:val="24"/>
          <w:u w:val="single"/>
        </w:rPr>
        <w:t>（中型企业、小型企业、微型企业）</w:t>
      </w:r>
      <w:r>
        <w:rPr>
          <w:rFonts w:hint="eastAsia" w:ascii="仿宋" w:hAnsi="仿宋" w:eastAsia="仿宋" w:cs="仿宋"/>
          <w:sz w:val="24"/>
          <w:szCs w:val="24"/>
        </w:rPr>
        <w:t>；</w:t>
      </w:r>
    </w:p>
    <w:p>
      <w:pPr>
        <w:ind w:firstLine="480"/>
        <w:rPr>
          <w:rFonts w:hint="eastAsia" w:ascii="仿宋" w:hAnsi="仿宋" w:eastAsia="仿宋" w:cs="仿宋"/>
          <w:sz w:val="24"/>
          <w:szCs w:val="24"/>
        </w:rPr>
      </w:pPr>
      <w:r>
        <w:rPr>
          <w:rFonts w:hint="eastAsia" w:ascii="仿宋" w:hAnsi="仿宋" w:eastAsia="仿宋" w:cs="仿宋"/>
          <w:sz w:val="24"/>
          <w:szCs w:val="24"/>
        </w:rPr>
        <w:t>……</w:t>
      </w:r>
    </w:p>
    <w:p>
      <w:pPr>
        <w:ind w:firstLine="480"/>
        <w:rPr>
          <w:rFonts w:hint="eastAsia" w:ascii="仿宋" w:hAnsi="仿宋" w:eastAsia="仿宋" w:cs="仿宋"/>
          <w:sz w:val="24"/>
          <w:szCs w:val="24"/>
        </w:rPr>
      </w:pPr>
      <w:r>
        <w:rPr>
          <w:rFonts w:hint="eastAsia" w:ascii="仿宋" w:hAnsi="仿宋" w:eastAsia="仿宋" w:cs="仿宋"/>
          <w:sz w:val="24"/>
          <w:szCs w:val="24"/>
        </w:rPr>
        <w:t>以上企业，不属于大企业的分支机构，不存在控股股东为大企业的情形，也不存在与大企业的负责人为同一人的情形。</w:t>
      </w:r>
    </w:p>
    <w:p>
      <w:pPr>
        <w:ind w:firstLine="480"/>
        <w:rPr>
          <w:rFonts w:hint="eastAsia" w:ascii="仿宋" w:hAnsi="仿宋" w:eastAsia="仿宋" w:cs="仿宋"/>
          <w:sz w:val="24"/>
          <w:szCs w:val="24"/>
        </w:rPr>
      </w:pPr>
      <w:r>
        <w:rPr>
          <w:rFonts w:hint="eastAsia" w:ascii="仿宋" w:hAnsi="仿宋" w:eastAsia="仿宋" w:cs="仿宋"/>
          <w:sz w:val="24"/>
          <w:szCs w:val="24"/>
        </w:rPr>
        <w:t>本企业对上述声明内容的真实性负责。如有虚假，将依法承担相应责任。</w:t>
      </w:r>
    </w:p>
    <w:p>
      <w:pPr>
        <w:rPr>
          <w:rFonts w:hint="eastAsia" w:ascii="仿宋" w:hAnsi="仿宋" w:eastAsia="仿宋" w:cs="仿宋"/>
          <w:sz w:val="24"/>
          <w:szCs w:val="24"/>
        </w:rPr>
      </w:pPr>
      <w:r>
        <w:rPr>
          <w:rFonts w:hint="eastAsia" w:ascii="仿宋" w:hAnsi="仿宋" w:eastAsia="仿宋" w:cs="仿宋"/>
          <w:sz w:val="24"/>
          <w:szCs w:val="24"/>
        </w:rPr>
        <w:t xml:space="preserve"> 企业名称（盖章）：__________________</w:t>
      </w:r>
    </w:p>
    <w:p>
      <w:pPr>
        <w:rPr>
          <w:rFonts w:hint="eastAsia" w:ascii="仿宋" w:hAnsi="仿宋" w:eastAsia="仿宋" w:cs="仿宋"/>
          <w:sz w:val="24"/>
          <w:szCs w:val="24"/>
        </w:rPr>
      </w:pPr>
      <w:r>
        <w:rPr>
          <w:rFonts w:hint="eastAsia" w:ascii="仿宋" w:hAnsi="仿宋" w:eastAsia="仿宋" w:cs="仿宋"/>
          <w:sz w:val="24"/>
          <w:szCs w:val="24"/>
        </w:rPr>
        <w:t>日期： 年 月 日</w:t>
      </w:r>
    </w:p>
    <w:p>
      <w:pPr>
        <w:ind w:firstLine="480"/>
        <w:rPr>
          <w:rFonts w:hint="eastAsia" w:ascii="仿宋" w:hAnsi="仿宋" w:eastAsia="仿宋" w:cs="仿宋"/>
          <w:sz w:val="24"/>
          <w:szCs w:val="24"/>
        </w:rPr>
      </w:pPr>
    </w:p>
    <w:p>
      <w:pPr>
        <w:ind w:firstLine="480"/>
        <w:rPr>
          <w:rFonts w:hint="eastAsia" w:ascii="仿宋" w:hAnsi="仿宋" w:eastAsia="仿宋" w:cs="仿宋"/>
          <w:sz w:val="24"/>
          <w:szCs w:val="24"/>
        </w:rPr>
      </w:pPr>
    </w:p>
    <w:p>
      <w:pPr>
        <w:ind w:firstLine="480"/>
        <w:rPr>
          <w:rFonts w:hint="eastAsia" w:ascii="仿宋" w:hAnsi="仿宋" w:eastAsia="仿宋" w:cs="仿宋"/>
          <w:sz w:val="24"/>
          <w:szCs w:val="24"/>
        </w:rPr>
      </w:pPr>
      <w:r>
        <w:rPr>
          <w:rFonts w:hint="eastAsia" w:ascii="仿宋" w:hAnsi="仿宋" w:eastAsia="仿宋" w:cs="仿宋"/>
          <w:sz w:val="24"/>
          <w:szCs w:val="24"/>
        </w:rPr>
        <w:t>1：从业人员、营业收入、资产总额填报上一年度数据，无上一年度数据的新成立企业可不填报</w:t>
      </w:r>
    </w:p>
    <w:p>
      <w:pPr>
        <w:ind w:firstLine="480"/>
        <w:rPr>
          <w:rFonts w:hint="eastAsia" w:ascii="仿宋" w:hAnsi="仿宋" w:eastAsia="仿宋" w:cs="仿宋"/>
          <w:sz w:val="24"/>
          <w:szCs w:val="24"/>
        </w:rPr>
      </w:pPr>
      <w:r>
        <w:rPr>
          <w:rFonts w:hint="eastAsia" w:ascii="仿宋" w:hAnsi="仿宋" w:eastAsia="仿宋" w:cs="仿宋"/>
          <w:sz w:val="24"/>
          <w:szCs w:val="24"/>
        </w:rPr>
        <w:t>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w:t>
      </w:r>
    </w:p>
    <w:p>
      <w:pPr>
        <w:ind w:firstLine="480"/>
        <w:rPr>
          <w:rFonts w:hint="eastAsia" w:ascii="仿宋" w:hAnsi="仿宋" w:eastAsia="仿宋" w:cs="仿宋"/>
          <w:sz w:val="24"/>
          <w:szCs w:val="24"/>
        </w:rPr>
      </w:pPr>
    </w:p>
    <w:p>
      <w:pPr>
        <w:rPr>
          <w:rFonts w:hint="eastAsia" w:ascii="仿宋" w:hAnsi="仿宋" w:eastAsia="仿宋" w:cs="仿宋"/>
          <w:sz w:val="24"/>
          <w:szCs w:val="24"/>
        </w:rPr>
      </w:pPr>
      <w:r>
        <w:rPr>
          <w:rFonts w:hint="eastAsia" w:ascii="仿宋" w:hAnsi="仿宋" w:eastAsia="仿宋" w:cs="仿宋"/>
          <w:sz w:val="24"/>
          <w:szCs w:val="24"/>
        </w:rPr>
        <w:t xml:space="preserve"> </w:t>
      </w:r>
    </w:p>
    <w:p>
      <w:pPr>
        <w:pStyle w:val="2"/>
        <w:rPr>
          <w:rFonts w:hint="eastAsia" w:ascii="仿宋" w:hAnsi="仿宋" w:eastAsia="仿宋" w:cs="仿宋"/>
          <w:sz w:val="24"/>
          <w:szCs w:val="24"/>
        </w:rPr>
      </w:pPr>
    </w:p>
    <w:p>
      <w:pPr>
        <w:pStyle w:val="2"/>
        <w:rPr>
          <w:rFonts w:hint="eastAsia" w:ascii="仿宋" w:hAnsi="仿宋" w:eastAsia="仿宋" w:cs="仿宋"/>
          <w:sz w:val="24"/>
          <w:szCs w:val="24"/>
        </w:rPr>
      </w:pPr>
    </w:p>
    <w:p>
      <w:pPr>
        <w:pStyle w:val="2"/>
        <w:rPr>
          <w:rFonts w:hint="eastAsia" w:ascii="仿宋" w:hAnsi="仿宋" w:eastAsia="仿宋" w:cs="仿宋"/>
          <w:sz w:val="24"/>
          <w:szCs w:val="24"/>
        </w:rPr>
      </w:pPr>
    </w:p>
    <w:p>
      <w:pPr>
        <w:pStyle w:val="2"/>
        <w:rPr>
          <w:rFonts w:hint="eastAsia" w:ascii="仿宋" w:hAnsi="仿宋" w:eastAsia="仿宋" w:cs="仿宋"/>
          <w:sz w:val="24"/>
          <w:szCs w:val="24"/>
        </w:rPr>
      </w:pPr>
    </w:p>
    <w:p>
      <w:pPr>
        <w:pStyle w:val="2"/>
        <w:rPr>
          <w:rFonts w:hint="eastAsia" w:ascii="仿宋" w:hAnsi="仿宋" w:eastAsia="仿宋" w:cs="仿宋"/>
          <w:sz w:val="24"/>
          <w:szCs w:val="24"/>
        </w:rPr>
      </w:pPr>
    </w:p>
    <w:p>
      <w:pPr>
        <w:pStyle w:val="2"/>
        <w:rPr>
          <w:rFonts w:hint="eastAsia" w:ascii="仿宋" w:hAnsi="仿宋" w:eastAsia="仿宋" w:cs="仿宋"/>
          <w:sz w:val="24"/>
          <w:szCs w:val="24"/>
        </w:rPr>
      </w:pPr>
    </w:p>
    <w:p>
      <w:pPr>
        <w:rPr>
          <w:rFonts w:hint="eastAsia" w:ascii="仿宋" w:hAnsi="仿宋" w:eastAsia="仿宋" w:cs="仿宋"/>
          <w:sz w:val="24"/>
          <w:szCs w:val="24"/>
        </w:rPr>
      </w:pPr>
    </w:p>
    <w:p>
      <w:pPr>
        <w:ind w:firstLine="480"/>
        <w:rPr>
          <w:rFonts w:hint="eastAsia" w:ascii="仿宋" w:hAnsi="仿宋" w:eastAsia="仿宋" w:cs="仿宋"/>
          <w:sz w:val="24"/>
          <w:szCs w:val="24"/>
        </w:rPr>
      </w:pPr>
      <w:r>
        <w:rPr>
          <w:rFonts w:hint="eastAsia" w:ascii="仿宋" w:hAnsi="仿宋" w:eastAsia="仿宋" w:cs="仿宋"/>
          <w:sz w:val="24"/>
          <w:szCs w:val="24"/>
        </w:rPr>
        <w:t>中小企业声明函（承建本项目工程为中小企业或者承接本项目服务为中小企业时提交本函，所属行业应符合采购文件中明确的本项目所属行业）</w:t>
      </w:r>
    </w:p>
    <w:p>
      <w:pPr>
        <w:jc w:val="center"/>
        <w:rPr>
          <w:rFonts w:hint="eastAsia" w:ascii="仿宋" w:hAnsi="仿宋" w:eastAsia="仿宋" w:cs="仿宋"/>
          <w:sz w:val="24"/>
          <w:szCs w:val="24"/>
        </w:rPr>
      </w:pPr>
      <w:r>
        <w:rPr>
          <w:rFonts w:hint="eastAsia" w:ascii="仿宋" w:hAnsi="仿宋" w:eastAsia="仿宋" w:cs="仿宋"/>
          <w:b/>
          <w:sz w:val="24"/>
          <w:szCs w:val="24"/>
        </w:rPr>
        <w:t>中小企业声明函（工程、服务）</w:t>
      </w:r>
    </w:p>
    <w:p>
      <w:pPr>
        <w:ind w:firstLine="480"/>
        <w:rPr>
          <w:rFonts w:hint="eastAsia" w:ascii="仿宋" w:hAnsi="仿宋" w:eastAsia="仿宋" w:cs="仿宋"/>
          <w:sz w:val="24"/>
          <w:szCs w:val="24"/>
        </w:rPr>
      </w:pPr>
      <w:r>
        <w:rPr>
          <w:rFonts w:hint="eastAsia" w:ascii="仿宋" w:hAnsi="仿宋" w:eastAsia="仿宋" w:cs="仿宋"/>
          <w:sz w:val="24"/>
          <w:szCs w:val="24"/>
        </w:rPr>
        <w:t>本公司（联合体）郑重声明，根据《政府采购促进中小企业发展管理办法》（财库﹝2020﹞46</w:t>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ab/>
      </w:r>
      <w:r>
        <w:rPr>
          <w:rFonts w:hint="eastAsia" w:ascii="仿宋" w:hAnsi="仿宋" w:eastAsia="仿宋" w:cs="仿宋"/>
          <w:sz w:val="24"/>
          <w:szCs w:val="24"/>
        </w:rPr>
        <w:t xml:space="preserve"> 号）的规定，本公司（联合体）参加</w:t>
      </w:r>
      <w:r>
        <w:rPr>
          <w:rFonts w:hint="eastAsia" w:ascii="仿宋" w:hAnsi="仿宋" w:eastAsia="仿宋" w:cs="仿宋"/>
          <w:sz w:val="24"/>
          <w:szCs w:val="24"/>
          <w:u w:val="single"/>
        </w:rPr>
        <w:t>（单位名称）</w:t>
      </w:r>
      <w:r>
        <w:rPr>
          <w:rFonts w:hint="eastAsia" w:ascii="仿宋" w:hAnsi="仿宋" w:eastAsia="仿宋" w:cs="仿宋"/>
          <w:sz w:val="24"/>
          <w:szCs w:val="24"/>
        </w:rPr>
        <w:t>的</w:t>
      </w:r>
      <w:r>
        <w:rPr>
          <w:rFonts w:hint="eastAsia" w:ascii="仿宋" w:hAnsi="仿宋" w:eastAsia="仿宋" w:cs="仿宋"/>
          <w:sz w:val="24"/>
          <w:szCs w:val="24"/>
          <w:u w:val="single"/>
        </w:rPr>
        <w:t>（项目名称）</w:t>
      </w:r>
      <w:r>
        <w:rPr>
          <w:rFonts w:hint="eastAsia" w:ascii="仿宋" w:hAnsi="仿宋" w:eastAsia="仿宋" w:cs="仿宋"/>
          <w:sz w:val="24"/>
          <w:szCs w:val="24"/>
        </w:rPr>
        <w:t>采购活动，工程的施工单位全部为符合政策要求的中小企业（或者：服务全部由符合政策要求的中小企业承接）。相关企业（含联合体中的中小企业、签订分包意向协议的中小企业）的具体情况如下：</w:t>
      </w:r>
    </w:p>
    <w:p>
      <w:pPr>
        <w:ind w:firstLine="480"/>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u w:val="single"/>
        </w:rPr>
        <w:t>（标的名称）</w:t>
      </w:r>
      <w:r>
        <w:rPr>
          <w:rFonts w:hint="eastAsia" w:ascii="仿宋" w:hAnsi="仿宋" w:eastAsia="仿宋" w:cs="仿宋"/>
          <w:sz w:val="24"/>
          <w:szCs w:val="24"/>
        </w:rPr>
        <w:t>，属于</w:t>
      </w:r>
      <w:r>
        <w:rPr>
          <w:rFonts w:hint="eastAsia" w:ascii="仿宋" w:hAnsi="仿宋" w:eastAsia="仿宋" w:cs="仿宋"/>
          <w:sz w:val="24"/>
          <w:szCs w:val="24"/>
          <w:u w:val="single"/>
        </w:rPr>
        <w:t>其他未列明</w:t>
      </w:r>
      <w:r>
        <w:rPr>
          <w:rFonts w:hint="eastAsia" w:ascii="仿宋" w:hAnsi="仿宋" w:eastAsia="仿宋" w:cs="仿宋"/>
          <w:sz w:val="24"/>
          <w:szCs w:val="24"/>
        </w:rPr>
        <w:t>行业；承建（承接）企业为</w:t>
      </w:r>
      <w:r>
        <w:rPr>
          <w:rFonts w:hint="eastAsia" w:ascii="仿宋" w:hAnsi="仿宋" w:eastAsia="仿宋" w:cs="仿宋"/>
          <w:sz w:val="24"/>
          <w:szCs w:val="24"/>
          <w:u w:val="single"/>
        </w:rPr>
        <w:t>（企业名称）</w:t>
      </w:r>
      <w:r>
        <w:rPr>
          <w:rFonts w:hint="eastAsia" w:ascii="仿宋" w:hAnsi="仿宋" w:eastAsia="仿宋" w:cs="仿宋"/>
          <w:sz w:val="24"/>
          <w:szCs w:val="24"/>
        </w:rPr>
        <w:t>，从业人员__________________人，营业收入为__________________万元，资产总额为__________________万元1，属于</w:t>
      </w:r>
      <w:r>
        <w:rPr>
          <w:rFonts w:hint="eastAsia" w:ascii="仿宋" w:hAnsi="仿宋" w:eastAsia="仿宋" w:cs="仿宋"/>
          <w:sz w:val="24"/>
          <w:szCs w:val="24"/>
          <w:u w:val="single"/>
        </w:rPr>
        <w:t>（中型企业、小型企业、微型企业）</w:t>
      </w:r>
      <w:r>
        <w:rPr>
          <w:rFonts w:hint="eastAsia" w:ascii="仿宋" w:hAnsi="仿宋" w:eastAsia="仿宋" w:cs="仿宋"/>
          <w:sz w:val="24"/>
          <w:szCs w:val="24"/>
        </w:rPr>
        <w:t>；</w:t>
      </w:r>
    </w:p>
    <w:p>
      <w:pPr>
        <w:ind w:firstLine="480"/>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u w:val="single"/>
        </w:rPr>
        <w:t>（标的名称）</w:t>
      </w:r>
      <w:r>
        <w:rPr>
          <w:rFonts w:hint="eastAsia" w:ascii="仿宋" w:hAnsi="仿宋" w:eastAsia="仿宋" w:cs="仿宋"/>
          <w:sz w:val="24"/>
          <w:szCs w:val="24"/>
        </w:rPr>
        <w:t>，属于</w:t>
      </w:r>
      <w:r>
        <w:rPr>
          <w:rFonts w:hint="eastAsia" w:ascii="仿宋" w:hAnsi="仿宋" w:eastAsia="仿宋" w:cs="仿宋"/>
          <w:sz w:val="24"/>
          <w:szCs w:val="24"/>
          <w:u w:val="single"/>
        </w:rPr>
        <w:t>（采购文件中明确的所属行业）</w:t>
      </w:r>
      <w:r>
        <w:rPr>
          <w:rFonts w:hint="eastAsia" w:ascii="仿宋" w:hAnsi="仿宋" w:eastAsia="仿宋" w:cs="仿宋"/>
          <w:sz w:val="24"/>
          <w:szCs w:val="24"/>
        </w:rPr>
        <w:t>行业；承建（承接）企业为</w:t>
      </w:r>
      <w:r>
        <w:rPr>
          <w:rFonts w:hint="eastAsia" w:ascii="仿宋" w:hAnsi="仿宋" w:eastAsia="仿宋" w:cs="仿宋"/>
          <w:sz w:val="24"/>
          <w:szCs w:val="24"/>
          <w:u w:val="single"/>
        </w:rPr>
        <w:t>（企业名称）</w:t>
      </w:r>
      <w:r>
        <w:rPr>
          <w:rFonts w:hint="eastAsia" w:ascii="仿宋" w:hAnsi="仿宋" w:eastAsia="仿宋" w:cs="仿宋"/>
          <w:sz w:val="24"/>
          <w:szCs w:val="24"/>
        </w:rPr>
        <w:t>，从业人员__________________人，营业收入为__________________万元，资产总额为__________________万元1，属于</w:t>
      </w:r>
      <w:r>
        <w:rPr>
          <w:rFonts w:hint="eastAsia" w:ascii="仿宋" w:hAnsi="仿宋" w:eastAsia="仿宋" w:cs="仿宋"/>
          <w:sz w:val="24"/>
          <w:szCs w:val="24"/>
          <w:u w:val="single"/>
        </w:rPr>
        <w:t>（中型企业、小型企业、微型企业）</w:t>
      </w:r>
      <w:r>
        <w:rPr>
          <w:rFonts w:hint="eastAsia" w:ascii="仿宋" w:hAnsi="仿宋" w:eastAsia="仿宋" w:cs="仿宋"/>
          <w:sz w:val="24"/>
          <w:szCs w:val="24"/>
        </w:rPr>
        <w:t>；</w:t>
      </w:r>
    </w:p>
    <w:p>
      <w:pPr>
        <w:ind w:firstLine="480"/>
        <w:rPr>
          <w:rFonts w:hint="eastAsia" w:ascii="仿宋" w:hAnsi="仿宋" w:eastAsia="仿宋" w:cs="仿宋"/>
          <w:sz w:val="24"/>
          <w:szCs w:val="24"/>
        </w:rPr>
      </w:pPr>
      <w:r>
        <w:rPr>
          <w:rFonts w:hint="eastAsia" w:ascii="仿宋" w:hAnsi="仿宋" w:eastAsia="仿宋" w:cs="仿宋"/>
          <w:sz w:val="24"/>
          <w:szCs w:val="24"/>
        </w:rPr>
        <w:t>……</w:t>
      </w:r>
    </w:p>
    <w:p>
      <w:pPr>
        <w:ind w:firstLine="480"/>
        <w:rPr>
          <w:rFonts w:hint="eastAsia" w:ascii="仿宋" w:hAnsi="仿宋" w:eastAsia="仿宋" w:cs="仿宋"/>
          <w:sz w:val="24"/>
          <w:szCs w:val="24"/>
        </w:rPr>
      </w:pPr>
      <w:r>
        <w:rPr>
          <w:rFonts w:hint="eastAsia" w:ascii="仿宋" w:hAnsi="仿宋" w:eastAsia="仿宋" w:cs="仿宋"/>
          <w:sz w:val="24"/>
          <w:szCs w:val="24"/>
        </w:rPr>
        <w:t>以上企业，不属于大企业的分支机构，不存在控股股东为大企业的情形，也不存在与大企业的负责人为同一人的情形。</w:t>
      </w:r>
    </w:p>
    <w:p>
      <w:pPr>
        <w:ind w:firstLine="480"/>
        <w:rPr>
          <w:rFonts w:hint="eastAsia" w:ascii="仿宋" w:hAnsi="仿宋" w:eastAsia="仿宋" w:cs="仿宋"/>
          <w:sz w:val="24"/>
          <w:szCs w:val="24"/>
        </w:rPr>
      </w:pPr>
      <w:r>
        <w:rPr>
          <w:rFonts w:hint="eastAsia" w:ascii="仿宋" w:hAnsi="仿宋" w:eastAsia="仿宋" w:cs="仿宋"/>
          <w:sz w:val="24"/>
          <w:szCs w:val="24"/>
        </w:rPr>
        <w:t>本企业对上述声明内容的真实性负责。如有虚假，将依法承担相应责任。</w:t>
      </w:r>
    </w:p>
    <w:p>
      <w:pPr>
        <w:rPr>
          <w:rFonts w:hint="eastAsia" w:ascii="仿宋" w:hAnsi="仿宋" w:eastAsia="仿宋" w:cs="仿宋"/>
          <w:sz w:val="24"/>
          <w:szCs w:val="24"/>
        </w:rPr>
      </w:pPr>
      <w:r>
        <w:rPr>
          <w:rFonts w:hint="eastAsia" w:ascii="仿宋" w:hAnsi="仿宋" w:eastAsia="仿宋" w:cs="仿宋"/>
          <w:sz w:val="24"/>
          <w:szCs w:val="24"/>
        </w:rPr>
        <w:t xml:space="preserve"> 企业名称（盖章）：__________________</w:t>
      </w:r>
    </w:p>
    <w:p>
      <w:pPr>
        <w:rPr>
          <w:rFonts w:hint="eastAsia" w:ascii="仿宋" w:hAnsi="仿宋" w:eastAsia="仿宋" w:cs="仿宋"/>
          <w:sz w:val="24"/>
          <w:szCs w:val="24"/>
        </w:rPr>
      </w:pPr>
      <w:r>
        <w:rPr>
          <w:rFonts w:hint="eastAsia" w:ascii="仿宋" w:hAnsi="仿宋" w:eastAsia="仿宋" w:cs="仿宋"/>
          <w:sz w:val="24"/>
          <w:szCs w:val="24"/>
        </w:rPr>
        <w:t>日期： 年 月 日</w:t>
      </w:r>
    </w:p>
    <w:p>
      <w:pPr>
        <w:ind w:firstLine="480"/>
        <w:rPr>
          <w:rFonts w:hint="eastAsia" w:ascii="仿宋" w:hAnsi="仿宋" w:eastAsia="仿宋" w:cs="仿宋"/>
          <w:sz w:val="24"/>
          <w:szCs w:val="24"/>
        </w:rPr>
      </w:pPr>
      <w:r>
        <w:rPr>
          <w:rFonts w:hint="eastAsia" w:ascii="仿宋" w:hAnsi="仿宋" w:eastAsia="仿宋" w:cs="仿宋"/>
          <w:sz w:val="24"/>
          <w:szCs w:val="24"/>
        </w:rPr>
        <w:t>1：从业人员、营业收入、资产总额填报上一年度数据，无上一年度数据的新成立企业可不填报。</w:t>
      </w:r>
    </w:p>
    <w:p>
      <w:pPr>
        <w:ind w:firstLine="480"/>
        <w:rPr>
          <w:rFonts w:hint="eastAsia" w:ascii="仿宋" w:hAnsi="仿宋" w:eastAsia="仿宋" w:cs="仿宋"/>
          <w:sz w:val="24"/>
          <w:szCs w:val="24"/>
        </w:rPr>
      </w:pPr>
      <w:r>
        <w:rPr>
          <w:rFonts w:hint="eastAsia" w:ascii="仿宋" w:hAnsi="仿宋" w:eastAsia="仿宋" w:cs="仿宋"/>
          <w:sz w:val="24"/>
          <w:szCs w:val="24"/>
        </w:rPr>
        <w:t>2：投标人应当自行核实是否属于小微企业，并认真填写声明函，若有虚假将追究其责任。</w:t>
      </w:r>
    </w:p>
    <w:p>
      <w:pPr>
        <w:adjustRightInd w:val="0"/>
        <w:snapToGrid w:val="0"/>
        <w:spacing w:line="300" w:lineRule="auto"/>
        <w:rPr>
          <w:rFonts w:hint="eastAsia" w:ascii="仿宋_GB2312" w:hAnsi="仿宋_GB2312" w:eastAsia="仿宋_GB2312" w:cs="仿宋_GB2312"/>
          <w:b/>
          <w:sz w:val="32"/>
          <w:szCs w:val="32"/>
        </w:rPr>
      </w:pPr>
    </w:p>
    <w:p>
      <w:pPr>
        <w:jc w:val="center"/>
        <w:rPr>
          <w:rFonts w:hint="eastAsia" w:ascii="仿宋_GB2312" w:hAnsi="仿宋_GB2312" w:eastAsia="仿宋_GB2312" w:cs="仿宋_GB2312"/>
          <w:sz w:val="32"/>
          <w:szCs w:val="32"/>
        </w:rPr>
      </w:pPr>
    </w:p>
    <w:p>
      <w:pPr>
        <w:jc w:val="center"/>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监狱企业的证明文件（如是）</w:t>
      </w:r>
    </w:p>
    <w:p>
      <w:pPr>
        <w:rPr>
          <w:rFonts w:hint="eastAsia" w:ascii="仿宋_GB2312" w:hAnsi="仿宋_GB2312" w:eastAsia="仿宋_GB2312" w:cs="仿宋_GB2312"/>
          <w:sz w:val="24"/>
        </w:rPr>
      </w:pPr>
    </w:p>
    <w:p>
      <w:pPr>
        <w:rPr>
          <w:rFonts w:hint="eastAsia" w:ascii="仿宋_GB2312" w:hAnsi="仿宋_GB2312" w:eastAsia="仿宋_GB2312" w:cs="仿宋_GB2312"/>
          <w:sz w:val="24"/>
        </w:rPr>
      </w:pPr>
    </w:p>
    <w:p>
      <w:pPr>
        <w:rPr>
          <w:rFonts w:hint="eastAsia" w:ascii="仿宋_GB2312" w:hAnsi="仿宋_GB2312" w:eastAsia="仿宋_GB2312" w:cs="仿宋_GB2312"/>
          <w:sz w:val="24"/>
        </w:rPr>
      </w:pPr>
      <w:r>
        <w:rPr>
          <w:rFonts w:hint="eastAsia" w:ascii="仿宋_GB2312" w:hAnsi="仿宋_GB2312" w:eastAsia="仿宋_GB2312" w:cs="仿宋_GB2312"/>
          <w:sz w:val="24"/>
        </w:rPr>
        <w:t>说明：监狱企业参加政府采购活动时，应当提供由省级以上监狱管理局、戒毒管理局（含新疆生产建设兵团）出具的属于监狱企业的证明文件。</w:t>
      </w:r>
    </w:p>
    <w:p>
      <w:pPr>
        <w:rPr>
          <w:rFonts w:hint="eastAsia" w:ascii="仿宋_GB2312" w:hAnsi="仿宋_GB2312" w:eastAsia="仿宋_GB2312" w:cs="仿宋_GB2312"/>
          <w:sz w:val="32"/>
          <w:szCs w:val="32"/>
        </w:rPr>
      </w:pPr>
    </w:p>
    <w:p>
      <w:pPr>
        <w:adjustRightInd w:val="0"/>
        <w:snapToGrid w:val="0"/>
        <w:spacing w:line="300" w:lineRule="auto"/>
        <w:rPr>
          <w:rFonts w:hint="eastAsia" w:ascii="仿宋_GB2312" w:hAnsi="仿宋_GB2312" w:eastAsia="仿宋_GB2312" w:cs="仿宋_GB2312"/>
          <w:szCs w:val="21"/>
        </w:rPr>
      </w:pPr>
      <w:r>
        <w:rPr>
          <w:rFonts w:hint="eastAsia" w:ascii="仿宋_GB2312" w:hAnsi="仿宋_GB2312" w:eastAsia="仿宋_GB2312" w:cs="仿宋_GB2312"/>
          <w:szCs w:val="21"/>
        </w:rPr>
        <w:t>法定代表人或响应人授权代表（签名或盖章）：</w:t>
      </w:r>
      <w:r>
        <w:rPr>
          <w:rFonts w:hint="eastAsia" w:ascii="仿宋_GB2312" w:hAnsi="仿宋_GB2312" w:eastAsia="仿宋_GB2312" w:cs="仿宋_GB2312"/>
          <w:szCs w:val="21"/>
          <w:u w:val="single"/>
        </w:rPr>
        <w:t xml:space="preserve">                   </w:t>
      </w:r>
    </w:p>
    <w:p>
      <w:pPr>
        <w:adjustRightInd w:val="0"/>
        <w:snapToGrid w:val="0"/>
        <w:spacing w:line="30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响应人名称（公章）：</w:t>
      </w:r>
      <w:r>
        <w:rPr>
          <w:rFonts w:hint="eastAsia" w:ascii="仿宋_GB2312" w:hAnsi="仿宋_GB2312" w:eastAsia="仿宋_GB2312" w:cs="仿宋_GB2312"/>
          <w:szCs w:val="21"/>
          <w:u w:val="single"/>
        </w:rPr>
        <w:t xml:space="preserve">                        </w:t>
      </w:r>
    </w:p>
    <w:p>
      <w:pPr>
        <w:rPr>
          <w:rFonts w:hint="eastAsia" w:ascii="仿宋_GB2312" w:hAnsi="仿宋_GB2312" w:eastAsia="仿宋_GB2312" w:cs="仿宋_GB2312"/>
        </w:rPr>
      </w:pPr>
      <w:r>
        <w:rPr>
          <w:rFonts w:hint="eastAsia" w:ascii="仿宋_GB2312" w:hAnsi="仿宋_GB2312" w:eastAsia="仿宋_GB2312" w:cs="仿宋_GB2312"/>
          <w:szCs w:val="21"/>
        </w:rPr>
        <w:t>日期：</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月</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日</w:t>
      </w:r>
    </w:p>
    <w:p>
      <w:pPr>
        <w:adjustRightInd w:val="0"/>
        <w:snapToGrid w:val="0"/>
        <w:spacing w:line="300" w:lineRule="auto"/>
        <w:rPr>
          <w:rFonts w:hint="eastAsia" w:ascii="仿宋_GB2312" w:hAnsi="仿宋_GB2312" w:eastAsia="仿宋_GB2312" w:cs="仿宋_GB2312"/>
          <w:szCs w:val="28"/>
        </w:rPr>
      </w:pPr>
    </w:p>
    <w:p>
      <w:pPr>
        <w:adjustRightInd w:val="0"/>
        <w:snapToGrid w:val="0"/>
        <w:spacing w:line="300" w:lineRule="auto"/>
        <w:rPr>
          <w:rFonts w:hint="eastAsia" w:ascii="仿宋_GB2312" w:hAnsi="仿宋_GB2312" w:eastAsia="仿宋_GB2312" w:cs="仿宋_GB2312"/>
        </w:rPr>
      </w:pPr>
      <w:r>
        <w:rPr>
          <w:rFonts w:hint="eastAsia" w:ascii="仿宋_GB2312" w:hAnsi="仿宋_GB2312" w:eastAsia="仿宋_GB2312" w:cs="仿宋_GB2312"/>
          <w:szCs w:val="28"/>
        </w:rPr>
        <w:t>5.3残疾人福利性单位声明函</w:t>
      </w:r>
    </w:p>
    <w:p>
      <w:pPr>
        <w:jc w:val="center"/>
        <w:rPr>
          <w:rFonts w:hint="eastAsia" w:ascii="仿宋_GB2312" w:hAnsi="仿宋_GB2312" w:eastAsia="仿宋_GB2312" w:cs="仿宋_GB2312"/>
          <w:sz w:val="24"/>
        </w:rPr>
      </w:pPr>
      <w:r>
        <w:rPr>
          <w:rFonts w:hint="eastAsia" w:ascii="仿宋_GB2312" w:hAnsi="仿宋_GB2312" w:eastAsia="仿宋_GB2312" w:cs="仿宋_GB2312"/>
          <w:sz w:val="44"/>
          <w:szCs w:val="44"/>
        </w:rPr>
        <w:t>残疾人福利性单位声明函（如是）</w:t>
      </w:r>
    </w:p>
    <w:p>
      <w:pPr>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本单位对上述声明的真实性负责。如有虚假，将依法承担相应责任。</w:t>
      </w:r>
    </w:p>
    <w:p>
      <w:pPr>
        <w:ind w:firstLine="480" w:firstLineChars="200"/>
        <w:rPr>
          <w:rFonts w:hint="eastAsia" w:ascii="仿宋_GB2312" w:hAnsi="仿宋_GB2312" w:eastAsia="仿宋_GB2312" w:cs="仿宋_GB2312"/>
          <w:sz w:val="24"/>
        </w:rPr>
      </w:pPr>
    </w:p>
    <w:p>
      <w:pPr>
        <w:ind w:firstLine="480" w:firstLineChars="200"/>
        <w:rPr>
          <w:rFonts w:hint="eastAsia" w:ascii="仿宋_GB2312" w:hAnsi="仿宋_GB2312" w:eastAsia="仿宋_GB2312" w:cs="仿宋_GB2312"/>
          <w:sz w:val="24"/>
        </w:rPr>
      </w:pPr>
    </w:p>
    <w:p>
      <w:pPr>
        <w:adjustRightInd w:val="0"/>
        <w:snapToGrid w:val="0"/>
        <w:spacing w:line="300" w:lineRule="auto"/>
        <w:rPr>
          <w:rFonts w:hint="eastAsia" w:ascii="仿宋_GB2312" w:hAnsi="仿宋_GB2312" w:eastAsia="仿宋_GB2312" w:cs="仿宋_GB2312"/>
          <w:szCs w:val="21"/>
        </w:rPr>
      </w:pPr>
      <w:r>
        <w:rPr>
          <w:rFonts w:hint="eastAsia" w:ascii="仿宋_GB2312" w:hAnsi="仿宋_GB2312" w:eastAsia="仿宋_GB2312" w:cs="仿宋_GB2312"/>
          <w:szCs w:val="21"/>
        </w:rPr>
        <w:t>法定代表人或响应人授权代表（签名或盖章）：</w:t>
      </w:r>
      <w:r>
        <w:rPr>
          <w:rFonts w:hint="eastAsia" w:ascii="仿宋_GB2312" w:hAnsi="仿宋_GB2312" w:eastAsia="仿宋_GB2312" w:cs="仿宋_GB2312"/>
          <w:szCs w:val="21"/>
          <w:u w:val="single"/>
        </w:rPr>
        <w:t xml:space="preserve">                   </w:t>
      </w:r>
    </w:p>
    <w:p>
      <w:pPr>
        <w:adjustRightInd w:val="0"/>
        <w:snapToGrid w:val="0"/>
        <w:spacing w:line="30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响应人名称（公章）：</w:t>
      </w:r>
      <w:r>
        <w:rPr>
          <w:rFonts w:hint="eastAsia" w:ascii="仿宋_GB2312" w:hAnsi="仿宋_GB2312" w:eastAsia="仿宋_GB2312" w:cs="仿宋_GB2312"/>
          <w:szCs w:val="21"/>
          <w:u w:val="single"/>
        </w:rPr>
        <w:t xml:space="preserve">                        </w:t>
      </w:r>
    </w:p>
    <w:p>
      <w:pPr>
        <w:rPr>
          <w:rFonts w:hint="eastAsia" w:ascii="仿宋_GB2312" w:hAnsi="仿宋_GB2312" w:eastAsia="仿宋_GB2312" w:cs="仿宋_GB2312"/>
          <w:szCs w:val="21"/>
        </w:rPr>
      </w:pPr>
      <w:r>
        <w:rPr>
          <w:rFonts w:hint="eastAsia" w:ascii="仿宋_GB2312" w:hAnsi="仿宋_GB2312" w:eastAsia="仿宋_GB2312" w:cs="仿宋_GB2312"/>
          <w:szCs w:val="21"/>
        </w:rPr>
        <w:t>日期：</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月</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日</w:t>
      </w:r>
    </w:p>
    <w:p>
      <w:pPr>
        <w:rPr>
          <w:rFonts w:hint="eastAsia" w:ascii="仿宋_GB2312" w:hAnsi="仿宋_GB2312" w:eastAsia="仿宋_GB2312" w:cs="仿宋_GB2312"/>
          <w:szCs w:val="28"/>
        </w:rPr>
      </w:pPr>
    </w:p>
    <w:p>
      <w:pPr>
        <w:rPr>
          <w:rFonts w:hint="eastAsia" w:ascii="仿宋_GB2312" w:hAnsi="仿宋_GB2312" w:eastAsia="仿宋_GB2312" w:cs="仿宋_GB2312"/>
          <w:szCs w:val="28"/>
        </w:rPr>
      </w:pPr>
      <w:r>
        <w:rPr>
          <w:rFonts w:hint="eastAsia" w:ascii="仿宋_GB2312" w:hAnsi="仿宋_GB2312" w:eastAsia="仿宋_GB2312" w:cs="仿宋_GB2312"/>
          <w:szCs w:val="28"/>
        </w:rPr>
        <w:t>5.4政策功能情况</w:t>
      </w:r>
    </w:p>
    <w:p>
      <w:pPr>
        <w:jc w:val="center"/>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政策功能情况（如是）</w:t>
      </w:r>
    </w:p>
    <w:tbl>
      <w:tblPr>
        <w:tblStyle w:val="25"/>
        <w:tblW w:w="93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6"/>
        <w:gridCol w:w="1566"/>
        <w:gridCol w:w="1566"/>
        <w:gridCol w:w="1566"/>
        <w:gridCol w:w="1566"/>
        <w:gridCol w:w="15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1566" w:type="dxa"/>
            <w:vAlign w:val="center"/>
          </w:tcPr>
          <w:p>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类别</w:t>
            </w:r>
          </w:p>
        </w:tc>
        <w:tc>
          <w:tcPr>
            <w:tcW w:w="1566" w:type="dxa"/>
            <w:vAlign w:val="center"/>
          </w:tcPr>
          <w:p>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响应产品（规格型号）</w:t>
            </w:r>
          </w:p>
        </w:tc>
        <w:tc>
          <w:tcPr>
            <w:tcW w:w="1566" w:type="dxa"/>
            <w:vAlign w:val="center"/>
          </w:tcPr>
          <w:p>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制造商</w:t>
            </w:r>
          </w:p>
        </w:tc>
        <w:tc>
          <w:tcPr>
            <w:tcW w:w="1566" w:type="dxa"/>
            <w:vAlign w:val="center"/>
          </w:tcPr>
          <w:p>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认证证书号</w:t>
            </w:r>
          </w:p>
        </w:tc>
        <w:tc>
          <w:tcPr>
            <w:tcW w:w="1566" w:type="dxa"/>
            <w:vAlign w:val="center"/>
          </w:tcPr>
          <w:p>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金额</w:t>
            </w:r>
          </w:p>
        </w:tc>
        <w:tc>
          <w:tcPr>
            <w:tcW w:w="1566" w:type="dxa"/>
            <w:vAlign w:val="center"/>
          </w:tcPr>
          <w:p>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金额占总报价比重（累计%）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6" w:type="dxa"/>
            <w:vMerge w:val="restart"/>
            <w:vAlign w:val="center"/>
          </w:tcPr>
          <w:p>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节能产品</w:t>
            </w: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6" w:type="dxa"/>
            <w:vMerge w:val="continue"/>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6" w:type="dxa"/>
            <w:vMerge w:val="continue"/>
            <w:vAlign w:val="center"/>
          </w:tcPr>
          <w:p>
            <w:pPr>
              <w:jc w:val="center"/>
              <w:rPr>
                <w:rFonts w:hint="eastAsia" w:ascii="仿宋_GB2312" w:hAnsi="仿宋_GB2312" w:eastAsia="仿宋_GB2312" w:cs="仿宋_GB2312"/>
                <w:szCs w:val="21"/>
              </w:rPr>
            </w:pPr>
          </w:p>
        </w:tc>
        <w:tc>
          <w:tcPr>
            <w:tcW w:w="4698" w:type="dxa"/>
            <w:gridSpan w:val="3"/>
            <w:vAlign w:val="center"/>
          </w:tcPr>
          <w:p>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合计</w:t>
            </w: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6" w:type="dxa"/>
            <w:vMerge w:val="restart"/>
            <w:vAlign w:val="center"/>
          </w:tcPr>
          <w:p>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环保标志产品</w:t>
            </w: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6" w:type="dxa"/>
            <w:vMerge w:val="continue"/>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6" w:type="dxa"/>
            <w:vMerge w:val="continue"/>
            <w:vAlign w:val="center"/>
          </w:tcPr>
          <w:p>
            <w:pPr>
              <w:jc w:val="center"/>
              <w:rPr>
                <w:rFonts w:hint="eastAsia" w:ascii="仿宋_GB2312" w:hAnsi="仿宋_GB2312" w:eastAsia="仿宋_GB2312" w:cs="仿宋_GB2312"/>
                <w:szCs w:val="21"/>
              </w:rPr>
            </w:pPr>
          </w:p>
        </w:tc>
        <w:tc>
          <w:tcPr>
            <w:tcW w:w="4698" w:type="dxa"/>
            <w:gridSpan w:val="3"/>
            <w:vAlign w:val="center"/>
          </w:tcPr>
          <w:p>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合计</w:t>
            </w:r>
          </w:p>
        </w:tc>
        <w:tc>
          <w:tcPr>
            <w:tcW w:w="1566" w:type="dxa"/>
            <w:vAlign w:val="center"/>
          </w:tcPr>
          <w:p>
            <w:pPr>
              <w:jc w:val="center"/>
              <w:rPr>
                <w:rFonts w:hint="eastAsia" w:ascii="仿宋_GB2312" w:hAnsi="仿宋_GB2312" w:eastAsia="仿宋_GB2312" w:cs="仿宋_GB2312"/>
                <w:szCs w:val="21"/>
              </w:rPr>
            </w:pPr>
          </w:p>
        </w:tc>
        <w:tc>
          <w:tcPr>
            <w:tcW w:w="1566" w:type="dxa"/>
            <w:vAlign w:val="center"/>
          </w:tcPr>
          <w:p>
            <w:pPr>
              <w:jc w:val="center"/>
              <w:rPr>
                <w:rFonts w:hint="eastAsia"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6" w:type="dxa"/>
            <w:vAlign w:val="center"/>
          </w:tcPr>
          <w:p>
            <w:pPr>
              <w:jc w:val="center"/>
              <w:rPr>
                <w:rFonts w:hint="eastAsia" w:ascii="仿宋_GB2312" w:hAnsi="仿宋_GB2312" w:eastAsia="仿宋_GB2312" w:cs="仿宋_GB2312"/>
                <w:szCs w:val="21"/>
              </w:rPr>
            </w:pPr>
            <w:r>
              <w:rPr>
                <w:rFonts w:hint="eastAsia" w:ascii="仿宋_GB2312" w:hAnsi="仿宋_GB2312" w:eastAsia="仿宋_GB2312" w:cs="仿宋_GB2312"/>
                <w:szCs w:val="21"/>
              </w:rPr>
              <w:t>说明</w:t>
            </w:r>
          </w:p>
        </w:tc>
        <w:tc>
          <w:tcPr>
            <w:tcW w:w="7830" w:type="dxa"/>
            <w:gridSpan w:val="5"/>
            <w:vAlign w:val="center"/>
          </w:tcPr>
          <w:p>
            <w:pPr>
              <w:jc w:val="center"/>
              <w:rPr>
                <w:rFonts w:hint="eastAsia" w:ascii="仿宋_GB2312" w:hAnsi="仿宋_GB2312" w:eastAsia="仿宋_GB2312" w:cs="仿宋_GB2312"/>
                <w:szCs w:val="21"/>
              </w:rPr>
            </w:pPr>
          </w:p>
        </w:tc>
      </w:tr>
    </w:tbl>
    <w:p>
      <w:pPr>
        <w:tabs>
          <w:tab w:val="left" w:pos="676"/>
          <w:tab w:val="left" w:pos="2330"/>
          <w:tab w:val="left" w:pos="9230"/>
        </w:tabs>
        <w:autoSpaceDE w:val="0"/>
        <w:autoSpaceDN w:val="0"/>
        <w:adjustRightInd w:val="0"/>
        <w:spacing w:line="500" w:lineRule="exact"/>
        <w:rPr>
          <w:rFonts w:hint="eastAsia" w:ascii="仿宋_GB2312" w:hAnsi="仿宋_GB2312" w:eastAsia="仿宋_GB2312" w:cs="仿宋_GB2312"/>
          <w:szCs w:val="21"/>
        </w:rPr>
      </w:pPr>
      <w:r>
        <w:rPr>
          <w:rFonts w:hint="eastAsia" w:ascii="仿宋_GB2312" w:hAnsi="仿宋_GB2312" w:eastAsia="仿宋_GB2312" w:cs="仿宋_GB2312"/>
          <w:szCs w:val="21"/>
        </w:rPr>
        <w:t>注：1、节能产品是纳入财政部 国家发展改革委颁布最新一期节能产品清单的，须填写认证证书编号，并提供响应产品所属清单页加盖响应人公章。</w:t>
      </w:r>
    </w:p>
    <w:p>
      <w:pPr>
        <w:tabs>
          <w:tab w:val="left" w:pos="676"/>
          <w:tab w:val="left" w:pos="2330"/>
          <w:tab w:val="left" w:pos="9230"/>
        </w:tabs>
        <w:autoSpaceDE w:val="0"/>
        <w:autoSpaceDN w:val="0"/>
        <w:adjustRightInd w:val="0"/>
        <w:spacing w:line="500" w:lineRule="exact"/>
        <w:rPr>
          <w:rFonts w:hint="eastAsia" w:ascii="仿宋_GB2312" w:hAnsi="仿宋_GB2312" w:eastAsia="仿宋_GB2312" w:cs="仿宋_GB2312"/>
          <w:szCs w:val="21"/>
        </w:rPr>
      </w:pPr>
      <w:r>
        <w:rPr>
          <w:rFonts w:hint="eastAsia" w:ascii="仿宋_GB2312" w:hAnsi="仿宋_GB2312" w:eastAsia="仿宋_GB2312" w:cs="仿宋_GB2312"/>
          <w:szCs w:val="21"/>
        </w:rPr>
        <w:t>2、环保标志产品是纳入财政部 环境保护部颁布最新一期环保标志产品清单的，须填写认证证书编号，并提供响应产品所属清单页加盖响应人公章。</w:t>
      </w:r>
    </w:p>
    <w:p>
      <w:pPr>
        <w:adjustRightInd w:val="0"/>
        <w:snapToGrid w:val="0"/>
        <w:spacing w:line="300" w:lineRule="auto"/>
        <w:rPr>
          <w:rFonts w:hint="eastAsia" w:ascii="仿宋_GB2312" w:hAnsi="仿宋_GB2312" w:eastAsia="仿宋_GB2312" w:cs="仿宋_GB2312"/>
          <w:szCs w:val="21"/>
        </w:rPr>
      </w:pPr>
    </w:p>
    <w:p>
      <w:pPr>
        <w:adjustRightInd w:val="0"/>
        <w:snapToGrid w:val="0"/>
        <w:spacing w:line="300" w:lineRule="auto"/>
        <w:rPr>
          <w:rFonts w:hint="eastAsia" w:ascii="仿宋_GB2312" w:hAnsi="仿宋_GB2312" w:eastAsia="仿宋_GB2312" w:cs="仿宋_GB2312"/>
          <w:szCs w:val="21"/>
        </w:rPr>
      </w:pPr>
      <w:r>
        <w:rPr>
          <w:rFonts w:hint="eastAsia" w:ascii="仿宋_GB2312" w:hAnsi="仿宋_GB2312" w:eastAsia="仿宋_GB2312" w:cs="仿宋_GB2312"/>
          <w:szCs w:val="21"/>
        </w:rPr>
        <w:t>法定代表人或响应人授权代表（签名或盖章）：</w:t>
      </w:r>
      <w:r>
        <w:rPr>
          <w:rFonts w:hint="eastAsia" w:ascii="仿宋_GB2312" w:hAnsi="仿宋_GB2312" w:eastAsia="仿宋_GB2312" w:cs="仿宋_GB2312"/>
          <w:szCs w:val="21"/>
          <w:u w:val="single"/>
        </w:rPr>
        <w:t xml:space="preserve">                   </w:t>
      </w:r>
    </w:p>
    <w:p>
      <w:pPr>
        <w:adjustRightInd w:val="0"/>
        <w:snapToGrid w:val="0"/>
        <w:spacing w:line="30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响应人名称（公章）：</w:t>
      </w:r>
      <w:r>
        <w:rPr>
          <w:rFonts w:hint="eastAsia" w:ascii="仿宋_GB2312" w:hAnsi="仿宋_GB2312" w:eastAsia="仿宋_GB2312" w:cs="仿宋_GB2312"/>
          <w:szCs w:val="21"/>
          <w:u w:val="single"/>
        </w:rPr>
        <w:t xml:space="preserve">                        </w:t>
      </w:r>
    </w:p>
    <w:p>
      <w:pPr>
        <w:rPr>
          <w:rFonts w:hint="eastAsia" w:ascii="仿宋_GB2312" w:hAnsi="仿宋_GB2312" w:eastAsia="仿宋_GB2312" w:cs="仿宋_GB2312"/>
          <w:szCs w:val="21"/>
        </w:rPr>
      </w:pPr>
      <w:r>
        <w:rPr>
          <w:rFonts w:hint="eastAsia" w:ascii="仿宋_GB2312" w:hAnsi="仿宋_GB2312" w:eastAsia="仿宋_GB2312" w:cs="仿宋_GB2312"/>
          <w:szCs w:val="21"/>
        </w:rPr>
        <w:t>日期：</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月</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日</w:t>
      </w:r>
    </w:p>
    <w:p>
      <w:pPr>
        <w:rPr>
          <w:rFonts w:hint="eastAsia" w:ascii="仿宋_GB2312" w:hAnsi="仿宋_GB2312" w:eastAsia="仿宋_GB2312" w:cs="仿宋_GB2312"/>
          <w:szCs w:val="28"/>
        </w:rPr>
      </w:pPr>
      <w:r>
        <w:rPr>
          <w:rFonts w:hint="eastAsia" w:ascii="仿宋_GB2312" w:hAnsi="仿宋_GB2312" w:eastAsia="仿宋_GB2312" w:cs="仿宋_GB2312"/>
          <w:szCs w:val="28"/>
        </w:rPr>
        <w:t>5.5国家级贫困地区农副产品情况</w:t>
      </w:r>
    </w:p>
    <w:p>
      <w:pPr>
        <w:pStyle w:val="24"/>
        <w:ind w:firstLine="400"/>
        <w:rPr>
          <w:rFonts w:hint="eastAsia" w:ascii="仿宋_GB2312" w:hAnsi="仿宋_GB2312" w:eastAsia="仿宋_GB2312" w:cs="仿宋_GB2312"/>
        </w:rPr>
      </w:pPr>
    </w:p>
    <w:p>
      <w:pPr>
        <w:jc w:val="center"/>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 xml:space="preserve">国家级贫困地区农副产品情况（如是） </w:t>
      </w:r>
    </w:p>
    <w:p>
      <w:pPr>
        <w:rPr>
          <w:rFonts w:hint="eastAsia" w:ascii="仿宋_GB2312" w:hAnsi="仿宋_GB2312" w:eastAsia="仿宋_GB2312" w:cs="仿宋_GB2312"/>
        </w:rPr>
      </w:pPr>
    </w:p>
    <w:tbl>
      <w:tblPr>
        <w:tblStyle w:val="25"/>
        <w:tblW w:w="85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505"/>
        <w:gridCol w:w="505"/>
        <w:gridCol w:w="505"/>
        <w:gridCol w:w="1644"/>
        <w:gridCol w:w="1359"/>
        <w:gridCol w:w="1359"/>
        <w:gridCol w:w="1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789"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类别</w:t>
            </w:r>
          </w:p>
        </w:tc>
        <w:tc>
          <w:tcPr>
            <w:tcW w:w="50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省</w:t>
            </w:r>
          </w:p>
        </w:tc>
        <w:tc>
          <w:tcPr>
            <w:tcW w:w="50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市</w:t>
            </w:r>
          </w:p>
        </w:tc>
        <w:tc>
          <w:tcPr>
            <w:tcW w:w="50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县</w:t>
            </w:r>
          </w:p>
        </w:tc>
        <w:tc>
          <w:tcPr>
            <w:tcW w:w="1644"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供应商名称</w:t>
            </w:r>
          </w:p>
        </w:tc>
        <w:tc>
          <w:tcPr>
            <w:tcW w:w="1359"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产品品类</w:t>
            </w:r>
          </w:p>
        </w:tc>
        <w:tc>
          <w:tcPr>
            <w:tcW w:w="1359"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产品名称</w:t>
            </w:r>
          </w:p>
        </w:tc>
        <w:tc>
          <w:tcPr>
            <w:tcW w:w="1929"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所投农副产品</w:t>
            </w:r>
          </w:p>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89" w:type="dxa"/>
            <w:vMerge w:val="restart"/>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农副</w:t>
            </w:r>
          </w:p>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产品</w:t>
            </w:r>
          </w:p>
        </w:tc>
        <w:tc>
          <w:tcPr>
            <w:tcW w:w="505" w:type="dxa"/>
            <w:vAlign w:val="center"/>
          </w:tcPr>
          <w:p>
            <w:pPr>
              <w:jc w:val="center"/>
              <w:rPr>
                <w:rFonts w:hint="eastAsia" w:ascii="仿宋_GB2312" w:hAnsi="仿宋_GB2312" w:eastAsia="仿宋_GB2312" w:cs="仿宋_GB2312"/>
                <w:color w:val="000000"/>
                <w:sz w:val="24"/>
              </w:rPr>
            </w:pPr>
          </w:p>
        </w:tc>
        <w:tc>
          <w:tcPr>
            <w:tcW w:w="505" w:type="dxa"/>
            <w:vAlign w:val="center"/>
          </w:tcPr>
          <w:p>
            <w:pPr>
              <w:jc w:val="center"/>
              <w:rPr>
                <w:rFonts w:hint="eastAsia" w:ascii="仿宋_GB2312" w:hAnsi="仿宋_GB2312" w:eastAsia="仿宋_GB2312" w:cs="仿宋_GB2312"/>
                <w:color w:val="000000"/>
                <w:sz w:val="24"/>
              </w:rPr>
            </w:pPr>
          </w:p>
        </w:tc>
        <w:tc>
          <w:tcPr>
            <w:tcW w:w="505" w:type="dxa"/>
            <w:vAlign w:val="center"/>
          </w:tcPr>
          <w:p>
            <w:pPr>
              <w:jc w:val="center"/>
              <w:rPr>
                <w:rFonts w:hint="eastAsia" w:ascii="仿宋_GB2312" w:hAnsi="仿宋_GB2312" w:eastAsia="仿宋_GB2312" w:cs="仿宋_GB2312"/>
                <w:color w:val="000000"/>
                <w:sz w:val="24"/>
              </w:rPr>
            </w:pPr>
          </w:p>
        </w:tc>
        <w:tc>
          <w:tcPr>
            <w:tcW w:w="1644" w:type="dxa"/>
            <w:vAlign w:val="center"/>
          </w:tcPr>
          <w:p>
            <w:pPr>
              <w:jc w:val="center"/>
              <w:rPr>
                <w:rFonts w:hint="eastAsia" w:ascii="仿宋_GB2312" w:hAnsi="仿宋_GB2312" w:eastAsia="仿宋_GB2312" w:cs="仿宋_GB2312"/>
                <w:color w:val="000000"/>
                <w:sz w:val="24"/>
              </w:rPr>
            </w:pPr>
          </w:p>
        </w:tc>
        <w:tc>
          <w:tcPr>
            <w:tcW w:w="1359" w:type="dxa"/>
            <w:vAlign w:val="center"/>
          </w:tcPr>
          <w:p>
            <w:pPr>
              <w:jc w:val="center"/>
              <w:rPr>
                <w:rFonts w:hint="eastAsia" w:ascii="仿宋_GB2312" w:hAnsi="仿宋_GB2312" w:eastAsia="仿宋_GB2312" w:cs="仿宋_GB2312"/>
                <w:color w:val="000000"/>
                <w:sz w:val="24"/>
              </w:rPr>
            </w:pPr>
          </w:p>
        </w:tc>
        <w:tc>
          <w:tcPr>
            <w:tcW w:w="1359" w:type="dxa"/>
            <w:vAlign w:val="center"/>
          </w:tcPr>
          <w:p>
            <w:pPr>
              <w:jc w:val="center"/>
              <w:rPr>
                <w:rFonts w:hint="eastAsia" w:ascii="仿宋_GB2312" w:hAnsi="仿宋_GB2312" w:eastAsia="仿宋_GB2312" w:cs="仿宋_GB2312"/>
                <w:color w:val="000000"/>
                <w:sz w:val="24"/>
              </w:rPr>
            </w:pPr>
          </w:p>
        </w:tc>
        <w:tc>
          <w:tcPr>
            <w:tcW w:w="1929" w:type="dxa"/>
            <w:vAlign w:val="center"/>
          </w:tcPr>
          <w:p>
            <w:pPr>
              <w:jc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789" w:type="dxa"/>
            <w:vMerge w:val="continue"/>
            <w:vAlign w:val="center"/>
          </w:tcPr>
          <w:p>
            <w:pPr>
              <w:jc w:val="center"/>
              <w:rPr>
                <w:rFonts w:hint="eastAsia" w:ascii="仿宋_GB2312" w:hAnsi="仿宋_GB2312" w:eastAsia="仿宋_GB2312" w:cs="仿宋_GB2312"/>
                <w:color w:val="000000"/>
                <w:sz w:val="24"/>
              </w:rPr>
            </w:pPr>
          </w:p>
        </w:tc>
        <w:tc>
          <w:tcPr>
            <w:tcW w:w="505" w:type="dxa"/>
            <w:vAlign w:val="center"/>
          </w:tcPr>
          <w:p>
            <w:pPr>
              <w:jc w:val="center"/>
              <w:rPr>
                <w:rFonts w:hint="eastAsia" w:ascii="仿宋_GB2312" w:hAnsi="仿宋_GB2312" w:eastAsia="仿宋_GB2312" w:cs="仿宋_GB2312"/>
                <w:color w:val="000000"/>
                <w:sz w:val="24"/>
              </w:rPr>
            </w:pPr>
          </w:p>
        </w:tc>
        <w:tc>
          <w:tcPr>
            <w:tcW w:w="505" w:type="dxa"/>
            <w:vAlign w:val="center"/>
          </w:tcPr>
          <w:p>
            <w:pPr>
              <w:jc w:val="center"/>
              <w:rPr>
                <w:rFonts w:hint="eastAsia" w:ascii="仿宋_GB2312" w:hAnsi="仿宋_GB2312" w:eastAsia="仿宋_GB2312" w:cs="仿宋_GB2312"/>
                <w:color w:val="000000"/>
                <w:sz w:val="24"/>
              </w:rPr>
            </w:pPr>
          </w:p>
        </w:tc>
        <w:tc>
          <w:tcPr>
            <w:tcW w:w="505" w:type="dxa"/>
            <w:vAlign w:val="center"/>
          </w:tcPr>
          <w:p>
            <w:pPr>
              <w:jc w:val="center"/>
              <w:rPr>
                <w:rFonts w:hint="eastAsia" w:ascii="仿宋_GB2312" w:hAnsi="仿宋_GB2312" w:eastAsia="仿宋_GB2312" w:cs="仿宋_GB2312"/>
                <w:color w:val="000000"/>
                <w:sz w:val="24"/>
              </w:rPr>
            </w:pPr>
          </w:p>
        </w:tc>
        <w:tc>
          <w:tcPr>
            <w:tcW w:w="1644" w:type="dxa"/>
            <w:vAlign w:val="center"/>
          </w:tcPr>
          <w:p>
            <w:pPr>
              <w:jc w:val="center"/>
              <w:rPr>
                <w:rFonts w:hint="eastAsia" w:ascii="仿宋_GB2312" w:hAnsi="仿宋_GB2312" w:eastAsia="仿宋_GB2312" w:cs="仿宋_GB2312"/>
                <w:color w:val="000000"/>
                <w:sz w:val="24"/>
              </w:rPr>
            </w:pPr>
          </w:p>
        </w:tc>
        <w:tc>
          <w:tcPr>
            <w:tcW w:w="1359" w:type="dxa"/>
            <w:vAlign w:val="center"/>
          </w:tcPr>
          <w:p>
            <w:pPr>
              <w:jc w:val="center"/>
              <w:rPr>
                <w:rFonts w:hint="eastAsia" w:ascii="仿宋_GB2312" w:hAnsi="仿宋_GB2312" w:eastAsia="仿宋_GB2312" w:cs="仿宋_GB2312"/>
                <w:color w:val="000000"/>
                <w:sz w:val="24"/>
              </w:rPr>
            </w:pPr>
          </w:p>
        </w:tc>
        <w:tc>
          <w:tcPr>
            <w:tcW w:w="1359" w:type="dxa"/>
            <w:vAlign w:val="center"/>
          </w:tcPr>
          <w:p>
            <w:pPr>
              <w:jc w:val="center"/>
              <w:rPr>
                <w:rFonts w:hint="eastAsia" w:ascii="仿宋_GB2312" w:hAnsi="仿宋_GB2312" w:eastAsia="仿宋_GB2312" w:cs="仿宋_GB2312"/>
                <w:color w:val="000000"/>
                <w:sz w:val="24"/>
              </w:rPr>
            </w:pPr>
          </w:p>
        </w:tc>
        <w:tc>
          <w:tcPr>
            <w:tcW w:w="1929" w:type="dxa"/>
            <w:vAlign w:val="center"/>
          </w:tcPr>
          <w:p>
            <w:pPr>
              <w:jc w:val="center"/>
              <w:rPr>
                <w:rFonts w:hint="eastAsia" w:ascii="仿宋_GB2312" w:hAnsi="仿宋_GB2312" w:eastAsia="仿宋_GB2312" w:cs="仿宋_GB2312"/>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89" w:type="dxa"/>
            <w:vMerge w:val="continue"/>
            <w:vAlign w:val="center"/>
          </w:tcPr>
          <w:p>
            <w:pPr>
              <w:jc w:val="center"/>
              <w:rPr>
                <w:rFonts w:hint="eastAsia" w:ascii="仿宋_GB2312" w:hAnsi="仿宋_GB2312" w:eastAsia="仿宋_GB2312" w:cs="仿宋_GB2312"/>
                <w:color w:val="000000"/>
                <w:sz w:val="24"/>
              </w:rPr>
            </w:pPr>
          </w:p>
        </w:tc>
        <w:tc>
          <w:tcPr>
            <w:tcW w:w="7806" w:type="dxa"/>
            <w:gridSpan w:val="7"/>
            <w:vAlign w:val="center"/>
          </w:tcPr>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农副产品 总金额：</w:t>
            </w:r>
          </w:p>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农副产品金额占总响应报价比重：</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w:t>
            </w:r>
          </w:p>
        </w:tc>
      </w:tr>
    </w:tbl>
    <w:p>
      <w:pPr>
        <w:rPr>
          <w:rFonts w:hint="eastAsia" w:ascii="仿宋_GB2312" w:hAnsi="仿宋_GB2312" w:eastAsia="仿宋_GB2312" w:cs="仿宋_GB2312"/>
          <w:color w:val="000000"/>
          <w:sz w:val="24"/>
        </w:rPr>
      </w:pPr>
    </w:p>
    <w:p>
      <w:pPr>
        <w:rPr>
          <w:rFonts w:hint="eastAsia" w:ascii="仿宋_GB2312" w:hAnsi="仿宋_GB2312" w:eastAsia="仿宋_GB2312" w:cs="仿宋_GB2312"/>
          <w:color w:val="000000"/>
          <w:sz w:val="24"/>
        </w:rPr>
      </w:pPr>
    </w:p>
    <w:p>
      <w:pPr>
        <w:tabs>
          <w:tab w:val="left" w:pos="676"/>
          <w:tab w:val="left" w:pos="2330"/>
          <w:tab w:val="left" w:pos="9230"/>
        </w:tabs>
        <w:autoSpaceDE w:val="0"/>
        <w:autoSpaceDN w:val="0"/>
        <w:adjustRightInd w:val="0"/>
        <w:spacing w:line="500" w:lineRule="exact"/>
        <w:rPr>
          <w:rFonts w:hint="eastAsia" w:ascii="仿宋_GB2312" w:hAnsi="仿宋_GB2312" w:eastAsia="仿宋_GB2312" w:cs="仿宋_GB2312"/>
          <w:szCs w:val="21"/>
        </w:rPr>
      </w:pPr>
      <w:r>
        <w:rPr>
          <w:rFonts w:hint="eastAsia" w:ascii="仿宋_GB2312" w:hAnsi="仿宋_GB2312" w:eastAsia="仿宋_GB2312" w:cs="仿宋_GB2312"/>
          <w:szCs w:val="21"/>
        </w:rPr>
        <w:t xml:space="preserve">说明：提供供应商属于《国家级贫困县重点扶贫产品供应商名录》的证明材料，并加盖供应商单位公章。如所提供产品属于《国家级贫困县重点扶贫产品供应商名录》中供应商的产品，应同时提供合作协议（或授权函）和该供应商属于《国家级贫困县重点扶贫产品供应商名录》的证明材料并加盖响应人单位公章。 </w:t>
      </w:r>
    </w:p>
    <w:p>
      <w:pPr>
        <w:rPr>
          <w:rFonts w:hint="eastAsia" w:ascii="仿宋_GB2312" w:hAnsi="仿宋_GB2312" w:eastAsia="仿宋_GB2312" w:cs="仿宋_GB2312"/>
          <w:color w:val="000000"/>
          <w:sz w:val="24"/>
        </w:rPr>
      </w:pPr>
    </w:p>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法定代表人或响应人授权代表（签名或盖章）：</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 xml:space="preserve">    </w:t>
      </w:r>
    </w:p>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响应人名称（公章）：</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 xml:space="preserve">        </w:t>
      </w:r>
    </w:p>
    <w:p>
      <w:pPr>
        <w:rPr>
          <w:rFonts w:hint="eastAsia" w:ascii="仿宋_GB2312" w:hAnsi="仿宋_GB2312" w:eastAsia="仿宋_GB2312" w:cs="仿宋_GB2312"/>
          <w:szCs w:val="28"/>
        </w:rPr>
      </w:pPr>
      <w:r>
        <w:rPr>
          <w:rFonts w:hint="eastAsia" w:ascii="仿宋_GB2312" w:hAnsi="仿宋_GB2312" w:eastAsia="仿宋_GB2312" w:cs="仿宋_GB2312"/>
          <w:color w:val="000000"/>
          <w:sz w:val="24"/>
        </w:rPr>
        <w:t xml:space="preserve">日期：  </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年</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月</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日</w:t>
      </w:r>
    </w:p>
    <w:p>
      <w:pPr>
        <w:rPr>
          <w:rFonts w:hint="eastAsia" w:ascii="仿宋_GB2312" w:hAnsi="仿宋_GB2312" w:eastAsia="仿宋_GB2312" w:cs="仿宋_GB2312"/>
          <w:szCs w:val="28"/>
        </w:rPr>
      </w:pPr>
      <w:r>
        <w:rPr>
          <w:rFonts w:hint="eastAsia" w:ascii="仿宋_GB2312" w:hAnsi="仿宋_GB2312" w:eastAsia="仿宋_GB2312" w:cs="仿宋_GB2312"/>
          <w:szCs w:val="28"/>
        </w:rPr>
        <w:t>5.6国家级贫困地区物业服务情况（如是）</w:t>
      </w:r>
    </w:p>
    <w:p>
      <w:pPr>
        <w:rPr>
          <w:rFonts w:hint="eastAsia" w:ascii="仿宋_GB2312" w:hAnsi="仿宋_GB2312" w:eastAsia="仿宋_GB2312" w:cs="仿宋_GB2312"/>
          <w:sz w:val="44"/>
          <w:szCs w:val="44"/>
        </w:rPr>
      </w:pPr>
    </w:p>
    <w:p>
      <w:pPr>
        <w:pStyle w:val="11"/>
        <w:rPr>
          <w:rFonts w:hint="eastAsia" w:hAnsi="仿宋_GB2312" w:cs="仿宋_GB2312"/>
        </w:rPr>
      </w:pPr>
    </w:p>
    <w:p>
      <w:pPr>
        <w:jc w:val="center"/>
        <w:rPr>
          <w:rFonts w:hint="eastAsia" w:ascii="仿宋_GB2312" w:hAnsi="仿宋_GB2312" w:eastAsia="仿宋_GB2312" w:cs="仿宋_GB2312"/>
          <w:sz w:val="44"/>
          <w:szCs w:val="44"/>
        </w:rPr>
      </w:pPr>
      <w:r>
        <w:rPr>
          <w:rFonts w:hint="eastAsia" w:ascii="仿宋_GB2312" w:hAnsi="仿宋_GB2312" w:eastAsia="仿宋_GB2312" w:cs="仿宋_GB2312"/>
          <w:sz w:val="44"/>
          <w:szCs w:val="44"/>
        </w:rPr>
        <w:t xml:space="preserve">国家级贫困地区物业服务情况（如有） </w:t>
      </w:r>
    </w:p>
    <w:p>
      <w:pPr>
        <w:rPr>
          <w:rFonts w:hint="eastAsia" w:ascii="仿宋_GB2312" w:hAnsi="仿宋_GB2312" w:eastAsia="仿宋_GB2312" w:cs="仿宋_GB2312"/>
          <w:color w:val="000000"/>
          <w:sz w:val="24"/>
        </w:rPr>
      </w:pPr>
    </w:p>
    <w:tbl>
      <w:tblPr>
        <w:tblStyle w:val="25"/>
        <w:tblW w:w="85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4"/>
        <w:gridCol w:w="496"/>
        <w:gridCol w:w="496"/>
        <w:gridCol w:w="496"/>
        <w:gridCol w:w="1334"/>
        <w:gridCol w:w="1334"/>
        <w:gridCol w:w="2332"/>
        <w:gridCol w:w="10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trPr>
        <w:tc>
          <w:tcPr>
            <w:tcW w:w="1054"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物业公</w:t>
            </w:r>
          </w:p>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司名称</w:t>
            </w:r>
          </w:p>
        </w:tc>
        <w:tc>
          <w:tcPr>
            <w:tcW w:w="496"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省</w:t>
            </w:r>
          </w:p>
        </w:tc>
        <w:tc>
          <w:tcPr>
            <w:tcW w:w="496"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市</w:t>
            </w:r>
          </w:p>
        </w:tc>
        <w:tc>
          <w:tcPr>
            <w:tcW w:w="496"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县</w:t>
            </w:r>
          </w:p>
        </w:tc>
        <w:tc>
          <w:tcPr>
            <w:tcW w:w="1334"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贫困人员</w:t>
            </w:r>
          </w:p>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数量</w:t>
            </w:r>
          </w:p>
        </w:tc>
        <w:tc>
          <w:tcPr>
            <w:tcW w:w="1334"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外包用工</w:t>
            </w:r>
          </w:p>
        </w:tc>
        <w:tc>
          <w:tcPr>
            <w:tcW w:w="2332"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证实材料</w:t>
            </w:r>
          </w:p>
        </w:tc>
        <w:tc>
          <w:tcPr>
            <w:tcW w:w="105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合同或</w:t>
            </w:r>
          </w:p>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trPr>
        <w:tc>
          <w:tcPr>
            <w:tcW w:w="1054" w:type="dxa"/>
            <w:vAlign w:val="center"/>
          </w:tcPr>
          <w:p>
            <w:pPr>
              <w:jc w:val="center"/>
              <w:rPr>
                <w:rFonts w:hint="eastAsia" w:ascii="仿宋_GB2312" w:hAnsi="仿宋_GB2312" w:eastAsia="仿宋_GB2312" w:cs="仿宋_GB2312"/>
                <w:color w:val="000000"/>
                <w:sz w:val="24"/>
              </w:rPr>
            </w:pPr>
          </w:p>
        </w:tc>
        <w:tc>
          <w:tcPr>
            <w:tcW w:w="496" w:type="dxa"/>
            <w:vAlign w:val="center"/>
          </w:tcPr>
          <w:p>
            <w:pPr>
              <w:jc w:val="center"/>
              <w:rPr>
                <w:rFonts w:hint="eastAsia" w:ascii="仿宋_GB2312" w:hAnsi="仿宋_GB2312" w:eastAsia="仿宋_GB2312" w:cs="仿宋_GB2312"/>
                <w:color w:val="000000"/>
                <w:sz w:val="24"/>
              </w:rPr>
            </w:pPr>
          </w:p>
        </w:tc>
        <w:tc>
          <w:tcPr>
            <w:tcW w:w="496" w:type="dxa"/>
            <w:vAlign w:val="center"/>
          </w:tcPr>
          <w:p>
            <w:pPr>
              <w:jc w:val="center"/>
              <w:rPr>
                <w:rFonts w:hint="eastAsia" w:ascii="仿宋_GB2312" w:hAnsi="仿宋_GB2312" w:eastAsia="仿宋_GB2312" w:cs="仿宋_GB2312"/>
                <w:color w:val="000000"/>
                <w:sz w:val="24"/>
              </w:rPr>
            </w:pPr>
          </w:p>
        </w:tc>
        <w:tc>
          <w:tcPr>
            <w:tcW w:w="496" w:type="dxa"/>
            <w:vAlign w:val="center"/>
          </w:tcPr>
          <w:p>
            <w:pPr>
              <w:jc w:val="center"/>
              <w:rPr>
                <w:rFonts w:hint="eastAsia" w:ascii="仿宋_GB2312" w:hAnsi="仿宋_GB2312" w:eastAsia="仿宋_GB2312" w:cs="仿宋_GB2312"/>
                <w:color w:val="000000"/>
                <w:sz w:val="24"/>
              </w:rPr>
            </w:pPr>
          </w:p>
        </w:tc>
        <w:tc>
          <w:tcPr>
            <w:tcW w:w="1334" w:type="dxa"/>
            <w:vAlign w:val="center"/>
          </w:tcPr>
          <w:p>
            <w:pPr>
              <w:jc w:val="center"/>
              <w:rPr>
                <w:rFonts w:hint="eastAsia" w:ascii="仿宋_GB2312" w:hAnsi="仿宋_GB2312" w:eastAsia="仿宋_GB2312" w:cs="仿宋_GB2312"/>
                <w:color w:val="000000"/>
                <w:sz w:val="24"/>
              </w:rPr>
            </w:pPr>
          </w:p>
        </w:tc>
        <w:tc>
          <w:tcPr>
            <w:tcW w:w="1334"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是</w:t>
            </w:r>
          </w:p>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否</w:t>
            </w:r>
          </w:p>
        </w:tc>
        <w:tc>
          <w:tcPr>
            <w:tcW w:w="2332"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劳动合同</w:t>
            </w:r>
          </w:p>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保险缴纳凭证</w:t>
            </w:r>
          </w:p>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工资发放凭证</w:t>
            </w:r>
          </w:p>
        </w:tc>
        <w:tc>
          <w:tcPr>
            <w:tcW w:w="1055" w:type="dxa"/>
            <w:vAlign w:val="center"/>
          </w:tcPr>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有</w:t>
            </w:r>
          </w:p>
          <w:p>
            <w:pPr>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否</w:t>
            </w:r>
          </w:p>
        </w:tc>
      </w:tr>
    </w:tbl>
    <w:p>
      <w:pPr>
        <w:rPr>
          <w:rFonts w:hint="eastAsia" w:ascii="仿宋_GB2312" w:hAnsi="仿宋_GB2312" w:eastAsia="仿宋_GB2312" w:cs="仿宋_GB2312"/>
        </w:rPr>
      </w:pPr>
      <w:r>
        <w:rPr>
          <w:rFonts w:hint="eastAsia" w:ascii="仿宋_GB2312" w:hAnsi="仿宋_GB2312" w:eastAsia="仿宋_GB2312" w:cs="仿宋_GB2312"/>
          <w:color w:val="000000"/>
          <w:sz w:val="24"/>
        </w:rPr>
        <w:t xml:space="preserve"> </w:t>
      </w:r>
    </w:p>
    <w:p>
      <w:pPr>
        <w:tabs>
          <w:tab w:val="left" w:pos="676"/>
          <w:tab w:val="left" w:pos="2330"/>
          <w:tab w:val="left" w:pos="9230"/>
        </w:tabs>
        <w:autoSpaceDE w:val="0"/>
        <w:autoSpaceDN w:val="0"/>
        <w:adjustRightInd w:val="0"/>
        <w:spacing w:line="500" w:lineRule="exact"/>
        <w:rPr>
          <w:rFonts w:hint="eastAsia" w:ascii="仿宋_GB2312" w:hAnsi="仿宋_GB2312" w:eastAsia="仿宋_GB2312" w:cs="仿宋_GB2312"/>
          <w:szCs w:val="21"/>
        </w:rPr>
      </w:pPr>
      <w:r>
        <w:rPr>
          <w:rFonts w:hint="eastAsia" w:ascii="仿宋_GB2312" w:hAnsi="仿宋_GB2312" w:eastAsia="仿宋_GB2312" w:cs="仿宋_GB2312"/>
          <w:szCs w:val="21"/>
        </w:rPr>
        <w:t xml:space="preserve">说明：贫困县域物业公司参与物业服务政府采购,享受上述优惠政策时，应提供以下佐证材料： </w:t>
      </w:r>
    </w:p>
    <w:p>
      <w:pPr>
        <w:tabs>
          <w:tab w:val="left" w:pos="676"/>
          <w:tab w:val="left" w:pos="2330"/>
          <w:tab w:val="left" w:pos="9230"/>
        </w:tabs>
        <w:autoSpaceDE w:val="0"/>
        <w:autoSpaceDN w:val="0"/>
        <w:adjustRightInd w:val="0"/>
        <w:spacing w:line="500" w:lineRule="exact"/>
        <w:rPr>
          <w:rFonts w:hint="eastAsia" w:ascii="仿宋_GB2312" w:hAnsi="仿宋_GB2312" w:eastAsia="仿宋_GB2312" w:cs="仿宋_GB2312"/>
          <w:szCs w:val="21"/>
        </w:rPr>
      </w:pPr>
      <w:r>
        <w:rPr>
          <w:rFonts w:hint="eastAsia" w:ascii="仿宋_GB2312" w:hAnsi="仿宋_GB2312" w:eastAsia="仿宋_GB2312" w:cs="仿宋_GB2312"/>
          <w:szCs w:val="21"/>
        </w:rPr>
        <w:t xml:space="preserve">1.供应商注册所在地县扶贫部门出具的本公司聘用建档立卡贫困人员具体数量证明，并加盖 供应商单位公章。 </w:t>
      </w:r>
    </w:p>
    <w:p>
      <w:pPr>
        <w:tabs>
          <w:tab w:val="left" w:pos="676"/>
          <w:tab w:val="left" w:pos="2330"/>
          <w:tab w:val="left" w:pos="9230"/>
        </w:tabs>
        <w:autoSpaceDE w:val="0"/>
        <w:autoSpaceDN w:val="0"/>
        <w:adjustRightInd w:val="0"/>
        <w:spacing w:line="500" w:lineRule="exact"/>
        <w:rPr>
          <w:rFonts w:hint="eastAsia" w:ascii="仿宋_GB2312" w:hAnsi="仿宋_GB2312" w:eastAsia="仿宋_GB2312" w:cs="仿宋_GB2312"/>
          <w:szCs w:val="21"/>
        </w:rPr>
      </w:pPr>
      <w:r>
        <w:rPr>
          <w:rFonts w:hint="eastAsia" w:ascii="仿宋_GB2312" w:hAnsi="仿宋_GB2312" w:eastAsia="仿宋_GB2312" w:cs="仿宋_GB2312"/>
          <w:szCs w:val="21"/>
        </w:rPr>
        <w:t xml:space="preserve">2.劳动合同或保险缴纳凭证、工资发放凭证等证实本公司聘用建档立卡贫困人员的材料，并加盖供应商单位公章。 </w:t>
      </w:r>
    </w:p>
    <w:p>
      <w:pPr>
        <w:tabs>
          <w:tab w:val="left" w:pos="676"/>
          <w:tab w:val="left" w:pos="2330"/>
          <w:tab w:val="left" w:pos="9230"/>
        </w:tabs>
        <w:autoSpaceDE w:val="0"/>
        <w:autoSpaceDN w:val="0"/>
        <w:adjustRightInd w:val="0"/>
        <w:spacing w:line="500" w:lineRule="exact"/>
        <w:rPr>
          <w:rFonts w:hint="eastAsia" w:ascii="仿宋_GB2312" w:hAnsi="仿宋_GB2312" w:eastAsia="仿宋_GB2312" w:cs="仿宋_GB2312"/>
          <w:szCs w:val="21"/>
        </w:rPr>
      </w:pPr>
      <w:r>
        <w:rPr>
          <w:rFonts w:hint="eastAsia" w:ascii="仿宋_GB2312" w:hAnsi="仿宋_GB2312" w:eastAsia="仿宋_GB2312" w:cs="仿宋_GB2312"/>
          <w:szCs w:val="21"/>
        </w:rPr>
        <w:t xml:space="preserve">3.如公司通过服务外包工方式聘用了建档立卡贫困人员，还应提供公司与服务外包公司签订的合同或协议，以及扶贫部门出具的该服务外包聘用建档立卡贫困人员具体数量证明，并加盖供应商单位公章。 </w:t>
      </w:r>
    </w:p>
    <w:p>
      <w:pPr>
        <w:pStyle w:val="24"/>
        <w:ind w:left="0" w:leftChars="0" w:firstLine="0" w:firstLineChars="0"/>
        <w:rPr>
          <w:rFonts w:hint="eastAsia" w:ascii="仿宋_GB2312" w:hAnsi="仿宋_GB2312" w:eastAsia="仿宋_GB2312" w:cs="仿宋_GB2312"/>
        </w:rPr>
      </w:pPr>
    </w:p>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法定代表人或响应人授权代表（签名或盖章）：</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 xml:space="preserve">    </w:t>
      </w:r>
    </w:p>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响应人名称（公章）：</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 xml:space="preserve">        </w:t>
      </w:r>
    </w:p>
    <w:p>
      <w:pP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日期：  </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年</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月</w:t>
      </w:r>
      <w:r>
        <w:rPr>
          <w:rFonts w:hint="eastAsia" w:ascii="仿宋_GB2312" w:hAnsi="仿宋_GB2312" w:eastAsia="仿宋_GB2312" w:cs="仿宋_GB2312"/>
          <w:color w:val="000000"/>
          <w:sz w:val="24"/>
          <w:u w:val="single"/>
        </w:rPr>
        <w:t xml:space="preserve">     </w:t>
      </w:r>
      <w:r>
        <w:rPr>
          <w:rFonts w:hint="eastAsia" w:ascii="仿宋_GB2312" w:hAnsi="仿宋_GB2312" w:eastAsia="仿宋_GB2312" w:cs="仿宋_GB2312"/>
          <w:color w:val="000000"/>
          <w:sz w:val="24"/>
        </w:rPr>
        <w:t>日</w:t>
      </w:r>
    </w:p>
    <w:p>
      <w:pPr>
        <w:rPr>
          <w:rFonts w:hint="eastAsia" w:ascii="仿宋_GB2312" w:hAnsi="仿宋_GB2312" w:eastAsia="仿宋_GB2312" w:cs="仿宋_GB2312"/>
          <w:color w:val="000000"/>
          <w:sz w:val="24"/>
        </w:rPr>
      </w:pPr>
    </w:p>
    <w:p>
      <w:pPr>
        <w:pStyle w:val="67"/>
        <w:ind w:left="420"/>
        <w:rPr>
          <w:rFonts w:hint="eastAsia" w:ascii="仿宋_GB2312" w:hAnsi="仿宋_GB2312" w:eastAsia="仿宋_GB2312" w:cs="仿宋_GB2312"/>
        </w:rPr>
      </w:pPr>
    </w:p>
    <w:p>
      <w:pPr>
        <w:pStyle w:val="67"/>
        <w:ind w:left="420"/>
        <w:rPr>
          <w:rFonts w:hint="eastAsia" w:ascii="仿宋_GB2312" w:hAnsi="仿宋_GB2312" w:eastAsia="仿宋_GB2312" w:cs="仿宋_GB2312"/>
        </w:rPr>
      </w:pPr>
    </w:p>
    <w:p>
      <w:pPr>
        <w:pStyle w:val="67"/>
        <w:ind w:left="420"/>
        <w:rPr>
          <w:rFonts w:hint="eastAsia" w:ascii="仿宋_GB2312" w:hAnsi="仿宋_GB2312" w:eastAsia="仿宋_GB2312" w:cs="仿宋_GB2312"/>
        </w:rPr>
      </w:pPr>
    </w:p>
    <w:p>
      <w:pPr>
        <w:pStyle w:val="67"/>
        <w:ind w:left="420"/>
        <w:rPr>
          <w:rFonts w:hint="eastAsia" w:ascii="仿宋_GB2312" w:hAnsi="仿宋_GB2312" w:eastAsia="仿宋_GB2312" w:cs="仿宋_GB2312"/>
        </w:rPr>
      </w:pPr>
    </w:p>
    <w:p>
      <w:pPr>
        <w:pStyle w:val="67"/>
        <w:ind w:left="420"/>
        <w:rPr>
          <w:rFonts w:hint="eastAsia" w:ascii="仿宋_GB2312" w:hAnsi="仿宋_GB2312" w:eastAsia="仿宋_GB2312" w:cs="仿宋_GB2312"/>
        </w:rPr>
      </w:pPr>
    </w:p>
    <w:p>
      <w:pPr>
        <w:pStyle w:val="67"/>
        <w:ind w:left="420"/>
        <w:rPr>
          <w:rFonts w:hint="eastAsia" w:ascii="仿宋_GB2312" w:hAnsi="仿宋_GB2312" w:eastAsia="仿宋_GB2312" w:cs="仿宋_GB2312"/>
        </w:rPr>
      </w:pPr>
    </w:p>
    <w:p>
      <w:pPr>
        <w:pStyle w:val="67"/>
        <w:ind w:left="420"/>
        <w:rPr>
          <w:rFonts w:hint="eastAsia" w:ascii="仿宋_GB2312" w:hAnsi="仿宋_GB2312" w:eastAsia="仿宋_GB2312" w:cs="仿宋_GB2312"/>
        </w:rPr>
      </w:pPr>
    </w:p>
    <w:p>
      <w:pPr>
        <w:pStyle w:val="67"/>
        <w:ind w:left="420"/>
        <w:rPr>
          <w:rFonts w:hint="eastAsia" w:ascii="仿宋_GB2312" w:hAnsi="仿宋_GB2312" w:eastAsia="仿宋_GB2312" w:cs="仿宋_GB2312"/>
        </w:rPr>
      </w:pPr>
    </w:p>
    <w:p>
      <w:pPr>
        <w:pStyle w:val="67"/>
        <w:ind w:left="420"/>
        <w:rPr>
          <w:rFonts w:hint="eastAsia" w:ascii="仿宋_GB2312" w:hAnsi="仿宋_GB2312" w:eastAsia="仿宋_GB2312" w:cs="仿宋_GB2312"/>
        </w:rPr>
      </w:pPr>
    </w:p>
    <w:p>
      <w:pPr>
        <w:pStyle w:val="67"/>
        <w:ind w:left="420"/>
        <w:rPr>
          <w:rFonts w:hint="eastAsia" w:ascii="仿宋_GB2312" w:hAnsi="仿宋_GB2312" w:eastAsia="仿宋_GB2312" w:cs="仿宋_GB231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pStyle w:val="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六、报价信封</w:t>
      </w:r>
    </w:p>
    <w:p>
      <w:pPr>
        <w:tabs>
          <w:tab w:val="left" w:pos="720"/>
        </w:tabs>
        <w:adjustRightInd w:val="0"/>
        <w:snapToGrid w:val="0"/>
        <w:rPr>
          <w:rFonts w:hint="eastAsia" w:ascii="仿宋_GB2312" w:hAnsi="仿宋_GB2312" w:eastAsia="仿宋_GB2312" w:cs="仿宋_GB2312"/>
          <w:szCs w:val="28"/>
        </w:rPr>
      </w:pPr>
    </w:p>
    <w:p>
      <w:pPr>
        <w:tabs>
          <w:tab w:val="left" w:pos="720"/>
        </w:tabs>
        <w:adjustRightInd w:val="0"/>
        <w:snapToGrid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说明：报价信封应包括但不限于以下内容：</w:t>
      </w:r>
    </w:p>
    <w:p>
      <w:pPr>
        <w:numPr>
          <w:ilvl w:val="0"/>
          <w:numId w:val="14"/>
        </w:numPr>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b/>
          <w:sz w:val="24"/>
          <w:szCs w:val="24"/>
        </w:rPr>
        <w:t>报价表（首次报价）原件或复印件加盖公章（一份）</w:t>
      </w:r>
      <w:r>
        <w:rPr>
          <w:rFonts w:hint="eastAsia" w:ascii="仿宋_GB2312" w:hAnsi="仿宋_GB2312" w:eastAsia="仿宋_GB2312" w:cs="仿宋_GB2312"/>
          <w:sz w:val="32"/>
          <w:szCs w:val="32"/>
        </w:rPr>
        <w:t>。</w:t>
      </w:r>
    </w:p>
    <w:p>
      <w:pPr>
        <w:pStyle w:val="23"/>
        <w:ind w:firstLine="0" w:firstLineChars="0"/>
        <w:rPr>
          <w:rFonts w:hint="eastAsia" w:ascii="仿宋_GB2312" w:hAnsi="仿宋_GB2312" w:eastAsia="仿宋_GB2312" w:cs="仿宋_GB2312"/>
        </w:rPr>
      </w:pPr>
    </w:p>
    <w:p>
      <w:pPr>
        <w:pStyle w:val="23"/>
        <w:ind w:firstLine="0" w:firstLineChars="0"/>
        <w:rPr>
          <w:rFonts w:hint="eastAsia" w:ascii="仿宋_GB2312" w:hAnsi="仿宋_GB2312" w:eastAsia="仿宋_GB2312" w:cs="仿宋_GB2312"/>
        </w:rPr>
      </w:pPr>
    </w:p>
    <w:p>
      <w:pPr>
        <w:pStyle w:val="23"/>
        <w:ind w:firstLine="0" w:firstLineChars="0"/>
        <w:rPr>
          <w:rFonts w:hint="eastAsia" w:ascii="仿宋_GB2312" w:hAnsi="仿宋_GB2312" w:eastAsia="仿宋_GB2312" w:cs="仿宋_GB2312"/>
        </w:rPr>
      </w:pPr>
    </w:p>
    <w:p>
      <w:pPr>
        <w:spacing w:line="50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pacing w:val="4"/>
          <w:sz w:val="24"/>
          <w:szCs w:val="24"/>
        </w:rPr>
        <w:t>响应人名称（盖公章）：</w:t>
      </w:r>
      <w:r>
        <w:rPr>
          <w:rFonts w:hint="eastAsia" w:ascii="仿宋_GB2312" w:hAnsi="仿宋_GB2312" w:eastAsia="仿宋_GB2312" w:cs="仿宋_GB2312"/>
          <w:spacing w:val="4"/>
          <w:sz w:val="24"/>
          <w:szCs w:val="24"/>
          <w:u w:val="single"/>
        </w:rPr>
        <w:t xml:space="preserve">                                               </w:t>
      </w:r>
    </w:p>
    <w:p>
      <w:pPr>
        <w:spacing w:line="520" w:lineRule="exact"/>
        <w:rPr>
          <w:rFonts w:hint="eastAsia" w:ascii="仿宋_GB2312" w:hAnsi="仿宋_GB2312" w:eastAsia="仿宋_GB2312" w:cs="仿宋_GB2312"/>
          <w:spacing w:val="4"/>
          <w:sz w:val="24"/>
          <w:szCs w:val="24"/>
        </w:rPr>
      </w:pPr>
      <w:r>
        <w:rPr>
          <w:rFonts w:hint="eastAsia" w:ascii="仿宋_GB2312" w:hAnsi="仿宋_GB2312" w:eastAsia="仿宋_GB2312" w:cs="仿宋_GB2312"/>
          <w:sz w:val="24"/>
          <w:szCs w:val="24"/>
        </w:rPr>
        <w:t>法定代表人或响应人授权代表（签名或盖章）：</w:t>
      </w:r>
      <w:r>
        <w:rPr>
          <w:rFonts w:hint="eastAsia" w:ascii="仿宋_GB2312" w:hAnsi="仿宋_GB2312" w:eastAsia="仿宋_GB2312" w:cs="仿宋_GB2312"/>
          <w:spacing w:val="4"/>
          <w:sz w:val="24"/>
          <w:szCs w:val="24"/>
          <w:u w:val="single"/>
        </w:rPr>
        <w:t xml:space="preserve">                        </w:t>
      </w:r>
    </w:p>
    <w:p>
      <w:pPr>
        <w:spacing w:line="520" w:lineRule="exact"/>
        <w:rPr>
          <w:rFonts w:hint="eastAsia" w:ascii="仿宋_GB2312" w:hAnsi="仿宋_GB2312" w:eastAsia="仿宋_GB2312" w:cs="仿宋_GB2312"/>
          <w:spacing w:val="4"/>
          <w:sz w:val="24"/>
          <w:szCs w:val="24"/>
        </w:rPr>
      </w:pPr>
      <w:r>
        <w:rPr>
          <w:rFonts w:hint="eastAsia" w:ascii="仿宋_GB2312" w:hAnsi="仿宋_GB2312" w:eastAsia="仿宋_GB2312" w:cs="仿宋_GB2312"/>
          <w:spacing w:val="4"/>
          <w:sz w:val="24"/>
          <w:szCs w:val="24"/>
        </w:rPr>
        <w:t>日     期：</w:t>
      </w:r>
      <w:r>
        <w:rPr>
          <w:rFonts w:hint="eastAsia" w:ascii="仿宋_GB2312" w:hAnsi="仿宋_GB2312" w:eastAsia="仿宋_GB2312" w:cs="仿宋_GB2312"/>
          <w:spacing w:val="4"/>
          <w:sz w:val="24"/>
          <w:szCs w:val="24"/>
          <w:u w:val="single"/>
        </w:rPr>
        <w:t xml:space="preserve">                                                        </w:t>
      </w:r>
    </w:p>
    <w:p>
      <w:pPr>
        <w:tabs>
          <w:tab w:val="left" w:pos="676"/>
          <w:tab w:val="left" w:pos="2330"/>
          <w:tab w:val="left" w:pos="9230"/>
        </w:tabs>
        <w:autoSpaceDE w:val="0"/>
        <w:autoSpaceDN w:val="0"/>
        <w:adjustRightInd w:val="0"/>
        <w:spacing w:line="480" w:lineRule="exact"/>
        <w:jc w:val="both"/>
        <w:rPr>
          <w:rFonts w:hint="eastAsia" w:ascii="仿宋_GB2312" w:hAnsi="仿宋_GB2312" w:eastAsia="仿宋_GB2312" w:cs="仿宋_GB2312"/>
          <w:sz w:val="24"/>
          <w:szCs w:val="24"/>
        </w:rPr>
      </w:pPr>
    </w:p>
    <w:p>
      <w:pPr>
        <w:pStyle w:val="23"/>
        <w:ind w:firstLine="0" w:firstLineChars="0"/>
        <w:rPr>
          <w:rFonts w:hint="eastAsia" w:ascii="仿宋_GB2312" w:hAnsi="仿宋_GB2312" w:eastAsia="仿宋_GB2312" w:cs="仿宋_GB2312"/>
        </w:rPr>
      </w:pPr>
    </w:p>
    <w:p>
      <w:pPr>
        <w:tabs>
          <w:tab w:val="left" w:pos="720"/>
        </w:tabs>
        <w:adjustRightInd w:val="0"/>
        <w:snapToGrid w:val="0"/>
        <w:rPr>
          <w:rFonts w:hint="eastAsia" w:ascii="仿宋_GB2312" w:hAnsi="仿宋_GB2312" w:eastAsia="仿宋_GB2312" w:cs="仿宋_GB2312"/>
          <w:sz w:val="32"/>
          <w:szCs w:val="32"/>
        </w:rPr>
      </w:pPr>
      <w:r>
        <w:rPr>
          <w:rFonts w:hint="eastAsia" w:ascii="仿宋_GB2312" w:hAnsi="仿宋_GB2312" w:eastAsia="仿宋_GB2312" w:cs="仿宋_GB2312"/>
          <w:szCs w:val="28"/>
        </w:rPr>
        <w:br w:type="page"/>
      </w:r>
      <w:r>
        <w:rPr>
          <w:rFonts w:hint="eastAsia" w:ascii="仿宋_GB2312" w:hAnsi="仿宋_GB2312" w:eastAsia="仿宋_GB2312" w:cs="仿宋_GB2312"/>
          <w:b/>
          <w:bCs/>
          <w:sz w:val="32"/>
          <w:szCs w:val="32"/>
        </w:rPr>
        <w:t>七、通知函格式</w:t>
      </w:r>
    </w:p>
    <w:p>
      <w:pPr>
        <w:keepLines/>
        <w:adjustRightInd w:val="0"/>
        <w:snapToGrid w:val="0"/>
        <w:spacing w:line="360" w:lineRule="auto"/>
        <w:jc w:val="center"/>
        <w:rPr>
          <w:rFonts w:hint="eastAsia" w:ascii="仿宋_GB2312" w:hAnsi="仿宋_GB2312" w:eastAsia="仿宋_GB2312" w:cs="仿宋_GB2312"/>
          <w:bCs/>
          <w:sz w:val="44"/>
          <w:szCs w:val="44"/>
        </w:rPr>
      </w:pPr>
    </w:p>
    <w:p>
      <w:pPr>
        <w:keepLines/>
        <w:adjustRightInd w:val="0"/>
        <w:snapToGrid w:val="0"/>
        <w:spacing w:line="360" w:lineRule="auto"/>
        <w:jc w:val="center"/>
        <w:rPr>
          <w:rFonts w:hint="eastAsia" w:ascii="仿宋_GB2312" w:hAnsi="仿宋_GB2312" w:eastAsia="仿宋_GB2312" w:cs="仿宋_GB2312"/>
          <w:bCs/>
          <w:sz w:val="44"/>
          <w:szCs w:val="44"/>
        </w:rPr>
      </w:pPr>
      <w:r>
        <w:rPr>
          <w:rFonts w:hint="eastAsia" w:ascii="仿宋_GB2312" w:hAnsi="仿宋_GB2312" w:eastAsia="仿宋_GB2312" w:cs="仿宋_GB2312"/>
          <w:bCs/>
          <w:sz w:val="44"/>
          <w:szCs w:val="44"/>
        </w:rPr>
        <w:t>通知函</w:t>
      </w:r>
    </w:p>
    <w:p>
      <w:pPr>
        <w:adjustRightInd w:val="0"/>
        <w:snapToGrid w:val="0"/>
        <w:spacing w:line="360" w:lineRule="auto"/>
        <w:rPr>
          <w:rFonts w:hint="eastAsia" w:ascii="仿宋_GB2312" w:hAnsi="仿宋_GB2312" w:eastAsia="仿宋_GB2312" w:cs="仿宋_GB2312"/>
          <w:bCs/>
          <w:szCs w:val="21"/>
          <w:u w:val="single"/>
        </w:rPr>
      </w:pPr>
      <w:r>
        <w:rPr>
          <w:rFonts w:hint="eastAsia" w:ascii="仿宋_GB2312" w:hAnsi="仿宋_GB2312" w:eastAsia="仿宋_GB2312" w:cs="仿宋_GB2312"/>
          <w:bCs/>
          <w:szCs w:val="21"/>
          <w:u w:val="single"/>
        </w:rPr>
        <w:t xml:space="preserve">                ：</w:t>
      </w:r>
    </w:p>
    <w:p>
      <w:pPr>
        <w:adjustRightInd w:val="0"/>
        <w:snapToGrid w:val="0"/>
        <w:spacing w:line="360" w:lineRule="auto"/>
        <w:ind w:firstLine="570"/>
        <w:rPr>
          <w:rFonts w:hint="eastAsia" w:ascii="仿宋_GB2312" w:hAnsi="仿宋_GB2312" w:eastAsia="仿宋_GB2312" w:cs="仿宋_GB2312"/>
          <w:bCs/>
          <w:szCs w:val="21"/>
        </w:rPr>
      </w:pPr>
      <w:r>
        <w:rPr>
          <w:rFonts w:hint="eastAsia" w:ascii="仿宋_GB2312" w:hAnsi="仿宋_GB2312" w:eastAsia="仿宋_GB2312" w:cs="仿宋_GB2312"/>
          <w:bCs/>
          <w:szCs w:val="21"/>
        </w:rPr>
        <w:t>我单位已完全理解</w:t>
      </w:r>
      <w:r>
        <w:rPr>
          <w:rFonts w:hint="eastAsia" w:ascii="仿宋_GB2312" w:hAnsi="仿宋_GB2312" w:eastAsia="仿宋_GB2312" w:cs="仿宋_GB2312"/>
          <w:bCs/>
          <w:szCs w:val="21"/>
          <w:u w:val="single"/>
        </w:rPr>
        <w:t>（项目名称、编号  ）</w:t>
      </w:r>
      <w:r>
        <w:rPr>
          <w:rFonts w:hint="eastAsia" w:ascii="仿宋_GB2312" w:hAnsi="仿宋_GB2312" w:eastAsia="仿宋_GB2312" w:cs="仿宋_GB2312"/>
          <w:bCs/>
          <w:szCs w:val="21"/>
        </w:rPr>
        <w:t>磋商文件的各项规定，经充分考虑决定：</w:t>
      </w:r>
    </w:p>
    <w:p>
      <w:pPr>
        <w:adjustRightInd w:val="0"/>
        <w:snapToGrid w:val="0"/>
        <w:spacing w:line="360" w:lineRule="auto"/>
        <w:ind w:firstLine="570"/>
        <w:rPr>
          <w:rFonts w:hint="eastAsia" w:ascii="仿宋_GB2312" w:hAnsi="仿宋_GB2312" w:eastAsia="仿宋_GB2312" w:cs="仿宋_GB2312"/>
          <w:bCs/>
          <w:szCs w:val="21"/>
        </w:rPr>
      </w:pPr>
    </w:p>
    <w:p>
      <w:pPr>
        <w:numPr>
          <w:ilvl w:val="0"/>
          <w:numId w:val="15"/>
        </w:numPr>
        <w:tabs>
          <w:tab w:val="left" w:pos="360"/>
        </w:tabs>
        <w:adjustRightInd w:val="0"/>
        <w:snapToGrid w:val="0"/>
        <w:spacing w:line="360" w:lineRule="auto"/>
        <w:ind w:left="0"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 xml:space="preserve">按磋商文件的各项规定参加本次投标活动。  </w:t>
      </w:r>
      <w:r>
        <w:rPr>
          <w:rFonts w:hint="eastAsia" w:ascii="仿宋_GB2312" w:hAnsi="仿宋_GB2312" w:eastAsia="仿宋_GB2312" w:cs="仿宋_GB2312"/>
          <w:bCs/>
          <w:szCs w:val="21"/>
          <w:u w:val="single"/>
        </w:rPr>
        <w:t xml:space="preserve">            。</w:t>
      </w:r>
    </w:p>
    <w:p>
      <w:pPr>
        <w:adjustRightInd w:val="0"/>
        <w:snapToGrid w:val="0"/>
        <w:spacing w:line="360" w:lineRule="auto"/>
        <w:ind w:firstLine="420" w:firstLineChars="200"/>
        <w:rPr>
          <w:rFonts w:hint="eastAsia" w:ascii="仿宋_GB2312" w:hAnsi="仿宋_GB2312" w:eastAsia="仿宋_GB2312" w:cs="仿宋_GB2312"/>
          <w:bCs/>
          <w:szCs w:val="21"/>
        </w:rPr>
      </w:pPr>
    </w:p>
    <w:p>
      <w:pPr>
        <w:numPr>
          <w:ilvl w:val="0"/>
          <w:numId w:val="15"/>
        </w:numPr>
        <w:tabs>
          <w:tab w:val="left" w:pos="360"/>
        </w:tabs>
        <w:adjustRightInd w:val="0"/>
        <w:snapToGrid w:val="0"/>
        <w:spacing w:line="360" w:lineRule="auto"/>
        <w:ind w:left="0" w:firstLine="420" w:firstLineChars="200"/>
        <w:rPr>
          <w:rFonts w:hint="eastAsia" w:ascii="仿宋_GB2312" w:hAnsi="仿宋_GB2312" w:eastAsia="仿宋_GB2312" w:cs="仿宋_GB2312"/>
          <w:bCs/>
          <w:szCs w:val="21"/>
        </w:rPr>
      </w:pPr>
      <w:r>
        <w:rPr>
          <w:rFonts w:hint="eastAsia" w:ascii="仿宋_GB2312" w:hAnsi="仿宋_GB2312" w:eastAsia="仿宋_GB2312" w:cs="仿宋_GB2312"/>
          <w:bCs/>
          <w:szCs w:val="21"/>
        </w:rPr>
        <w:t xml:space="preserve">放弃本次投标活动。 </w:t>
      </w:r>
      <w:r>
        <w:rPr>
          <w:rFonts w:hint="eastAsia" w:ascii="仿宋_GB2312" w:hAnsi="仿宋_GB2312" w:eastAsia="仿宋_GB2312" w:cs="仿宋_GB2312"/>
          <w:bCs/>
          <w:szCs w:val="21"/>
          <w:u w:val="single"/>
        </w:rPr>
        <w:t xml:space="preserve">            。</w:t>
      </w:r>
    </w:p>
    <w:p>
      <w:pPr>
        <w:tabs>
          <w:tab w:val="left" w:pos="360"/>
        </w:tabs>
        <w:adjustRightInd w:val="0"/>
        <w:snapToGrid w:val="0"/>
        <w:spacing w:line="360" w:lineRule="auto"/>
        <w:ind w:left="235" w:leftChars="112"/>
        <w:rPr>
          <w:rFonts w:hint="eastAsia" w:ascii="仿宋_GB2312" w:hAnsi="仿宋_GB2312" w:eastAsia="仿宋_GB2312" w:cs="仿宋_GB2312"/>
          <w:bCs/>
          <w:szCs w:val="21"/>
        </w:rPr>
      </w:pPr>
    </w:p>
    <w:p>
      <w:pPr>
        <w:tabs>
          <w:tab w:val="left" w:pos="360"/>
        </w:tabs>
        <w:adjustRightInd w:val="0"/>
        <w:snapToGrid w:val="0"/>
        <w:spacing w:line="360" w:lineRule="auto"/>
        <w:ind w:left="235" w:leftChars="112"/>
        <w:rPr>
          <w:rFonts w:hint="eastAsia" w:ascii="仿宋_GB2312" w:hAnsi="仿宋_GB2312" w:eastAsia="仿宋_GB2312" w:cs="仿宋_GB2312"/>
          <w:bCs/>
          <w:szCs w:val="21"/>
        </w:rPr>
      </w:pPr>
    </w:p>
    <w:p>
      <w:pPr>
        <w:tabs>
          <w:tab w:val="left" w:pos="360"/>
        </w:tabs>
        <w:adjustRightInd w:val="0"/>
        <w:snapToGrid w:val="0"/>
        <w:spacing w:line="360" w:lineRule="auto"/>
        <w:ind w:left="235" w:leftChars="112"/>
        <w:rPr>
          <w:rFonts w:hint="eastAsia" w:ascii="仿宋_GB2312" w:hAnsi="仿宋_GB2312" w:eastAsia="仿宋_GB2312" w:cs="仿宋_GB2312"/>
          <w:bCs/>
          <w:szCs w:val="21"/>
        </w:rPr>
      </w:pPr>
      <w:r>
        <w:rPr>
          <w:rFonts w:hint="eastAsia" w:ascii="仿宋_GB2312" w:hAnsi="仿宋_GB2312" w:eastAsia="仿宋_GB2312" w:cs="仿宋_GB2312"/>
          <w:bCs/>
          <w:szCs w:val="21"/>
        </w:rPr>
        <w:t>请各响应人在上述1或2选择“√”并签章完毕后于开标前2日扫描发电子邮件至bap@hxdgcgw.com。</w:t>
      </w:r>
    </w:p>
    <w:p>
      <w:pPr>
        <w:adjustRightInd w:val="0"/>
        <w:snapToGrid w:val="0"/>
        <w:spacing w:line="360" w:lineRule="auto"/>
        <w:ind w:firstLine="420" w:firstLineChars="200"/>
        <w:rPr>
          <w:rFonts w:hint="eastAsia" w:ascii="仿宋_GB2312" w:hAnsi="仿宋_GB2312" w:eastAsia="仿宋_GB2312" w:cs="仿宋_GB2312"/>
          <w:szCs w:val="21"/>
        </w:rPr>
      </w:pPr>
    </w:p>
    <w:p>
      <w:pPr>
        <w:adjustRightInd w:val="0"/>
        <w:snapToGrid w:val="0"/>
        <w:spacing w:line="360" w:lineRule="auto"/>
        <w:ind w:firstLine="420" w:firstLineChars="200"/>
        <w:rPr>
          <w:rFonts w:hint="eastAsia" w:ascii="仿宋_GB2312" w:hAnsi="仿宋_GB2312" w:eastAsia="仿宋_GB2312" w:cs="仿宋_GB2312"/>
          <w:szCs w:val="21"/>
        </w:rPr>
      </w:pPr>
    </w:p>
    <w:p>
      <w:pPr>
        <w:adjustRightInd w:val="0"/>
        <w:snapToGrid w:val="0"/>
        <w:spacing w:line="360" w:lineRule="auto"/>
        <w:ind w:firstLine="420" w:firstLineChars="200"/>
        <w:rPr>
          <w:rFonts w:hint="eastAsia" w:ascii="仿宋_GB2312" w:hAnsi="仿宋_GB2312" w:eastAsia="仿宋_GB2312" w:cs="仿宋_GB2312"/>
          <w:szCs w:val="21"/>
        </w:rPr>
      </w:pPr>
    </w:p>
    <w:p>
      <w:pPr>
        <w:adjustRightInd w:val="0"/>
        <w:snapToGrid w:val="0"/>
        <w:spacing w:line="360" w:lineRule="auto"/>
        <w:ind w:firstLine="420" w:firstLineChars="200"/>
        <w:rPr>
          <w:rFonts w:hint="eastAsia" w:ascii="仿宋_GB2312" w:hAnsi="仿宋_GB2312" w:eastAsia="仿宋_GB2312" w:cs="仿宋_GB2312"/>
          <w:szCs w:val="21"/>
        </w:rPr>
      </w:pPr>
    </w:p>
    <w:p>
      <w:pPr>
        <w:adjustRightInd w:val="0"/>
        <w:snapToGrid w:val="0"/>
        <w:spacing w:line="360" w:lineRule="auto"/>
        <w:ind w:firstLine="420" w:firstLineChars="200"/>
        <w:rPr>
          <w:rFonts w:hint="eastAsia" w:ascii="仿宋_GB2312" w:hAnsi="仿宋_GB2312" w:eastAsia="仿宋_GB2312" w:cs="仿宋_GB2312"/>
          <w:szCs w:val="21"/>
        </w:rPr>
      </w:pPr>
    </w:p>
    <w:p>
      <w:pPr>
        <w:adjustRightInd w:val="0"/>
        <w:snapToGrid w:val="0"/>
        <w:spacing w:line="360" w:lineRule="auto"/>
        <w:ind w:firstLine="420" w:firstLineChars="200"/>
        <w:rPr>
          <w:rFonts w:hint="eastAsia" w:ascii="仿宋_GB2312" w:hAnsi="仿宋_GB2312" w:eastAsia="仿宋_GB2312" w:cs="仿宋_GB2312"/>
          <w:szCs w:val="21"/>
        </w:rPr>
      </w:pPr>
    </w:p>
    <w:p>
      <w:pPr>
        <w:adjustRightInd w:val="0"/>
        <w:snapToGrid w:val="0"/>
        <w:spacing w:line="300" w:lineRule="auto"/>
        <w:rPr>
          <w:rFonts w:hint="eastAsia" w:ascii="仿宋_GB2312" w:hAnsi="仿宋_GB2312" w:eastAsia="仿宋_GB2312" w:cs="仿宋_GB2312"/>
          <w:szCs w:val="21"/>
        </w:rPr>
      </w:pPr>
      <w:r>
        <w:rPr>
          <w:rFonts w:hint="eastAsia" w:ascii="仿宋_GB2312" w:hAnsi="仿宋_GB2312" w:eastAsia="仿宋_GB2312" w:cs="仿宋_GB2312"/>
          <w:szCs w:val="21"/>
        </w:rPr>
        <w:t>法定代表人或响应人授权代表（签名或盖章）：</w:t>
      </w:r>
      <w:r>
        <w:rPr>
          <w:rFonts w:hint="eastAsia" w:ascii="仿宋_GB2312" w:hAnsi="仿宋_GB2312" w:eastAsia="仿宋_GB2312" w:cs="仿宋_GB2312"/>
          <w:szCs w:val="21"/>
          <w:u w:val="single"/>
        </w:rPr>
        <w:t xml:space="preserve">                   </w:t>
      </w:r>
    </w:p>
    <w:p>
      <w:pPr>
        <w:adjustRightInd w:val="0"/>
        <w:snapToGrid w:val="0"/>
        <w:spacing w:line="300" w:lineRule="auto"/>
        <w:rPr>
          <w:rFonts w:hint="eastAsia" w:ascii="仿宋_GB2312" w:hAnsi="仿宋_GB2312" w:eastAsia="仿宋_GB2312" w:cs="仿宋_GB2312"/>
          <w:szCs w:val="21"/>
          <w:u w:val="single"/>
        </w:rPr>
      </w:pPr>
      <w:r>
        <w:rPr>
          <w:rFonts w:hint="eastAsia" w:ascii="仿宋_GB2312" w:hAnsi="仿宋_GB2312" w:eastAsia="仿宋_GB2312" w:cs="仿宋_GB2312"/>
          <w:szCs w:val="21"/>
        </w:rPr>
        <w:t>响应人名称（公章）：</w:t>
      </w:r>
      <w:r>
        <w:rPr>
          <w:rFonts w:hint="eastAsia" w:ascii="仿宋_GB2312" w:hAnsi="仿宋_GB2312" w:eastAsia="仿宋_GB2312" w:cs="仿宋_GB2312"/>
          <w:szCs w:val="21"/>
          <w:u w:val="single"/>
        </w:rPr>
        <w:t xml:space="preserve">                        </w:t>
      </w:r>
    </w:p>
    <w:p>
      <w:pPr>
        <w:rPr>
          <w:rFonts w:hint="eastAsia" w:ascii="仿宋_GB2312" w:hAnsi="仿宋_GB2312" w:eastAsia="仿宋_GB2312" w:cs="仿宋_GB2312"/>
          <w:szCs w:val="21"/>
        </w:rPr>
      </w:pPr>
      <w:r>
        <w:rPr>
          <w:rFonts w:hint="eastAsia" w:ascii="仿宋_GB2312" w:hAnsi="仿宋_GB2312" w:eastAsia="仿宋_GB2312" w:cs="仿宋_GB2312"/>
          <w:szCs w:val="21"/>
        </w:rPr>
        <w:t>日期：</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年</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月</w:t>
      </w:r>
      <w:r>
        <w:rPr>
          <w:rFonts w:hint="eastAsia" w:ascii="仿宋_GB2312" w:hAnsi="仿宋_GB2312" w:eastAsia="仿宋_GB2312" w:cs="仿宋_GB2312"/>
          <w:szCs w:val="21"/>
          <w:u w:val="single"/>
        </w:rPr>
        <w:t xml:space="preserve">    </w:t>
      </w:r>
      <w:r>
        <w:rPr>
          <w:rFonts w:hint="eastAsia" w:ascii="仿宋_GB2312" w:hAnsi="仿宋_GB2312" w:eastAsia="仿宋_GB2312" w:cs="仿宋_GB2312"/>
          <w:szCs w:val="21"/>
        </w:rPr>
        <w:t xml:space="preserve"> 日</w:t>
      </w:r>
    </w:p>
    <w:p>
      <w:pPr>
        <w:adjustRightInd w:val="0"/>
        <w:snapToGrid w:val="0"/>
        <w:spacing w:line="360" w:lineRule="auto"/>
        <w:rPr>
          <w:rFonts w:hint="eastAsia" w:ascii="仿宋_GB2312" w:hAnsi="仿宋_GB2312" w:eastAsia="仿宋_GB2312" w:cs="仿宋_GB2312"/>
          <w:szCs w:val="21"/>
        </w:rPr>
      </w:pPr>
    </w:p>
    <w:p>
      <w:pPr>
        <w:adjustRightInd w:val="0"/>
        <w:snapToGrid w:val="0"/>
        <w:spacing w:line="360" w:lineRule="auto"/>
        <w:rPr>
          <w:rFonts w:hint="eastAsia" w:ascii="仿宋_GB2312" w:hAnsi="仿宋_GB2312" w:eastAsia="仿宋_GB2312" w:cs="仿宋_GB2312"/>
          <w:b/>
          <w:sz w:val="30"/>
          <w:szCs w:val="30"/>
        </w:rPr>
      </w:pP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rPr>
          <w:rFonts w:hint="eastAsia" w:ascii="仿宋_GB2312" w:hAnsi="仿宋_GB2312" w:eastAsia="仿宋_GB2312" w:cs="仿宋_GB2312"/>
        </w:rPr>
      </w:pPr>
    </w:p>
    <w:p>
      <w:pPr>
        <w:tabs>
          <w:tab w:val="left" w:pos="720"/>
        </w:tabs>
        <w:adjustRightInd w:val="0"/>
        <w:snapToGrid w:val="0"/>
        <w:rPr>
          <w:rFonts w:hint="eastAsia" w:ascii="仿宋_GB2312" w:hAnsi="仿宋_GB2312" w:eastAsia="仿宋_GB2312" w:cs="仿宋_GB2312"/>
          <w:bCs/>
          <w:sz w:val="32"/>
          <w:szCs w:val="32"/>
        </w:rPr>
      </w:pPr>
      <w:r>
        <w:rPr>
          <w:rFonts w:hint="eastAsia" w:ascii="仿宋_GB2312" w:hAnsi="仿宋_GB2312" w:eastAsia="仿宋_GB2312" w:cs="仿宋_GB2312"/>
          <w:szCs w:val="28"/>
        </w:rPr>
        <w:br w:type="page"/>
      </w:r>
      <w:r>
        <w:rPr>
          <w:rFonts w:hint="eastAsia" w:ascii="仿宋_GB2312" w:hAnsi="仿宋_GB2312" w:eastAsia="仿宋_GB2312" w:cs="仿宋_GB2312"/>
          <w:b/>
          <w:bCs/>
          <w:sz w:val="32"/>
          <w:szCs w:val="32"/>
        </w:rPr>
        <w:t>八、响应文件封装格式</w:t>
      </w:r>
    </w:p>
    <w:p>
      <w:pPr>
        <w:tabs>
          <w:tab w:val="left" w:pos="720"/>
        </w:tabs>
        <w:adjustRightInd w:val="0"/>
        <w:snapToGrid w:val="0"/>
        <w:rPr>
          <w:rFonts w:hint="eastAsia" w:ascii="仿宋_GB2312" w:hAnsi="仿宋_GB2312" w:eastAsia="仿宋_GB2312" w:cs="仿宋_GB2312"/>
          <w:bCs/>
          <w:szCs w:val="28"/>
        </w:rPr>
      </w:pPr>
    </w:p>
    <w:p>
      <w:pPr>
        <w:tabs>
          <w:tab w:val="left" w:pos="720"/>
        </w:tabs>
        <w:adjustRightInd w:val="0"/>
        <w:snapToGrid w:val="0"/>
        <w:rPr>
          <w:rFonts w:hint="eastAsia" w:ascii="仿宋_GB2312" w:hAnsi="仿宋_GB2312" w:eastAsia="仿宋_GB2312" w:cs="仿宋_GB2312"/>
          <w:bCs/>
          <w:szCs w:val="28"/>
        </w:rPr>
      </w:pPr>
    </w:p>
    <w:p>
      <w:pPr>
        <w:adjustRightInd w:val="0"/>
        <w:snapToGrid w:val="0"/>
        <w:jc w:val="center"/>
        <w:rPr>
          <w:rStyle w:val="27"/>
          <w:rFonts w:hint="eastAsia" w:ascii="仿宋_GB2312" w:hAnsi="仿宋_GB2312" w:eastAsia="仿宋_GB2312" w:cs="仿宋_GB2312"/>
          <w:b w:val="0"/>
          <w:sz w:val="44"/>
          <w:szCs w:val="44"/>
        </w:rPr>
      </w:pPr>
      <w:r>
        <w:rPr>
          <w:rStyle w:val="27"/>
          <w:rFonts w:hint="eastAsia" w:ascii="仿宋_GB2312" w:hAnsi="仿宋_GB2312" w:eastAsia="仿宋_GB2312" w:cs="仿宋_GB2312"/>
          <w:b w:val="0"/>
          <w:sz w:val="44"/>
          <w:szCs w:val="44"/>
        </w:rPr>
        <w:t>响应文件包装封面</w:t>
      </w:r>
    </w:p>
    <w:p>
      <w:pPr>
        <w:pStyle w:val="11"/>
        <w:spacing w:after="0"/>
        <w:rPr>
          <w:rFonts w:hint="eastAsia" w:hAnsi="仿宋_GB2312" w:cs="仿宋_GB2312"/>
          <w:szCs w:val="28"/>
        </w:rPr>
      </w:pPr>
    </w:p>
    <w:p>
      <w:pPr>
        <w:pStyle w:val="11"/>
        <w:spacing w:after="0"/>
        <w:rPr>
          <w:rFonts w:hint="eastAsia" w:hAnsi="仿宋_GB2312" w:cs="仿宋_GB2312"/>
          <w:szCs w:val="28"/>
        </w:rPr>
      </w:pPr>
    </w:p>
    <w:p>
      <w:pPr>
        <w:pStyle w:val="11"/>
        <w:spacing w:after="0"/>
        <w:rPr>
          <w:rFonts w:hint="eastAsia" w:hAnsi="仿宋_GB2312" w:cs="仿宋_GB2312"/>
          <w:sz w:val="21"/>
          <w:szCs w:val="21"/>
        </w:rPr>
      </w:pPr>
      <w:r>
        <w:rPr>
          <w:rFonts w:hint="eastAsia" w:hAnsi="仿宋_GB2312" w:cs="仿宋_GB2312"/>
          <w:sz w:val="21"/>
          <w:szCs w:val="21"/>
          <w:u w:val="single"/>
        </w:rPr>
        <w:t xml:space="preserve">       </w:t>
      </w:r>
      <w:r>
        <w:rPr>
          <w:rFonts w:hint="eastAsia" w:hAnsi="仿宋_GB2312" w:cs="仿宋_GB2312"/>
          <w:sz w:val="21"/>
          <w:szCs w:val="21"/>
        </w:rPr>
        <w:t>年</w:t>
      </w:r>
      <w:r>
        <w:rPr>
          <w:rFonts w:hint="eastAsia" w:hAnsi="仿宋_GB2312" w:cs="仿宋_GB2312"/>
          <w:sz w:val="21"/>
          <w:szCs w:val="21"/>
          <w:u w:val="single"/>
        </w:rPr>
        <w:t xml:space="preserve">   </w:t>
      </w:r>
      <w:r>
        <w:rPr>
          <w:rFonts w:hint="eastAsia" w:hAnsi="仿宋_GB2312" w:cs="仿宋_GB2312"/>
          <w:sz w:val="21"/>
          <w:szCs w:val="21"/>
        </w:rPr>
        <w:t>月</w:t>
      </w:r>
      <w:r>
        <w:rPr>
          <w:rFonts w:hint="eastAsia" w:hAnsi="仿宋_GB2312" w:cs="仿宋_GB2312"/>
          <w:sz w:val="21"/>
          <w:szCs w:val="21"/>
          <w:u w:val="single"/>
        </w:rPr>
        <w:t xml:space="preserve">   </w:t>
      </w:r>
      <w:r>
        <w:rPr>
          <w:rFonts w:hint="eastAsia" w:hAnsi="仿宋_GB2312" w:cs="仿宋_GB2312"/>
          <w:sz w:val="21"/>
          <w:szCs w:val="21"/>
        </w:rPr>
        <w:t>日</w:t>
      </w:r>
      <w:r>
        <w:rPr>
          <w:rFonts w:hint="eastAsia" w:hAnsi="仿宋_GB2312" w:cs="仿宋_GB2312"/>
          <w:sz w:val="21"/>
          <w:szCs w:val="21"/>
          <w:u w:val="single"/>
        </w:rPr>
        <w:t xml:space="preserve">   </w:t>
      </w:r>
      <w:r>
        <w:rPr>
          <w:rFonts w:hint="eastAsia" w:hAnsi="仿宋_GB2312" w:cs="仿宋_GB2312"/>
          <w:sz w:val="21"/>
          <w:szCs w:val="21"/>
        </w:rPr>
        <w:t>时</w:t>
      </w:r>
      <w:r>
        <w:rPr>
          <w:rFonts w:hint="eastAsia" w:hAnsi="仿宋_GB2312" w:cs="仿宋_GB2312"/>
          <w:sz w:val="21"/>
          <w:szCs w:val="21"/>
          <w:u w:val="single"/>
        </w:rPr>
        <w:t xml:space="preserve">   </w:t>
      </w:r>
      <w:r>
        <w:rPr>
          <w:rFonts w:hint="eastAsia" w:hAnsi="仿宋_GB2312" w:cs="仿宋_GB2312"/>
          <w:sz w:val="21"/>
          <w:szCs w:val="21"/>
        </w:rPr>
        <w:t>分之前不得开启。</w:t>
      </w:r>
    </w:p>
    <w:p>
      <w:pPr>
        <w:pStyle w:val="11"/>
        <w:spacing w:after="0"/>
        <w:rPr>
          <w:rFonts w:hint="eastAsia" w:hAnsi="仿宋_GB2312" w:cs="仿宋_GB2312"/>
          <w:szCs w:val="28"/>
        </w:rPr>
      </w:pPr>
    </w:p>
    <w:p>
      <w:pPr>
        <w:pStyle w:val="11"/>
        <w:spacing w:after="0"/>
        <w:rPr>
          <w:rFonts w:hint="eastAsia" w:hAnsi="仿宋_GB2312" w:cs="仿宋_GB2312"/>
          <w:szCs w:val="28"/>
        </w:rPr>
      </w:pPr>
      <w:r>
        <w:rPr>
          <w:rFonts w:hint="eastAsia" w:hAnsi="仿宋_GB2312" w:cs="仿宋_GB2312"/>
          <w:szCs w:val="28"/>
        </w:rPr>
        <w:t>包装内容：□响应文件  □报价信封  □电子文件</w:t>
      </w:r>
    </w:p>
    <w:p>
      <w:pPr>
        <w:pStyle w:val="11"/>
        <w:spacing w:after="0"/>
        <w:rPr>
          <w:rFonts w:hint="eastAsia" w:hAnsi="仿宋_GB2312" w:cs="仿宋_GB2312"/>
          <w:szCs w:val="28"/>
        </w:rPr>
      </w:pPr>
      <w:r>
        <w:rPr>
          <w:rFonts w:hint="eastAsia" w:hAnsi="仿宋_GB2312" w:cs="仿宋_GB2312"/>
          <w:szCs w:val="28"/>
        </w:rPr>
        <w:t xml:space="preserve">         </w:t>
      </w:r>
    </w:p>
    <w:p>
      <w:pPr>
        <w:pStyle w:val="11"/>
        <w:spacing w:after="0"/>
        <w:rPr>
          <w:rFonts w:hint="eastAsia" w:hAnsi="仿宋_GB2312" w:cs="仿宋_GB2312"/>
          <w:szCs w:val="28"/>
        </w:rPr>
      </w:pPr>
    </w:p>
    <w:p>
      <w:pPr>
        <w:pStyle w:val="11"/>
        <w:spacing w:after="0" w:line="800" w:lineRule="exact"/>
        <w:rPr>
          <w:rFonts w:hint="eastAsia" w:hAnsi="仿宋_GB2312" w:cs="仿宋_GB2312"/>
          <w:szCs w:val="28"/>
          <w:u w:val="single"/>
        </w:rPr>
      </w:pPr>
      <w:r>
        <w:rPr>
          <w:rFonts w:hint="eastAsia" w:hAnsi="仿宋_GB2312" w:cs="仿宋_GB2312"/>
          <w:szCs w:val="28"/>
        </w:rPr>
        <w:t>项目名称：</w:t>
      </w:r>
      <w:r>
        <w:rPr>
          <w:rFonts w:hint="eastAsia" w:hAnsi="仿宋_GB2312" w:cs="仿宋_GB2312"/>
          <w:szCs w:val="28"/>
          <w:u w:val="single"/>
        </w:rPr>
        <w:t xml:space="preserve">                                          </w:t>
      </w:r>
    </w:p>
    <w:p>
      <w:pPr>
        <w:pStyle w:val="11"/>
        <w:spacing w:after="0" w:line="800" w:lineRule="exact"/>
        <w:rPr>
          <w:rFonts w:hint="eastAsia" w:hAnsi="仿宋_GB2312" w:cs="仿宋_GB2312"/>
          <w:szCs w:val="28"/>
        </w:rPr>
      </w:pPr>
      <w:r>
        <w:rPr>
          <w:rFonts w:hint="eastAsia" w:hAnsi="仿宋_GB2312" w:cs="仿宋_GB2312"/>
          <w:szCs w:val="28"/>
        </w:rPr>
        <w:t>项目编号：</w:t>
      </w:r>
      <w:r>
        <w:rPr>
          <w:rFonts w:hint="eastAsia" w:hAnsi="仿宋_GB2312" w:cs="仿宋_GB2312"/>
          <w:szCs w:val="28"/>
          <w:u w:val="single"/>
        </w:rPr>
        <w:t xml:space="preserve">                                          </w:t>
      </w:r>
    </w:p>
    <w:p>
      <w:pPr>
        <w:pStyle w:val="11"/>
        <w:spacing w:after="0" w:line="800" w:lineRule="exact"/>
        <w:rPr>
          <w:rStyle w:val="27"/>
          <w:rFonts w:hint="eastAsia" w:hAnsi="仿宋_GB2312" w:cs="仿宋_GB2312"/>
          <w:b w:val="0"/>
          <w:szCs w:val="28"/>
        </w:rPr>
      </w:pPr>
      <w:r>
        <w:rPr>
          <w:rStyle w:val="27"/>
          <w:rFonts w:hint="eastAsia" w:hAnsi="仿宋_GB2312" w:cs="仿宋_GB2312"/>
          <w:b w:val="0"/>
          <w:szCs w:val="28"/>
        </w:rPr>
        <w:t>响应人（法人公章）：</w:t>
      </w:r>
      <w:r>
        <w:rPr>
          <w:rStyle w:val="27"/>
          <w:rFonts w:hint="eastAsia" w:hAnsi="仿宋_GB2312" w:cs="仿宋_GB2312"/>
          <w:b w:val="0"/>
          <w:szCs w:val="28"/>
          <w:u w:val="single"/>
        </w:rPr>
        <w:t xml:space="preserve">                                  </w:t>
      </w:r>
    </w:p>
    <w:p>
      <w:pPr>
        <w:pStyle w:val="11"/>
        <w:spacing w:after="0" w:line="800" w:lineRule="exact"/>
        <w:rPr>
          <w:rStyle w:val="27"/>
          <w:rFonts w:hint="eastAsia" w:hAnsi="仿宋_GB2312" w:cs="仿宋_GB2312"/>
          <w:b w:val="0"/>
          <w:szCs w:val="28"/>
          <w:u w:val="single"/>
        </w:rPr>
      </w:pPr>
      <w:r>
        <w:rPr>
          <w:rStyle w:val="27"/>
          <w:rFonts w:hint="eastAsia" w:hAnsi="仿宋_GB2312" w:cs="仿宋_GB2312"/>
          <w:b w:val="0"/>
          <w:szCs w:val="28"/>
        </w:rPr>
        <w:t>法定代表人或响应人授权代表（签名或盖章）：</w:t>
      </w:r>
      <w:r>
        <w:rPr>
          <w:rStyle w:val="27"/>
          <w:rFonts w:hint="eastAsia" w:hAnsi="仿宋_GB2312" w:cs="仿宋_GB2312"/>
          <w:b w:val="0"/>
          <w:szCs w:val="28"/>
          <w:u w:val="single"/>
        </w:rPr>
        <w:t xml:space="preserve">               </w:t>
      </w:r>
    </w:p>
    <w:p>
      <w:pPr>
        <w:pStyle w:val="11"/>
        <w:spacing w:after="0" w:line="800" w:lineRule="exact"/>
        <w:rPr>
          <w:rStyle w:val="27"/>
          <w:rFonts w:hint="eastAsia" w:hAnsi="仿宋_GB2312" w:cs="仿宋_GB2312"/>
          <w:b w:val="0"/>
          <w:szCs w:val="28"/>
        </w:rPr>
      </w:pPr>
      <w:r>
        <w:rPr>
          <w:rStyle w:val="27"/>
          <w:rFonts w:hint="eastAsia" w:hAnsi="仿宋_GB2312" w:cs="仿宋_GB2312"/>
          <w:b w:val="0"/>
          <w:szCs w:val="28"/>
        </w:rPr>
        <w:t>住所/地址：</w:t>
      </w:r>
      <w:r>
        <w:rPr>
          <w:rStyle w:val="27"/>
          <w:rFonts w:hint="eastAsia" w:hAnsi="仿宋_GB2312" w:cs="仿宋_GB2312"/>
          <w:b w:val="0"/>
          <w:szCs w:val="28"/>
          <w:u w:val="single"/>
        </w:rPr>
        <w:t xml:space="preserve">                                         </w:t>
      </w:r>
    </w:p>
    <w:p>
      <w:pPr>
        <w:pStyle w:val="11"/>
        <w:spacing w:after="0" w:line="800" w:lineRule="exact"/>
        <w:rPr>
          <w:rStyle w:val="27"/>
          <w:rFonts w:hint="eastAsia" w:hAnsi="仿宋_GB2312" w:cs="仿宋_GB2312"/>
          <w:b w:val="0"/>
          <w:szCs w:val="28"/>
        </w:rPr>
      </w:pPr>
      <w:r>
        <w:rPr>
          <w:rStyle w:val="27"/>
          <w:rFonts w:hint="eastAsia" w:hAnsi="仿宋_GB2312" w:cs="仿宋_GB2312"/>
          <w:b w:val="0"/>
          <w:szCs w:val="28"/>
        </w:rPr>
        <w:t>联系人：</w:t>
      </w:r>
      <w:r>
        <w:rPr>
          <w:rStyle w:val="27"/>
          <w:rFonts w:hint="eastAsia" w:hAnsi="仿宋_GB2312" w:cs="仿宋_GB2312"/>
          <w:b w:val="0"/>
          <w:szCs w:val="28"/>
          <w:u w:val="single"/>
        </w:rPr>
        <w:t xml:space="preserve">         </w:t>
      </w:r>
      <w:r>
        <w:rPr>
          <w:rStyle w:val="27"/>
          <w:rFonts w:hint="eastAsia" w:hAnsi="仿宋_GB2312" w:cs="仿宋_GB2312"/>
          <w:b w:val="0"/>
          <w:szCs w:val="28"/>
        </w:rPr>
        <w:t>办公电话：</w:t>
      </w:r>
      <w:r>
        <w:rPr>
          <w:rStyle w:val="27"/>
          <w:rFonts w:hint="eastAsia" w:hAnsi="仿宋_GB2312" w:cs="仿宋_GB2312"/>
          <w:b w:val="0"/>
          <w:szCs w:val="28"/>
          <w:u w:val="single"/>
        </w:rPr>
        <w:t xml:space="preserve">          </w:t>
      </w:r>
      <w:r>
        <w:rPr>
          <w:rStyle w:val="27"/>
          <w:rFonts w:hint="eastAsia" w:hAnsi="仿宋_GB2312" w:cs="仿宋_GB2312"/>
          <w:b w:val="0"/>
          <w:szCs w:val="28"/>
        </w:rPr>
        <w:t>移动电话：</w:t>
      </w:r>
      <w:r>
        <w:rPr>
          <w:rStyle w:val="27"/>
          <w:rFonts w:hint="eastAsia" w:hAnsi="仿宋_GB2312" w:cs="仿宋_GB2312"/>
          <w:b w:val="0"/>
          <w:szCs w:val="28"/>
          <w:u w:val="single"/>
        </w:rPr>
        <w:t xml:space="preserve">        </w:t>
      </w:r>
    </w:p>
    <w:p>
      <w:pPr>
        <w:pStyle w:val="11"/>
        <w:spacing w:after="0" w:line="600" w:lineRule="exact"/>
        <w:rPr>
          <w:rFonts w:hint="eastAsia" w:hAnsi="仿宋_GB2312" w:cs="仿宋_GB2312"/>
          <w:szCs w:val="28"/>
          <w:u w:val="thick"/>
        </w:rPr>
      </w:pPr>
    </w:p>
    <w:p>
      <w:pPr>
        <w:pStyle w:val="11"/>
        <w:spacing w:after="0"/>
        <w:rPr>
          <w:rFonts w:hint="eastAsia" w:hAnsi="仿宋_GB2312" w:cs="仿宋_GB2312"/>
          <w:szCs w:val="28"/>
          <w:u w:val="thick"/>
        </w:rPr>
      </w:pPr>
    </w:p>
    <w:p>
      <w:pPr>
        <w:pStyle w:val="11"/>
        <w:spacing w:after="0"/>
        <w:rPr>
          <w:rFonts w:hint="eastAsia" w:hAnsi="仿宋_GB2312" w:cs="仿宋_GB2312"/>
          <w:szCs w:val="28"/>
          <w:u w:val="thick"/>
        </w:rPr>
      </w:pPr>
    </w:p>
    <w:p>
      <w:pPr>
        <w:tabs>
          <w:tab w:val="left" w:pos="720"/>
        </w:tabs>
        <w:adjustRightInd w:val="0"/>
        <w:snapToGrid w:val="0"/>
        <w:rPr>
          <w:rFonts w:hint="eastAsia" w:ascii="仿宋_GB2312" w:hAnsi="仿宋_GB2312" w:eastAsia="仿宋_GB2312" w:cs="仿宋_GB2312"/>
          <w:bCs/>
          <w:szCs w:val="21"/>
        </w:rPr>
      </w:pPr>
      <w:r>
        <w:rPr>
          <w:rFonts w:hint="eastAsia" w:ascii="仿宋_GB2312" w:hAnsi="仿宋_GB2312" w:eastAsia="仿宋_GB2312" w:cs="仿宋_GB2312"/>
          <w:szCs w:val="21"/>
        </w:rPr>
        <w:t>说明：标书名称应当与所包装的标书相同。</w:t>
      </w:r>
    </w:p>
    <w:p>
      <w:pPr>
        <w:pStyle w:val="11"/>
        <w:spacing w:after="0"/>
        <w:jc w:val="center"/>
        <w:rPr>
          <w:rFonts w:hint="eastAsia" w:hAnsi="仿宋_GB2312" w:cs="仿宋_GB2312"/>
          <w:szCs w:val="28"/>
        </w:rPr>
      </w:pPr>
      <w:r>
        <w:rPr>
          <w:rFonts w:hint="eastAsia" w:hAnsi="仿宋_GB2312" w:cs="仿宋_GB2312"/>
        </w:rPr>
        <w:br w:type="page"/>
      </w:r>
      <w:r>
        <w:rPr>
          <w:rStyle w:val="27"/>
          <w:rFonts w:hint="eastAsia" w:hAnsi="仿宋_GB2312" w:cs="仿宋_GB2312"/>
          <w:b w:val="0"/>
          <w:spacing w:val="0"/>
          <w:kern w:val="0"/>
          <w:sz w:val="44"/>
          <w:szCs w:val="44"/>
        </w:rPr>
        <w:t>标书封面</w:t>
      </w:r>
    </w:p>
    <w:p>
      <w:pPr>
        <w:pStyle w:val="11"/>
        <w:spacing w:after="0"/>
        <w:jc w:val="right"/>
        <w:rPr>
          <w:rFonts w:hint="eastAsia" w:hAnsi="仿宋_GB2312" w:cs="仿宋_GB2312"/>
          <w:spacing w:val="120"/>
          <w:sz w:val="52"/>
          <w:szCs w:val="52"/>
        </w:rPr>
      </w:pPr>
    </w:p>
    <w:p>
      <w:pPr>
        <w:pStyle w:val="11"/>
        <w:jc w:val="center"/>
        <w:rPr>
          <w:rFonts w:hint="eastAsia" w:hAnsi="仿宋_GB2312" w:cs="仿宋_GB2312"/>
          <w:spacing w:val="120"/>
          <w:sz w:val="52"/>
          <w:szCs w:val="52"/>
        </w:rPr>
      </w:pPr>
      <w:r>
        <w:rPr>
          <w:rFonts w:hint="eastAsia" w:hAnsi="仿宋_GB2312" w:cs="仿宋_GB2312"/>
          <w:spacing w:val="120"/>
          <w:sz w:val="52"/>
          <w:szCs w:val="52"/>
        </w:rPr>
        <w:t>响应文件</w:t>
      </w:r>
    </w:p>
    <w:p>
      <w:pPr>
        <w:pStyle w:val="11"/>
        <w:jc w:val="center"/>
        <w:rPr>
          <w:rFonts w:hint="eastAsia" w:hAnsi="仿宋_GB2312" w:cs="仿宋_GB2312"/>
          <w:spacing w:val="30"/>
          <w:sz w:val="21"/>
          <w:szCs w:val="21"/>
        </w:rPr>
      </w:pPr>
    </w:p>
    <w:p>
      <w:pPr>
        <w:pStyle w:val="11"/>
        <w:jc w:val="center"/>
        <w:rPr>
          <w:rFonts w:hint="eastAsia" w:hAnsi="仿宋_GB2312" w:cs="仿宋_GB2312"/>
          <w:spacing w:val="30"/>
          <w:sz w:val="32"/>
          <w:szCs w:val="32"/>
        </w:rPr>
      </w:pPr>
      <w:r>
        <w:rPr>
          <w:rFonts w:hint="eastAsia" w:hAnsi="仿宋_GB2312" w:cs="仿宋_GB2312"/>
          <w:spacing w:val="30"/>
          <w:sz w:val="32"/>
          <w:szCs w:val="32"/>
        </w:rPr>
        <w:t>（□正本  □副本）</w:t>
      </w:r>
    </w:p>
    <w:p>
      <w:pPr>
        <w:pStyle w:val="11"/>
        <w:rPr>
          <w:rFonts w:hint="eastAsia" w:hAnsi="仿宋_GB2312" w:cs="仿宋_GB2312"/>
          <w:sz w:val="32"/>
        </w:rPr>
      </w:pPr>
    </w:p>
    <w:p>
      <w:pPr>
        <w:pStyle w:val="11"/>
        <w:spacing w:after="0" w:line="800" w:lineRule="exact"/>
        <w:rPr>
          <w:rFonts w:hint="eastAsia" w:hAnsi="仿宋_GB2312" w:cs="仿宋_GB2312"/>
          <w:szCs w:val="28"/>
          <w:u w:val="single"/>
        </w:rPr>
      </w:pPr>
      <w:r>
        <w:rPr>
          <w:rFonts w:hint="eastAsia" w:hAnsi="仿宋_GB2312" w:cs="仿宋_GB2312"/>
          <w:szCs w:val="28"/>
        </w:rPr>
        <w:t>项目名称：</w:t>
      </w:r>
      <w:r>
        <w:rPr>
          <w:rFonts w:hint="eastAsia" w:hAnsi="仿宋_GB2312" w:cs="仿宋_GB2312"/>
          <w:szCs w:val="28"/>
          <w:u w:val="single"/>
        </w:rPr>
        <w:t xml:space="preserve">                                          </w:t>
      </w:r>
    </w:p>
    <w:p>
      <w:pPr>
        <w:pStyle w:val="11"/>
        <w:spacing w:after="0" w:line="800" w:lineRule="exact"/>
        <w:rPr>
          <w:rFonts w:hint="eastAsia" w:hAnsi="仿宋_GB2312" w:cs="仿宋_GB2312"/>
          <w:szCs w:val="28"/>
        </w:rPr>
      </w:pPr>
      <w:r>
        <w:rPr>
          <w:rFonts w:hint="eastAsia" w:hAnsi="仿宋_GB2312" w:cs="仿宋_GB2312"/>
          <w:szCs w:val="28"/>
        </w:rPr>
        <w:t>项目编号：</w:t>
      </w:r>
      <w:r>
        <w:rPr>
          <w:rFonts w:hint="eastAsia" w:hAnsi="仿宋_GB2312" w:cs="仿宋_GB2312"/>
          <w:szCs w:val="28"/>
          <w:u w:val="single"/>
        </w:rPr>
        <w:t xml:space="preserve">                                          </w:t>
      </w:r>
    </w:p>
    <w:p>
      <w:pPr>
        <w:pStyle w:val="11"/>
        <w:spacing w:after="0" w:line="800" w:lineRule="exact"/>
        <w:rPr>
          <w:rStyle w:val="27"/>
          <w:rFonts w:hint="eastAsia" w:hAnsi="仿宋_GB2312" w:cs="仿宋_GB2312"/>
          <w:b w:val="0"/>
          <w:szCs w:val="28"/>
        </w:rPr>
      </w:pPr>
      <w:r>
        <w:rPr>
          <w:rStyle w:val="27"/>
          <w:rFonts w:hint="eastAsia" w:hAnsi="仿宋_GB2312" w:cs="仿宋_GB2312"/>
          <w:b w:val="0"/>
          <w:szCs w:val="28"/>
        </w:rPr>
        <w:t>响应人（法人公章）：</w:t>
      </w:r>
      <w:r>
        <w:rPr>
          <w:rStyle w:val="27"/>
          <w:rFonts w:hint="eastAsia" w:hAnsi="仿宋_GB2312" w:cs="仿宋_GB2312"/>
          <w:b w:val="0"/>
          <w:szCs w:val="28"/>
          <w:u w:val="single"/>
        </w:rPr>
        <w:t xml:space="preserve">                                        </w:t>
      </w:r>
    </w:p>
    <w:p>
      <w:pPr>
        <w:pStyle w:val="11"/>
        <w:spacing w:after="0" w:line="800" w:lineRule="exact"/>
        <w:rPr>
          <w:rStyle w:val="27"/>
          <w:rFonts w:hint="eastAsia" w:hAnsi="仿宋_GB2312" w:cs="仿宋_GB2312"/>
          <w:b w:val="0"/>
          <w:szCs w:val="28"/>
          <w:u w:val="single"/>
        </w:rPr>
      </w:pPr>
      <w:r>
        <w:rPr>
          <w:rStyle w:val="27"/>
          <w:rFonts w:hint="eastAsia" w:hAnsi="仿宋_GB2312" w:cs="仿宋_GB2312"/>
          <w:b w:val="0"/>
          <w:szCs w:val="28"/>
        </w:rPr>
        <w:t>法定代表人或响应人授权代表（签名或盖章）：</w:t>
      </w:r>
      <w:r>
        <w:rPr>
          <w:rStyle w:val="27"/>
          <w:rFonts w:hint="eastAsia" w:hAnsi="仿宋_GB2312" w:cs="仿宋_GB2312"/>
          <w:b w:val="0"/>
          <w:szCs w:val="28"/>
          <w:u w:val="single"/>
        </w:rPr>
        <w:t xml:space="preserve">               </w:t>
      </w:r>
    </w:p>
    <w:p>
      <w:pPr>
        <w:pStyle w:val="11"/>
        <w:spacing w:after="0" w:line="800" w:lineRule="exact"/>
        <w:rPr>
          <w:rStyle w:val="27"/>
          <w:rFonts w:hint="eastAsia" w:hAnsi="仿宋_GB2312" w:cs="仿宋_GB2312"/>
          <w:b w:val="0"/>
          <w:szCs w:val="28"/>
          <w:u w:val="single"/>
        </w:rPr>
      </w:pPr>
      <w:r>
        <w:rPr>
          <w:rStyle w:val="27"/>
          <w:rFonts w:hint="eastAsia" w:hAnsi="仿宋_GB2312" w:cs="仿宋_GB2312"/>
          <w:b w:val="0"/>
          <w:szCs w:val="28"/>
        </w:rPr>
        <w:t>住所/地址：</w:t>
      </w:r>
      <w:r>
        <w:rPr>
          <w:rStyle w:val="27"/>
          <w:rFonts w:hint="eastAsia" w:hAnsi="仿宋_GB2312" w:cs="仿宋_GB2312"/>
          <w:b w:val="0"/>
          <w:szCs w:val="28"/>
          <w:u w:val="single"/>
        </w:rPr>
        <w:t xml:space="preserve">                                         </w:t>
      </w:r>
    </w:p>
    <w:p>
      <w:pPr>
        <w:pStyle w:val="11"/>
        <w:spacing w:after="0" w:line="800" w:lineRule="exact"/>
        <w:rPr>
          <w:rStyle w:val="27"/>
          <w:rFonts w:hint="eastAsia" w:hAnsi="仿宋_GB2312" w:cs="仿宋_GB2312"/>
          <w:b w:val="0"/>
        </w:rPr>
      </w:pPr>
      <w:r>
        <w:rPr>
          <w:rStyle w:val="27"/>
          <w:rFonts w:hint="eastAsia" w:hAnsi="仿宋_GB2312" w:cs="仿宋_GB2312"/>
          <w:b w:val="0"/>
          <w:szCs w:val="28"/>
        </w:rPr>
        <w:t>联系人：</w:t>
      </w:r>
      <w:r>
        <w:rPr>
          <w:rStyle w:val="27"/>
          <w:rFonts w:hint="eastAsia" w:hAnsi="仿宋_GB2312" w:cs="仿宋_GB2312"/>
          <w:b w:val="0"/>
          <w:szCs w:val="28"/>
          <w:u w:val="single"/>
        </w:rPr>
        <w:t xml:space="preserve">         </w:t>
      </w:r>
      <w:r>
        <w:rPr>
          <w:rStyle w:val="27"/>
          <w:rFonts w:hint="eastAsia" w:hAnsi="仿宋_GB2312" w:cs="仿宋_GB2312"/>
          <w:b w:val="0"/>
          <w:szCs w:val="28"/>
        </w:rPr>
        <w:t>办公电话：</w:t>
      </w:r>
      <w:r>
        <w:rPr>
          <w:rStyle w:val="27"/>
          <w:rFonts w:hint="eastAsia" w:hAnsi="仿宋_GB2312" w:cs="仿宋_GB2312"/>
          <w:b w:val="0"/>
          <w:szCs w:val="28"/>
          <w:u w:val="single"/>
        </w:rPr>
        <w:t xml:space="preserve">          </w:t>
      </w:r>
      <w:r>
        <w:rPr>
          <w:rStyle w:val="27"/>
          <w:rFonts w:hint="eastAsia" w:hAnsi="仿宋_GB2312" w:cs="仿宋_GB2312"/>
          <w:b w:val="0"/>
          <w:szCs w:val="28"/>
        </w:rPr>
        <w:t>移动电话：</w:t>
      </w:r>
      <w:r>
        <w:rPr>
          <w:rStyle w:val="27"/>
          <w:rFonts w:hint="eastAsia" w:hAnsi="仿宋_GB2312" w:cs="仿宋_GB2312"/>
          <w:b w:val="0"/>
          <w:szCs w:val="28"/>
          <w:u w:val="single"/>
        </w:rPr>
        <w:t xml:space="preserve">       </w:t>
      </w:r>
    </w:p>
    <w:p>
      <w:pPr>
        <w:pStyle w:val="11"/>
        <w:spacing w:after="0" w:line="800" w:lineRule="exact"/>
        <w:rPr>
          <w:rStyle w:val="27"/>
          <w:rFonts w:hint="eastAsia" w:hAnsi="仿宋_GB2312" w:cs="仿宋_GB2312"/>
          <w:b w:val="0"/>
        </w:rPr>
      </w:pPr>
    </w:p>
    <w:p>
      <w:pPr>
        <w:pStyle w:val="11"/>
        <w:spacing w:after="0" w:line="800" w:lineRule="exact"/>
        <w:rPr>
          <w:rStyle w:val="27"/>
          <w:rFonts w:hint="eastAsia" w:hAnsi="仿宋_GB2312" w:cs="仿宋_GB2312"/>
          <w:b w:val="0"/>
        </w:rPr>
      </w:pPr>
    </w:p>
    <w:p>
      <w:pPr>
        <w:pStyle w:val="11"/>
        <w:shd w:val="clear" w:color="auto" w:fill="FFFFFF"/>
        <w:spacing w:after="0" w:line="800" w:lineRule="exact"/>
        <w:rPr>
          <w:rStyle w:val="27"/>
          <w:rFonts w:hint="eastAsia" w:hAnsi="仿宋_GB2312" w:cs="仿宋_GB2312"/>
          <w:b w:val="0"/>
        </w:rPr>
      </w:pPr>
    </w:p>
    <w:p>
      <w:pPr>
        <w:pStyle w:val="11"/>
        <w:shd w:val="clear" w:color="auto" w:fill="FFFFFF"/>
        <w:spacing w:after="0" w:line="800" w:lineRule="exact"/>
        <w:rPr>
          <w:rStyle w:val="27"/>
          <w:rFonts w:hint="eastAsia" w:hAnsi="仿宋_GB2312" w:cs="仿宋_GB2312"/>
          <w:b w:val="0"/>
        </w:rPr>
      </w:pPr>
    </w:p>
    <w:p>
      <w:pPr>
        <w:rPr>
          <w:rFonts w:hint="eastAsia" w:ascii="仿宋_GB2312" w:hAnsi="仿宋_GB2312" w:eastAsia="仿宋_GB2312" w:cs="仿宋_GB2312"/>
        </w:rPr>
      </w:pPr>
    </w:p>
    <w:p>
      <w:pPr>
        <w:rPr>
          <w:rFonts w:hint="eastAsia" w:ascii="仿宋_GB2312" w:hAnsi="仿宋_GB2312" w:eastAsia="仿宋_GB2312" w:cs="仿宋_GB2312"/>
        </w:rPr>
      </w:pPr>
    </w:p>
    <w:p>
      <w:pPr>
        <w:pStyle w:val="11"/>
        <w:spacing w:after="0" w:line="800" w:lineRule="exact"/>
        <w:rPr>
          <w:rFonts w:hint="eastAsia" w:hAnsi="仿宋_GB2312" w:cs="仿宋_GB2312"/>
          <w:bCs/>
          <w:szCs w:val="28"/>
        </w:rPr>
      </w:pPr>
    </w:p>
    <w:sectPr>
      <w:headerReference r:id="rId5" w:type="first"/>
      <w:footerReference r:id="rId8" w:type="first"/>
      <w:headerReference r:id="rId3" w:type="default"/>
      <w:footerReference r:id="rId6" w:type="default"/>
      <w:headerReference r:id="rId4" w:type="even"/>
      <w:footerReference r:id="rId7" w:type="even"/>
      <w:pgSz w:w="11906" w:h="16838"/>
      <w:pgMar w:top="1276" w:right="1489" w:bottom="1440" w:left="1797" w:header="851" w:footer="992" w:gutter="0"/>
      <w:pgBorders>
        <w:top w:val="none" w:sz="0" w:space="0"/>
        <w:left w:val="none" w:sz="0" w:space="0"/>
        <w:bottom w:val="none" w:sz="0" w:space="0"/>
        <w:right w:val="none" w:sz="0" w:space="0"/>
      </w:pgBorders>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Century Gothic">
    <w:panose1 w:val="020B0502020202020204"/>
    <w:charset w:val="00"/>
    <w:family w:val="swiss"/>
    <w:pitch w:val="default"/>
    <w:sig w:usb0="00000287" w:usb1="00000000" w:usb2="00000000" w:usb3="00000000" w:csb0="2000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center"/>
    </w:pPr>
    <w:r>
      <w:fldChar w:fldCharType="begin"/>
    </w:r>
    <w:r>
      <w:instrText xml:space="preserve"> PAGE   \* MERGEFORMAT </w:instrText>
    </w:r>
    <w:r>
      <w:fldChar w:fldCharType="separate"/>
    </w:r>
    <w:r>
      <w:rPr>
        <w:lang w:val="zh-CN"/>
      </w:rPr>
      <w:t>28</w:t>
    </w:r>
    <w:r>
      <w:rPr>
        <w:lang w:val="zh-CN"/>
      </w:rPr>
      <w:fldChar w:fldCharType="end"/>
    </w:r>
  </w:p>
  <w:p>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pPr>
  </w:p>
  <w:p>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4B999"/>
    <w:multiLevelType w:val="singleLevel"/>
    <w:tmpl w:val="AFF4B999"/>
    <w:lvl w:ilvl="0" w:tentative="0">
      <w:start w:val="1"/>
      <w:numFmt w:val="decimal"/>
      <w:suff w:val="nothing"/>
      <w:lvlText w:val="（%1）"/>
      <w:lvlJc w:val="left"/>
    </w:lvl>
  </w:abstractNum>
  <w:abstractNum w:abstractNumId="1">
    <w:nsid w:val="CFD0172A"/>
    <w:multiLevelType w:val="singleLevel"/>
    <w:tmpl w:val="CFD0172A"/>
    <w:lvl w:ilvl="0" w:tentative="0">
      <w:start w:val="1"/>
      <w:numFmt w:val="decimal"/>
      <w:suff w:val="nothing"/>
      <w:lvlText w:val="%1、"/>
      <w:lvlJc w:val="left"/>
    </w:lvl>
  </w:abstractNum>
  <w:abstractNum w:abstractNumId="2">
    <w:nsid w:val="D4971975"/>
    <w:multiLevelType w:val="singleLevel"/>
    <w:tmpl w:val="D4971975"/>
    <w:lvl w:ilvl="0" w:tentative="0">
      <w:start w:val="1"/>
      <w:numFmt w:val="decimal"/>
      <w:suff w:val="nothing"/>
      <w:lvlText w:val="%1、"/>
      <w:lvlJc w:val="left"/>
    </w:lvl>
  </w:abstractNum>
  <w:abstractNum w:abstractNumId="3">
    <w:nsid w:val="F02940B2"/>
    <w:multiLevelType w:val="singleLevel"/>
    <w:tmpl w:val="F02940B2"/>
    <w:lvl w:ilvl="0" w:tentative="0">
      <w:start w:val="1"/>
      <w:numFmt w:val="decimal"/>
      <w:suff w:val="nothing"/>
      <w:lvlText w:val="（%1）"/>
      <w:lvlJc w:val="left"/>
    </w:lvl>
  </w:abstractNum>
  <w:abstractNum w:abstractNumId="4">
    <w:nsid w:val="F2D97A51"/>
    <w:multiLevelType w:val="singleLevel"/>
    <w:tmpl w:val="F2D97A51"/>
    <w:lvl w:ilvl="0" w:tentative="0">
      <w:start w:val="1"/>
      <w:numFmt w:val="decimal"/>
      <w:suff w:val="nothing"/>
      <w:lvlText w:val="%1、"/>
      <w:lvlJc w:val="left"/>
    </w:lvl>
  </w:abstractNum>
  <w:abstractNum w:abstractNumId="5">
    <w:nsid w:val="00000014"/>
    <w:multiLevelType w:val="multilevel"/>
    <w:tmpl w:val="00000014"/>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10644A1F"/>
    <w:multiLevelType w:val="singleLevel"/>
    <w:tmpl w:val="10644A1F"/>
    <w:lvl w:ilvl="0" w:tentative="0">
      <w:start w:val="1"/>
      <w:numFmt w:val="decimal"/>
      <w:suff w:val="nothing"/>
      <w:lvlText w:val="%1、"/>
      <w:lvlJc w:val="left"/>
    </w:lvl>
  </w:abstractNum>
  <w:abstractNum w:abstractNumId="7">
    <w:nsid w:val="3A24442D"/>
    <w:multiLevelType w:val="multilevel"/>
    <w:tmpl w:val="3A24442D"/>
    <w:lvl w:ilvl="0" w:tentative="0">
      <w:start w:val="2"/>
      <w:numFmt w:val="decimal"/>
      <w:pStyle w:val="4"/>
      <w:lvlText w:val="%1"/>
      <w:lvlJc w:val="left"/>
      <w:pPr>
        <w:tabs>
          <w:tab w:val="left" w:pos="630"/>
        </w:tabs>
        <w:ind w:left="630" w:hanging="630"/>
      </w:pPr>
      <w:rPr>
        <w:rFonts w:hint="default" w:cs="Times New Roman"/>
      </w:rPr>
    </w:lvl>
    <w:lvl w:ilvl="1" w:tentative="0">
      <w:start w:val="1"/>
      <w:numFmt w:val="decimal"/>
      <w:lvlText w:val="%1.%2"/>
      <w:lvlJc w:val="left"/>
      <w:pPr>
        <w:tabs>
          <w:tab w:val="left" w:pos="630"/>
        </w:tabs>
        <w:ind w:left="630" w:hanging="630"/>
      </w:pPr>
      <w:rPr>
        <w:rFonts w:hint="default" w:cs="Times New Roman"/>
      </w:rPr>
    </w:lvl>
    <w:lvl w:ilvl="2" w:tentative="0">
      <w:start w:val="1"/>
      <w:numFmt w:val="decimal"/>
      <w:lvlText w:val="%1.%2.%3"/>
      <w:lvlJc w:val="left"/>
      <w:pPr>
        <w:tabs>
          <w:tab w:val="left" w:pos="720"/>
        </w:tabs>
        <w:ind w:left="720" w:hanging="720"/>
      </w:pPr>
      <w:rPr>
        <w:rFonts w:hint="default" w:cs="Times New Roman"/>
      </w:rPr>
    </w:lvl>
    <w:lvl w:ilvl="3" w:tentative="0">
      <w:start w:val="1"/>
      <w:numFmt w:val="decimal"/>
      <w:lvlText w:val="%1.%2.%3.%4"/>
      <w:lvlJc w:val="left"/>
      <w:pPr>
        <w:tabs>
          <w:tab w:val="left" w:pos="1080"/>
        </w:tabs>
        <w:ind w:left="1080" w:hanging="108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440"/>
        </w:tabs>
        <w:ind w:left="1440" w:hanging="144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800"/>
        </w:tabs>
        <w:ind w:left="1800" w:hanging="180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8">
    <w:nsid w:val="48800F0F"/>
    <w:multiLevelType w:val="multilevel"/>
    <w:tmpl w:val="48800F0F"/>
    <w:lvl w:ilvl="0" w:tentative="0">
      <w:start w:val="1"/>
      <w:numFmt w:val="decimal"/>
      <w:pStyle w:val="61"/>
      <w:lvlText w:val="%1."/>
      <w:lvlJc w:val="left"/>
      <w:pPr>
        <w:tabs>
          <w:tab w:val="left" w:pos="425"/>
        </w:tabs>
        <w:ind w:left="425" w:hanging="425"/>
      </w:pPr>
      <w:rPr>
        <w:rFonts w:hint="eastAsia" w:cs="Times New Roman"/>
      </w:rPr>
    </w:lvl>
    <w:lvl w:ilvl="1" w:tentative="0">
      <w:start w:val="1"/>
      <w:numFmt w:val="decimal"/>
      <w:lvlText w:val="%1.%2."/>
      <w:lvlJc w:val="left"/>
      <w:pPr>
        <w:tabs>
          <w:tab w:val="left" w:pos="992"/>
        </w:tabs>
        <w:ind w:left="992" w:hanging="567"/>
      </w:pPr>
      <w:rPr>
        <w:rFonts w:hint="eastAsia" w:cs="Times New Roman"/>
      </w:rPr>
    </w:lvl>
    <w:lvl w:ilvl="2" w:tentative="0">
      <w:start w:val="1"/>
      <w:numFmt w:val="decimal"/>
      <w:lvlText w:val="%1.%2.%3"/>
      <w:lvlJc w:val="left"/>
      <w:pPr>
        <w:tabs>
          <w:tab w:val="left" w:pos="1418"/>
        </w:tabs>
        <w:ind w:left="1418" w:hanging="567"/>
      </w:pPr>
      <w:rPr>
        <w:rFonts w:hint="eastAsia" w:cs="Times New Roman"/>
      </w:rPr>
    </w:lvl>
    <w:lvl w:ilvl="3" w:tentative="0">
      <w:start w:val="1"/>
      <w:numFmt w:val="decimal"/>
      <w:pStyle w:val="60"/>
      <w:lvlText w:val="%1.%2.%3.%4"/>
      <w:lvlJc w:val="left"/>
      <w:pPr>
        <w:tabs>
          <w:tab w:val="left" w:pos="2328"/>
        </w:tabs>
        <w:ind w:left="2328" w:hanging="708"/>
      </w:pPr>
      <w:rPr>
        <w:rFonts w:hint="eastAsia" w:cs="Times New Roman"/>
      </w:rPr>
    </w:lvl>
    <w:lvl w:ilvl="4" w:tentative="0">
      <w:start w:val="1"/>
      <w:numFmt w:val="decimal"/>
      <w:lvlText w:val="%1.%2.%3.%4.%5"/>
      <w:lvlJc w:val="left"/>
      <w:pPr>
        <w:tabs>
          <w:tab w:val="left" w:pos="2551"/>
        </w:tabs>
        <w:ind w:left="2551" w:hanging="850"/>
      </w:pPr>
      <w:rPr>
        <w:rFonts w:hint="eastAsia" w:cs="Times New Roman"/>
      </w:rPr>
    </w:lvl>
    <w:lvl w:ilvl="5" w:tentative="0">
      <w:start w:val="1"/>
      <w:numFmt w:val="decimal"/>
      <w:lvlText w:val="%1.%2.%3.%4.%5.%6"/>
      <w:lvlJc w:val="left"/>
      <w:pPr>
        <w:tabs>
          <w:tab w:val="left" w:pos="3260"/>
        </w:tabs>
        <w:ind w:left="3260" w:hanging="1134"/>
      </w:pPr>
      <w:rPr>
        <w:rFonts w:hint="eastAsia" w:cs="Times New Roman"/>
      </w:rPr>
    </w:lvl>
    <w:lvl w:ilvl="6" w:tentative="0">
      <w:start w:val="1"/>
      <w:numFmt w:val="decimal"/>
      <w:lvlText w:val="%1.%2.%3.%4.%5.%6.%7"/>
      <w:lvlJc w:val="left"/>
      <w:pPr>
        <w:tabs>
          <w:tab w:val="left" w:pos="3827"/>
        </w:tabs>
        <w:ind w:left="3827" w:hanging="1276"/>
      </w:pPr>
      <w:rPr>
        <w:rFonts w:hint="eastAsia" w:cs="Times New Roman"/>
      </w:rPr>
    </w:lvl>
    <w:lvl w:ilvl="7" w:tentative="0">
      <w:start w:val="1"/>
      <w:numFmt w:val="decimal"/>
      <w:lvlText w:val="%1.%2.%3.%4.%5.%6.%7.%8"/>
      <w:lvlJc w:val="left"/>
      <w:pPr>
        <w:tabs>
          <w:tab w:val="left" w:pos="4394"/>
        </w:tabs>
        <w:ind w:left="4394" w:hanging="1418"/>
      </w:pPr>
      <w:rPr>
        <w:rFonts w:hint="eastAsia" w:cs="Times New Roman"/>
      </w:rPr>
    </w:lvl>
    <w:lvl w:ilvl="8" w:tentative="0">
      <w:start w:val="1"/>
      <w:numFmt w:val="decimal"/>
      <w:lvlText w:val="%1.%2.%3.%4.%5.%6.%7.%8.%9"/>
      <w:lvlJc w:val="left"/>
      <w:pPr>
        <w:tabs>
          <w:tab w:val="left" w:pos="5102"/>
        </w:tabs>
        <w:ind w:left="5102" w:hanging="1700"/>
      </w:pPr>
      <w:rPr>
        <w:rFonts w:hint="eastAsia" w:cs="Times New Roman"/>
      </w:rPr>
    </w:lvl>
  </w:abstractNum>
  <w:abstractNum w:abstractNumId="9">
    <w:nsid w:val="4D8940A5"/>
    <w:multiLevelType w:val="multilevel"/>
    <w:tmpl w:val="4D8940A5"/>
    <w:lvl w:ilvl="0" w:tentative="0">
      <w:start w:val="1"/>
      <w:numFmt w:val="decimal"/>
      <w:lvlText w:val="%1."/>
      <w:lvlJc w:val="left"/>
      <w:pPr>
        <w:tabs>
          <w:tab w:val="left" w:pos="425"/>
        </w:tabs>
        <w:ind w:left="425" w:hanging="425"/>
      </w:pPr>
      <w:rPr>
        <w:rFonts w:cs="Times New Roman"/>
      </w:rPr>
    </w:lvl>
    <w:lvl w:ilvl="1" w:tentative="0">
      <w:start w:val="1"/>
      <w:numFmt w:val="decimal"/>
      <w:lvlText w:val="%1.%2."/>
      <w:lvlJc w:val="left"/>
      <w:pPr>
        <w:tabs>
          <w:tab w:val="left" w:pos="567"/>
        </w:tabs>
        <w:ind w:left="567" w:hanging="567"/>
      </w:pPr>
      <w:rPr>
        <w:rFonts w:cs="Times New Roman"/>
      </w:rPr>
    </w:lvl>
    <w:lvl w:ilvl="2" w:tentative="0">
      <w:start w:val="1"/>
      <w:numFmt w:val="decimal"/>
      <w:lvlText w:val="%1.%2.%3."/>
      <w:lvlJc w:val="left"/>
      <w:pPr>
        <w:tabs>
          <w:tab w:val="left" w:pos="709"/>
        </w:tabs>
        <w:ind w:left="709" w:hanging="709"/>
      </w:pPr>
      <w:rPr>
        <w:rFonts w:cs="Times New Roman"/>
      </w:rPr>
    </w:lvl>
    <w:lvl w:ilvl="3" w:tentative="0">
      <w:start w:val="1"/>
      <w:numFmt w:val="decimal"/>
      <w:lvlText w:val="%1.%2.%3.%4."/>
      <w:lvlJc w:val="left"/>
      <w:pPr>
        <w:tabs>
          <w:tab w:val="left" w:pos="851"/>
        </w:tabs>
        <w:ind w:left="851" w:hanging="851"/>
      </w:pPr>
      <w:rPr>
        <w:rFonts w:cs="Times New Roman"/>
      </w:rPr>
    </w:lvl>
    <w:lvl w:ilvl="4" w:tentative="0">
      <w:start w:val="1"/>
      <w:numFmt w:val="decimal"/>
      <w:lvlText w:val="%1.%2.%3.%4.%5."/>
      <w:lvlJc w:val="left"/>
      <w:pPr>
        <w:tabs>
          <w:tab w:val="left" w:pos="992"/>
        </w:tabs>
        <w:ind w:left="992" w:hanging="992"/>
      </w:pPr>
      <w:rPr>
        <w:rFonts w:cs="Times New Roman"/>
      </w:rPr>
    </w:lvl>
    <w:lvl w:ilvl="5" w:tentative="0">
      <w:start w:val="1"/>
      <w:numFmt w:val="decimal"/>
      <w:lvlText w:val="%1.%2.%3.%4.%5.%6."/>
      <w:lvlJc w:val="left"/>
      <w:pPr>
        <w:tabs>
          <w:tab w:val="left" w:pos="1134"/>
        </w:tabs>
        <w:ind w:left="1134" w:hanging="1134"/>
      </w:pPr>
      <w:rPr>
        <w:rFonts w:cs="Times New Roman"/>
      </w:rPr>
    </w:lvl>
    <w:lvl w:ilvl="6" w:tentative="0">
      <w:start w:val="1"/>
      <w:numFmt w:val="decimal"/>
      <w:lvlText w:val="%1.%2.%3.%4.%5.%6.%7."/>
      <w:lvlJc w:val="left"/>
      <w:pPr>
        <w:tabs>
          <w:tab w:val="left" w:pos="1276"/>
        </w:tabs>
        <w:ind w:left="1276" w:hanging="1276"/>
      </w:pPr>
      <w:rPr>
        <w:rFonts w:cs="Times New Roman"/>
      </w:rPr>
    </w:lvl>
    <w:lvl w:ilvl="7" w:tentative="0">
      <w:start w:val="1"/>
      <w:numFmt w:val="decimal"/>
      <w:lvlText w:val="%1.%2.%3.%4.%5.%6.%7.%8."/>
      <w:lvlJc w:val="left"/>
      <w:pPr>
        <w:tabs>
          <w:tab w:val="left" w:pos="1418"/>
        </w:tabs>
        <w:ind w:left="1418" w:hanging="1418"/>
      </w:pPr>
      <w:rPr>
        <w:rFonts w:cs="Times New Roman"/>
      </w:rPr>
    </w:lvl>
    <w:lvl w:ilvl="8" w:tentative="0">
      <w:start w:val="1"/>
      <w:numFmt w:val="decimal"/>
      <w:lvlText w:val="%1.%2.%3.%4.%5.%6.%7.%8.%9."/>
      <w:lvlJc w:val="left"/>
      <w:pPr>
        <w:tabs>
          <w:tab w:val="left" w:pos="1559"/>
        </w:tabs>
        <w:ind w:left="1559" w:hanging="1559"/>
      </w:pPr>
      <w:rPr>
        <w:rFonts w:cs="Times New Roman"/>
      </w:rPr>
    </w:lvl>
  </w:abstractNum>
  <w:abstractNum w:abstractNumId="10">
    <w:nsid w:val="51242382"/>
    <w:multiLevelType w:val="multilevel"/>
    <w:tmpl w:val="51242382"/>
    <w:lvl w:ilvl="0" w:tentative="0">
      <w:start w:val="1"/>
      <w:numFmt w:val="decimal"/>
      <w:lvlText w:val="%1"/>
      <w:lvlJc w:val="left"/>
      <w:pPr>
        <w:tabs>
          <w:tab w:val="left" w:pos="360"/>
        </w:tabs>
        <w:ind w:left="360" w:hanging="360"/>
      </w:pPr>
      <w:rPr>
        <w:rFonts w:hint="eastAsia" w:ascii="宋体" w:hAnsi="宋体" w:eastAsia="宋体" w:cs="Times New Roman"/>
        <w:b/>
        <w:color w:val="auto"/>
      </w:rPr>
    </w:lvl>
    <w:lvl w:ilvl="1" w:tentative="0">
      <w:start w:val="1"/>
      <w:numFmt w:val="decimal"/>
      <w:lvlText w:val="%1.%2"/>
      <w:lvlJc w:val="left"/>
      <w:pPr>
        <w:tabs>
          <w:tab w:val="left" w:pos="360"/>
        </w:tabs>
        <w:ind w:left="360" w:hanging="360"/>
      </w:pPr>
      <w:rPr>
        <w:rFonts w:hint="default" w:ascii="宋体" w:hAnsi="宋体" w:eastAsia="宋体" w:cs="Times New Roman"/>
        <w:b w:val="0"/>
        <w:strike w:val="0"/>
        <w:color w:val="auto"/>
        <w:sz w:val="21"/>
        <w:szCs w:val="21"/>
      </w:rPr>
    </w:lvl>
    <w:lvl w:ilvl="2" w:tentative="0">
      <w:start w:val="1"/>
      <w:numFmt w:val="decimal"/>
      <w:lvlText w:val="%1.%2.%3"/>
      <w:lvlJc w:val="left"/>
      <w:pPr>
        <w:tabs>
          <w:tab w:val="left" w:pos="720"/>
        </w:tabs>
        <w:ind w:left="720" w:hanging="720"/>
      </w:pPr>
      <w:rPr>
        <w:rFonts w:hint="default" w:ascii="宋体" w:hAnsi="宋体" w:eastAsia="宋体" w:cs="Times New Roman"/>
        <w:b w:val="0"/>
        <w:bCs w:val="0"/>
        <w:sz w:val="21"/>
        <w:szCs w:val="21"/>
      </w:rPr>
    </w:lvl>
    <w:lvl w:ilvl="3" w:tentative="0">
      <w:start w:val="1"/>
      <w:numFmt w:val="decimal"/>
      <w:lvlText w:val="%1.%2.%3.%4"/>
      <w:lvlJc w:val="left"/>
      <w:pPr>
        <w:tabs>
          <w:tab w:val="left" w:pos="720"/>
        </w:tabs>
        <w:ind w:left="720" w:hanging="720"/>
      </w:pPr>
      <w:rPr>
        <w:rFonts w:hint="default" w:cs="Times New Roman"/>
        <w:sz w:val="21"/>
        <w:szCs w:val="21"/>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080"/>
        </w:tabs>
        <w:ind w:left="1080" w:hanging="1080"/>
      </w:pPr>
      <w:rPr>
        <w:rFonts w:hint="default" w:cs="Times New Roman"/>
      </w:rPr>
    </w:lvl>
    <w:lvl w:ilvl="6" w:tentative="0">
      <w:start w:val="1"/>
      <w:numFmt w:val="decimal"/>
      <w:lvlText w:val="%1.%2.%3.%4.%5.%6.%7"/>
      <w:lvlJc w:val="left"/>
      <w:pPr>
        <w:tabs>
          <w:tab w:val="left" w:pos="1080"/>
        </w:tabs>
        <w:ind w:left="1080" w:hanging="1080"/>
      </w:pPr>
      <w:rPr>
        <w:rFonts w:hint="default" w:cs="Times New Roman"/>
      </w:rPr>
    </w:lvl>
    <w:lvl w:ilvl="7" w:tentative="0">
      <w:start w:val="1"/>
      <w:numFmt w:val="decimal"/>
      <w:lvlText w:val="%1.%2.%3.%4.%5.%6.%7.%8"/>
      <w:lvlJc w:val="left"/>
      <w:pPr>
        <w:tabs>
          <w:tab w:val="left" w:pos="1440"/>
        </w:tabs>
        <w:ind w:left="1440" w:hanging="1440"/>
      </w:pPr>
      <w:rPr>
        <w:rFonts w:hint="default" w:cs="Times New Roman"/>
      </w:rPr>
    </w:lvl>
    <w:lvl w:ilvl="8" w:tentative="0">
      <w:start w:val="1"/>
      <w:numFmt w:val="decimal"/>
      <w:lvlText w:val="%1.%2.%3.%4.%5.%6.%7.%8.%9"/>
      <w:lvlJc w:val="left"/>
      <w:pPr>
        <w:tabs>
          <w:tab w:val="left" w:pos="1440"/>
        </w:tabs>
        <w:ind w:left="1440" w:hanging="1440"/>
      </w:pPr>
      <w:rPr>
        <w:rFonts w:hint="default" w:cs="Times New Roman"/>
      </w:rPr>
    </w:lvl>
  </w:abstractNum>
  <w:abstractNum w:abstractNumId="11">
    <w:nsid w:val="5AB238F2"/>
    <w:multiLevelType w:val="multilevel"/>
    <w:tmpl w:val="5AB238F2"/>
    <w:lvl w:ilvl="0" w:tentative="0">
      <w:start w:val="2"/>
      <w:numFmt w:val="decimal"/>
      <w:lvlText w:val="格式%1"/>
      <w:lvlJc w:val="left"/>
      <w:pPr>
        <w:tabs>
          <w:tab w:val="left" w:pos="780"/>
        </w:tabs>
        <w:ind w:left="780" w:hanging="420"/>
      </w:pPr>
      <w:rPr>
        <w:rFonts w:hint="eastAsia" w:ascii="黑体" w:eastAsia="黑体" w:cs="Times New Roman"/>
        <w:color w:val="auto"/>
        <w:sz w:val="28"/>
        <w:szCs w:val="28"/>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abstractNum w:abstractNumId="12">
    <w:nsid w:val="78D54744"/>
    <w:multiLevelType w:val="multilevel"/>
    <w:tmpl w:val="78D54744"/>
    <w:lvl w:ilvl="0" w:tentative="0">
      <w:start w:val="1"/>
      <w:numFmt w:val="decimal"/>
      <w:lvlText w:val="%1."/>
      <w:lvlJc w:val="left"/>
      <w:pPr>
        <w:tabs>
          <w:tab w:val="left" w:pos="928"/>
        </w:tabs>
        <w:ind w:left="928" w:hanging="360"/>
      </w:pPr>
      <w:rPr>
        <w:rFonts w:hint="default" w:ascii="宋体" w:hAnsi="宋体" w:eastAsia="宋体" w:cs="Times New Roman"/>
        <w:color w:val="auto"/>
      </w:rPr>
    </w:lvl>
    <w:lvl w:ilvl="1" w:tentative="0">
      <w:start w:val="1"/>
      <w:numFmt w:val="lowerLetter"/>
      <w:lvlText w:val="%2)"/>
      <w:lvlJc w:val="left"/>
      <w:pPr>
        <w:tabs>
          <w:tab w:val="left" w:pos="988"/>
        </w:tabs>
        <w:ind w:left="988" w:hanging="420"/>
      </w:pPr>
      <w:rPr>
        <w:rFonts w:cs="Times New Roman"/>
      </w:rPr>
    </w:lvl>
    <w:lvl w:ilvl="2" w:tentative="0">
      <w:start w:val="1"/>
      <w:numFmt w:val="lowerRoman"/>
      <w:lvlText w:val="%3."/>
      <w:lvlJc w:val="right"/>
      <w:pPr>
        <w:tabs>
          <w:tab w:val="left" w:pos="1408"/>
        </w:tabs>
        <w:ind w:left="1408" w:hanging="420"/>
      </w:pPr>
      <w:rPr>
        <w:rFonts w:cs="Times New Roman"/>
      </w:rPr>
    </w:lvl>
    <w:lvl w:ilvl="3" w:tentative="0">
      <w:start w:val="1"/>
      <w:numFmt w:val="decimal"/>
      <w:lvlText w:val="%4."/>
      <w:lvlJc w:val="left"/>
      <w:pPr>
        <w:tabs>
          <w:tab w:val="left" w:pos="1828"/>
        </w:tabs>
        <w:ind w:left="1828" w:hanging="420"/>
      </w:pPr>
      <w:rPr>
        <w:rFonts w:cs="Times New Roman"/>
      </w:rPr>
    </w:lvl>
    <w:lvl w:ilvl="4" w:tentative="0">
      <w:start w:val="1"/>
      <w:numFmt w:val="lowerLetter"/>
      <w:lvlText w:val="%5)"/>
      <w:lvlJc w:val="left"/>
      <w:pPr>
        <w:tabs>
          <w:tab w:val="left" w:pos="2248"/>
        </w:tabs>
        <w:ind w:left="2248" w:hanging="420"/>
      </w:pPr>
      <w:rPr>
        <w:rFonts w:cs="Times New Roman"/>
      </w:rPr>
    </w:lvl>
    <w:lvl w:ilvl="5" w:tentative="0">
      <w:start w:val="1"/>
      <w:numFmt w:val="lowerRoman"/>
      <w:lvlText w:val="%6."/>
      <w:lvlJc w:val="right"/>
      <w:pPr>
        <w:tabs>
          <w:tab w:val="left" w:pos="2668"/>
        </w:tabs>
        <w:ind w:left="2668" w:hanging="420"/>
      </w:pPr>
      <w:rPr>
        <w:rFonts w:cs="Times New Roman"/>
      </w:rPr>
    </w:lvl>
    <w:lvl w:ilvl="6" w:tentative="0">
      <w:start w:val="1"/>
      <w:numFmt w:val="decimal"/>
      <w:lvlText w:val="%7."/>
      <w:lvlJc w:val="left"/>
      <w:pPr>
        <w:tabs>
          <w:tab w:val="left" w:pos="3088"/>
        </w:tabs>
        <w:ind w:left="3088" w:hanging="420"/>
      </w:pPr>
      <w:rPr>
        <w:rFonts w:cs="Times New Roman"/>
      </w:rPr>
    </w:lvl>
    <w:lvl w:ilvl="7" w:tentative="0">
      <w:start w:val="1"/>
      <w:numFmt w:val="lowerLetter"/>
      <w:lvlText w:val="%8)"/>
      <w:lvlJc w:val="left"/>
      <w:pPr>
        <w:tabs>
          <w:tab w:val="left" w:pos="3508"/>
        </w:tabs>
        <w:ind w:left="3508" w:hanging="420"/>
      </w:pPr>
      <w:rPr>
        <w:rFonts w:cs="Times New Roman"/>
      </w:rPr>
    </w:lvl>
    <w:lvl w:ilvl="8" w:tentative="0">
      <w:start w:val="1"/>
      <w:numFmt w:val="lowerRoman"/>
      <w:lvlText w:val="%9."/>
      <w:lvlJc w:val="right"/>
      <w:pPr>
        <w:tabs>
          <w:tab w:val="left" w:pos="3928"/>
        </w:tabs>
        <w:ind w:left="3928" w:hanging="420"/>
      </w:pPr>
      <w:rPr>
        <w:rFonts w:cs="Times New Roman"/>
      </w:rPr>
    </w:lvl>
  </w:abstractNum>
  <w:abstractNum w:abstractNumId="13">
    <w:nsid w:val="7AA427DD"/>
    <w:multiLevelType w:val="multilevel"/>
    <w:tmpl w:val="7AA427DD"/>
    <w:lvl w:ilvl="0" w:tentative="0">
      <w:start w:val="1"/>
      <w:numFmt w:val="decimal"/>
      <w:lvlText w:val="%1"/>
      <w:lvlJc w:val="left"/>
      <w:pPr>
        <w:tabs>
          <w:tab w:val="left" w:pos="142"/>
        </w:tabs>
        <w:ind w:left="142" w:hanging="142"/>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4">
    <w:nsid w:val="7EF2CD1C"/>
    <w:multiLevelType w:val="singleLevel"/>
    <w:tmpl w:val="7EF2CD1C"/>
    <w:lvl w:ilvl="0" w:tentative="0">
      <w:start w:val="1"/>
      <w:numFmt w:val="decimal"/>
      <w:lvlText w:val="%1."/>
      <w:lvlJc w:val="left"/>
      <w:pPr>
        <w:tabs>
          <w:tab w:val="left" w:pos="312"/>
        </w:tabs>
      </w:pPr>
    </w:lvl>
  </w:abstractNum>
  <w:num w:numId="1">
    <w:abstractNumId w:val="7"/>
  </w:num>
  <w:num w:numId="2">
    <w:abstractNumId w:val="8"/>
  </w:num>
  <w:num w:numId="3">
    <w:abstractNumId w:val="1"/>
  </w:num>
  <w:num w:numId="4">
    <w:abstractNumId w:val="10"/>
  </w:num>
  <w:num w:numId="5">
    <w:abstractNumId w:val="4"/>
  </w:num>
  <w:num w:numId="6">
    <w:abstractNumId w:val="3"/>
  </w:num>
  <w:num w:numId="7">
    <w:abstractNumId w:val="14"/>
  </w:num>
  <w:num w:numId="8">
    <w:abstractNumId w:val="2"/>
  </w:num>
  <w:num w:numId="9">
    <w:abstractNumId w:val="0"/>
  </w:num>
  <w:num w:numId="10">
    <w:abstractNumId w:val="12"/>
  </w:num>
  <w:num w:numId="11">
    <w:abstractNumId w:val="11"/>
  </w:num>
  <w:num w:numId="12">
    <w:abstractNumId w:val="13"/>
  </w:num>
  <w:num w:numId="13">
    <w:abstractNumId w:val="9"/>
  </w:num>
  <w:num w:numId="14">
    <w:abstractNumId w:val="6"/>
  </w:num>
  <w:num w:numId="15">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BjNjBjMTk2OWI0ZWRkNTQ5MmJlYzY3NTZlZTA4YjcifQ=="/>
  </w:docVars>
  <w:rsids>
    <w:rsidRoot w:val="003F4176"/>
    <w:rsid w:val="00000B10"/>
    <w:rsid w:val="0000701B"/>
    <w:rsid w:val="00010B66"/>
    <w:rsid w:val="00012228"/>
    <w:rsid w:val="00012CF8"/>
    <w:rsid w:val="00015429"/>
    <w:rsid w:val="0001694A"/>
    <w:rsid w:val="00020D29"/>
    <w:rsid w:val="00027107"/>
    <w:rsid w:val="00027441"/>
    <w:rsid w:val="00035CB3"/>
    <w:rsid w:val="0004101D"/>
    <w:rsid w:val="00042B7F"/>
    <w:rsid w:val="00043C44"/>
    <w:rsid w:val="00044EED"/>
    <w:rsid w:val="00045944"/>
    <w:rsid w:val="0004778B"/>
    <w:rsid w:val="00056B0D"/>
    <w:rsid w:val="00057876"/>
    <w:rsid w:val="00057B61"/>
    <w:rsid w:val="00061F32"/>
    <w:rsid w:val="00063378"/>
    <w:rsid w:val="000679B9"/>
    <w:rsid w:val="00074E0B"/>
    <w:rsid w:val="00074F94"/>
    <w:rsid w:val="00075BE8"/>
    <w:rsid w:val="0007700A"/>
    <w:rsid w:val="000779DE"/>
    <w:rsid w:val="00080284"/>
    <w:rsid w:val="000810CF"/>
    <w:rsid w:val="000823D5"/>
    <w:rsid w:val="000845AA"/>
    <w:rsid w:val="0008495D"/>
    <w:rsid w:val="000855CB"/>
    <w:rsid w:val="000859D1"/>
    <w:rsid w:val="00092A68"/>
    <w:rsid w:val="00092E7D"/>
    <w:rsid w:val="00093D3F"/>
    <w:rsid w:val="000942DC"/>
    <w:rsid w:val="000948B8"/>
    <w:rsid w:val="000969F0"/>
    <w:rsid w:val="00097922"/>
    <w:rsid w:val="000A1FC8"/>
    <w:rsid w:val="000A2DD6"/>
    <w:rsid w:val="000A2DDB"/>
    <w:rsid w:val="000A63EC"/>
    <w:rsid w:val="000B0817"/>
    <w:rsid w:val="000B3F1C"/>
    <w:rsid w:val="000B661B"/>
    <w:rsid w:val="000C034F"/>
    <w:rsid w:val="000C3088"/>
    <w:rsid w:val="000C4286"/>
    <w:rsid w:val="000C4497"/>
    <w:rsid w:val="000C515B"/>
    <w:rsid w:val="000C5912"/>
    <w:rsid w:val="000C74BE"/>
    <w:rsid w:val="000D009C"/>
    <w:rsid w:val="000D0A96"/>
    <w:rsid w:val="000D1131"/>
    <w:rsid w:val="000D142D"/>
    <w:rsid w:val="000D2724"/>
    <w:rsid w:val="000D4A7F"/>
    <w:rsid w:val="000D5894"/>
    <w:rsid w:val="000D5B94"/>
    <w:rsid w:val="000D5C62"/>
    <w:rsid w:val="000D7ECD"/>
    <w:rsid w:val="000E1D7B"/>
    <w:rsid w:val="000E24AC"/>
    <w:rsid w:val="000E311D"/>
    <w:rsid w:val="000E32AE"/>
    <w:rsid w:val="000E3C66"/>
    <w:rsid w:val="000E4909"/>
    <w:rsid w:val="000E6F2A"/>
    <w:rsid w:val="000F54B8"/>
    <w:rsid w:val="000F6175"/>
    <w:rsid w:val="000F6DFD"/>
    <w:rsid w:val="000F6F96"/>
    <w:rsid w:val="00100289"/>
    <w:rsid w:val="00101DE3"/>
    <w:rsid w:val="00102C5B"/>
    <w:rsid w:val="001105A8"/>
    <w:rsid w:val="00117C6C"/>
    <w:rsid w:val="00117DFD"/>
    <w:rsid w:val="00122C63"/>
    <w:rsid w:val="00123620"/>
    <w:rsid w:val="00123A55"/>
    <w:rsid w:val="001247A3"/>
    <w:rsid w:val="001334A9"/>
    <w:rsid w:val="0013402A"/>
    <w:rsid w:val="001350E8"/>
    <w:rsid w:val="00135925"/>
    <w:rsid w:val="001436B7"/>
    <w:rsid w:val="00146C61"/>
    <w:rsid w:val="00151121"/>
    <w:rsid w:val="00155DC2"/>
    <w:rsid w:val="0015650D"/>
    <w:rsid w:val="00156511"/>
    <w:rsid w:val="00164DEB"/>
    <w:rsid w:val="00171955"/>
    <w:rsid w:val="00171AEB"/>
    <w:rsid w:val="001721BE"/>
    <w:rsid w:val="00176C39"/>
    <w:rsid w:val="00182988"/>
    <w:rsid w:val="00187D2F"/>
    <w:rsid w:val="00191299"/>
    <w:rsid w:val="00194E99"/>
    <w:rsid w:val="001969F8"/>
    <w:rsid w:val="001A081E"/>
    <w:rsid w:val="001A1142"/>
    <w:rsid w:val="001A4DDF"/>
    <w:rsid w:val="001A7198"/>
    <w:rsid w:val="001B0047"/>
    <w:rsid w:val="001B0210"/>
    <w:rsid w:val="001B2B07"/>
    <w:rsid w:val="001B2EBE"/>
    <w:rsid w:val="001B3AD4"/>
    <w:rsid w:val="001B4924"/>
    <w:rsid w:val="001B5157"/>
    <w:rsid w:val="001B5379"/>
    <w:rsid w:val="001B5617"/>
    <w:rsid w:val="001B67F0"/>
    <w:rsid w:val="001B76EB"/>
    <w:rsid w:val="001C2793"/>
    <w:rsid w:val="001C372B"/>
    <w:rsid w:val="001C585B"/>
    <w:rsid w:val="001C6418"/>
    <w:rsid w:val="001C6501"/>
    <w:rsid w:val="001C7924"/>
    <w:rsid w:val="001C7E66"/>
    <w:rsid w:val="001D22F8"/>
    <w:rsid w:val="001D3657"/>
    <w:rsid w:val="001D39C2"/>
    <w:rsid w:val="001D3DC2"/>
    <w:rsid w:val="001D48C6"/>
    <w:rsid w:val="001D4DA8"/>
    <w:rsid w:val="001E143C"/>
    <w:rsid w:val="001E22E3"/>
    <w:rsid w:val="001E5EA1"/>
    <w:rsid w:val="001E7285"/>
    <w:rsid w:val="001F1094"/>
    <w:rsid w:val="001F1936"/>
    <w:rsid w:val="001F6645"/>
    <w:rsid w:val="0020367D"/>
    <w:rsid w:val="00205861"/>
    <w:rsid w:val="0021275E"/>
    <w:rsid w:val="0021281E"/>
    <w:rsid w:val="0021470D"/>
    <w:rsid w:val="00214E5C"/>
    <w:rsid w:val="00215092"/>
    <w:rsid w:val="00215490"/>
    <w:rsid w:val="0021573E"/>
    <w:rsid w:val="0021599F"/>
    <w:rsid w:val="00217554"/>
    <w:rsid w:val="00222006"/>
    <w:rsid w:val="002265F2"/>
    <w:rsid w:val="00234946"/>
    <w:rsid w:val="00234AF7"/>
    <w:rsid w:val="002356E9"/>
    <w:rsid w:val="00235E67"/>
    <w:rsid w:val="002368D2"/>
    <w:rsid w:val="00241794"/>
    <w:rsid w:val="00241B12"/>
    <w:rsid w:val="00243BCE"/>
    <w:rsid w:val="00245E86"/>
    <w:rsid w:val="00245EE5"/>
    <w:rsid w:val="002472D4"/>
    <w:rsid w:val="0025098F"/>
    <w:rsid w:val="002538C1"/>
    <w:rsid w:val="00257D36"/>
    <w:rsid w:val="002625F1"/>
    <w:rsid w:val="002651C0"/>
    <w:rsid w:val="00265566"/>
    <w:rsid w:val="0026640D"/>
    <w:rsid w:val="00271BEB"/>
    <w:rsid w:val="00275308"/>
    <w:rsid w:val="002778AD"/>
    <w:rsid w:val="00277FA6"/>
    <w:rsid w:val="002819F2"/>
    <w:rsid w:val="00282E34"/>
    <w:rsid w:val="00283D47"/>
    <w:rsid w:val="00284C06"/>
    <w:rsid w:val="00293925"/>
    <w:rsid w:val="00296920"/>
    <w:rsid w:val="002A0071"/>
    <w:rsid w:val="002A33A3"/>
    <w:rsid w:val="002A3BEC"/>
    <w:rsid w:val="002A4235"/>
    <w:rsid w:val="002A5595"/>
    <w:rsid w:val="002A5B89"/>
    <w:rsid w:val="002B223E"/>
    <w:rsid w:val="002B5866"/>
    <w:rsid w:val="002C2A87"/>
    <w:rsid w:val="002C556B"/>
    <w:rsid w:val="002C673A"/>
    <w:rsid w:val="002D0FC0"/>
    <w:rsid w:val="002D2807"/>
    <w:rsid w:val="002D32FA"/>
    <w:rsid w:val="002D4D6E"/>
    <w:rsid w:val="002D545D"/>
    <w:rsid w:val="002D7060"/>
    <w:rsid w:val="002E0475"/>
    <w:rsid w:val="002E2114"/>
    <w:rsid w:val="002E22D5"/>
    <w:rsid w:val="002E2524"/>
    <w:rsid w:val="002E4251"/>
    <w:rsid w:val="002F1C47"/>
    <w:rsid w:val="002F5847"/>
    <w:rsid w:val="00303BFD"/>
    <w:rsid w:val="00305D18"/>
    <w:rsid w:val="0031209C"/>
    <w:rsid w:val="0031662F"/>
    <w:rsid w:val="003172F2"/>
    <w:rsid w:val="00317677"/>
    <w:rsid w:val="003223AD"/>
    <w:rsid w:val="00322D93"/>
    <w:rsid w:val="003239C9"/>
    <w:rsid w:val="003313A5"/>
    <w:rsid w:val="00334C98"/>
    <w:rsid w:val="003416E4"/>
    <w:rsid w:val="00343B7C"/>
    <w:rsid w:val="003445B0"/>
    <w:rsid w:val="00354574"/>
    <w:rsid w:val="00355528"/>
    <w:rsid w:val="00356AB5"/>
    <w:rsid w:val="00357650"/>
    <w:rsid w:val="003576E2"/>
    <w:rsid w:val="00362599"/>
    <w:rsid w:val="00362FD0"/>
    <w:rsid w:val="00363CF6"/>
    <w:rsid w:val="00365946"/>
    <w:rsid w:val="00365AB2"/>
    <w:rsid w:val="0036608F"/>
    <w:rsid w:val="003671A7"/>
    <w:rsid w:val="00370800"/>
    <w:rsid w:val="003764EF"/>
    <w:rsid w:val="00383DE3"/>
    <w:rsid w:val="00384FB3"/>
    <w:rsid w:val="00390F89"/>
    <w:rsid w:val="00392698"/>
    <w:rsid w:val="00394139"/>
    <w:rsid w:val="003948C8"/>
    <w:rsid w:val="003A1521"/>
    <w:rsid w:val="003A3148"/>
    <w:rsid w:val="003A4F90"/>
    <w:rsid w:val="003A6784"/>
    <w:rsid w:val="003B4DA0"/>
    <w:rsid w:val="003B53D7"/>
    <w:rsid w:val="003C0547"/>
    <w:rsid w:val="003C3015"/>
    <w:rsid w:val="003C3D6A"/>
    <w:rsid w:val="003C48C2"/>
    <w:rsid w:val="003C4C33"/>
    <w:rsid w:val="003C6807"/>
    <w:rsid w:val="003D24D8"/>
    <w:rsid w:val="003D4567"/>
    <w:rsid w:val="003D46A2"/>
    <w:rsid w:val="003D5A55"/>
    <w:rsid w:val="003D7888"/>
    <w:rsid w:val="003D792A"/>
    <w:rsid w:val="003E1A30"/>
    <w:rsid w:val="003E24EE"/>
    <w:rsid w:val="003E3A5E"/>
    <w:rsid w:val="003F0443"/>
    <w:rsid w:val="003F182F"/>
    <w:rsid w:val="003F2278"/>
    <w:rsid w:val="003F3C17"/>
    <w:rsid w:val="003F4031"/>
    <w:rsid w:val="003F4176"/>
    <w:rsid w:val="003F56A5"/>
    <w:rsid w:val="00403BEE"/>
    <w:rsid w:val="00406D95"/>
    <w:rsid w:val="00407CEB"/>
    <w:rsid w:val="00407FBC"/>
    <w:rsid w:val="0041356B"/>
    <w:rsid w:val="004154C1"/>
    <w:rsid w:val="00420140"/>
    <w:rsid w:val="00421362"/>
    <w:rsid w:val="00423D80"/>
    <w:rsid w:val="00424DA0"/>
    <w:rsid w:val="00426E4C"/>
    <w:rsid w:val="00432977"/>
    <w:rsid w:val="0043394C"/>
    <w:rsid w:val="00433FCA"/>
    <w:rsid w:val="00435315"/>
    <w:rsid w:val="00437A9E"/>
    <w:rsid w:val="00441219"/>
    <w:rsid w:val="004417A7"/>
    <w:rsid w:val="004427A6"/>
    <w:rsid w:val="00444B4E"/>
    <w:rsid w:val="00447FC5"/>
    <w:rsid w:val="00452AED"/>
    <w:rsid w:val="004627E2"/>
    <w:rsid w:val="004726D8"/>
    <w:rsid w:val="00474B22"/>
    <w:rsid w:val="004765D4"/>
    <w:rsid w:val="004837D4"/>
    <w:rsid w:val="00483A2A"/>
    <w:rsid w:val="00485D13"/>
    <w:rsid w:val="00491D64"/>
    <w:rsid w:val="00496A0C"/>
    <w:rsid w:val="00497C7C"/>
    <w:rsid w:val="004A3713"/>
    <w:rsid w:val="004A5949"/>
    <w:rsid w:val="004A727F"/>
    <w:rsid w:val="004B071E"/>
    <w:rsid w:val="004B0843"/>
    <w:rsid w:val="004B0DEC"/>
    <w:rsid w:val="004B2378"/>
    <w:rsid w:val="004B3A41"/>
    <w:rsid w:val="004C0E0E"/>
    <w:rsid w:val="004C3155"/>
    <w:rsid w:val="004C3B58"/>
    <w:rsid w:val="004C6681"/>
    <w:rsid w:val="004C6AEA"/>
    <w:rsid w:val="004C7C6D"/>
    <w:rsid w:val="004D0ADE"/>
    <w:rsid w:val="004D1E70"/>
    <w:rsid w:val="004D27A7"/>
    <w:rsid w:val="004D2DF2"/>
    <w:rsid w:val="004D45DF"/>
    <w:rsid w:val="004E193A"/>
    <w:rsid w:val="004E360D"/>
    <w:rsid w:val="004E3B86"/>
    <w:rsid w:val="004E4F42"/>
    <w:rsid w:val="004E4F4B"/>
    <w:rsid w:val="004F1FD4"/>
    <w:rsid w:val="004F3A4C"/>
    <w:rsid w:val="005012E2"/>
    <w:rsid w:val="00501530"/>
    <w:rsid w:val="005072E9"/>
    <w:rsid w:val="00507A08"/>
    <w:rsid w:val="00510713"/>
    <w:rsid w:val="00512033"/>
    <w:rsid w:val="005123A2"/>
    <w:rsid w:val="00517748"/>
    <w:rsid w:val="00517A7E"/>
    <w:rsid w:val="00522099"/>
    <w:rsid w:val="0052651F"/>
    <w:rsid w:val="00527062"/>
    <w:rsid w:val="005275FF"/>
    <w:rsid w:val="00531126"/>
    <w:rsid w:val="00533ADF"/>
    <w:rsid w:val="00534253"/>
    <w:rsid w:val="00540886"/>
    <w:rsid w:val="00540F51"/>
    <w:rsid w:val="00546E52"/>
    <w:rsid w:val="00547BD3"/>
    <w:rsid w:val="00547EA3"/>
    <w:rsid w:val="00550756"/>
    <w:rsid w:val="00550B5C"/>
    <w:rsid w:val="0055172B"/>
    <w:rsid w:val="0055214A"/>
    <w:rsid w:val="00557E2E"/>
    <w:rsid w:val="00562044"/>
    <w:rsid w:val="005629FF"/>
    <w:rsid w:val="00564E50"/>
    <w:rsid w:val="00566025"/>
    <w:rsid w:val="00567154"/>
    <w:rsid w:val="00572010"/>
    <w:rsid w:val="00573000"/>
    <w:rsid w:val="0057552E"/>
    <w:rsid w:val="00576649"/>
    <w:rsid w:val="005803B8"/>
    <w:rsid w:val="00583AB9"/>
    <w:rsid w:val="00583FF1"/>
    <w:rsid w:val="005865DD"/>
    <w:rsid w:val="00586E77"/>
    <w:rsid w:val="005905BB"/>
    <w:rsid w:val="00591EF7"/>
    <w:rsid w:val="0059712A"/>
    <w:rsid w:val="005978F6"/>
    <w:rsid w:val="005A5D4B"/>
    <w:rsid w:val="005B2BFD"/>
    <w:rsid w:val="005B3D91"/>
    <w:rsid w:val="005B5857"/>
    <w:rsid w:val="005B61C8"/>
    <w:rsid w:val="005C0779"/>
    <w:rsid w:val="005C308B"/>
    <w:rsid w:val="005C34E8"/>
    <w:rsid w:val="005C40DE"/>
    <w:rsid w:val="005D270A"/>
    <w:rsid w:val="005E0F51"/>
    <w:rsid w:val="005E1A0E"/>
    <w:rsid w:val="005E266D"/>
    <w:rsid w:val="005E4D04"/>
    <w:rsid w:val="005E52D3"/>
    <w:rsid w:val="005E6578"/>
    <w:rsid w:val="005F2BB0"/>
    <w:rsid w:val="005F5990"/>
    <w:rsid w:val="005F6243"/>
    <w:rsid w:val="00601ADF"/>
    <w:rsid w:val="00602564"/>
    <w:rsid w:val="00602865"/>
    <w:rsid w:val="0060512C"/>
    <w:rsid w:val="00605D89"/>
    <w:rsid w:val="006110ED"/>
    <w:rsid w:val="00613274"/>
    <w:rsid w:val="00613B80"/>
    <w:rsid w:val="00617867"/>
    <w:rsid w:val="0062348B"/>
    <w:rsid w:val="00624DE4"/>
    <w:rsid w:val="00625EA4"/>
    <w:rsid w:val="00626CF5"/>
    <w:rsid w:val="00627456"/>
    <w:rsid w:val="0063035F"/>
    <w:rsid w:val="00632376"/>
    <w:rsid w:val="00634802"/>
    <w:rsid w:val="0063545C"/>
    <w:rsid w:val="0063694A"/>
    <w:rsid w:val="006429EB"/>
    <w:rsid w:val="006433AD"/>
    <w:rsid w:val="00643A6A"/>
    <w:rsid w:val="006443E2"/>
    <w:rsid w:val="0064443D"/>
    <w:rsid w:val="00644697"/>
    <w:rsid w:val="0065139C"/>
    <w:rsid w:val="006516DA"/>
    <w:rsid w:val="0065182F"/>
    <w:rsid w:val="006563B6"/>
    <w:rsid w:val="00657F6D"/>
    <w:rsid w:val="00661C74"/>
    <w:rsid w:val="00664C8F"/>
    <w:rsid w:val="006668E6"/>
    <w:rsid w:val="0066720F"/>
    <w:rsid w:val="0067299B"/>
    <w:rsid w:val="00677C75"/>
    <w:rsid w:val="0068115D"/>
    <w:rsid w:val="0068145E"/>
    <w:rsid w:val="0068296C"/>
    <w:rsid w:val="006837A5"/>
    <w:rsid w:val="00685142"/>
    <w:rsid w:val="00687DDA"/>
    <w:rsid w:val="00694C10"/>
    <w:rsid w:val="00695513"/>
    <w:rsid w:val="006A02B4"/>
    <w:rsid w:val="006A0B1C"/>
    <w:rsid w:val="006A441E"/>
    <w:rsid w:val="006A5864"/>
    <w:rsid w:val="006A6DDD"/>
    <w:rsid w:val="006B04CD"/>
    <w:rsid w:val="006B1B94"/>
    <w:rsid w:val="006B22C0"/>
    <w:rsid w:val="006B22C7"/>
    <w:rsid w:val="006B2691"/>
    <w:rsid w:val="006B6BE7"/>
    <w:rsid w:val="006B7EEE"/>
    <w:rsid w:val="006C18B4"/>
    <w:rsid w:val="006C4535"/>
    <w:rsid w:val="006D564B"/>
    <w:rsid w:val="006E0007"/>
    <w:rsid w:val="006E103F"/>
    <w:rsid w:val="006E2B09"/>
    <w:rsid w:val="006E33A7"/>
    <w:rsid w:val="006E4A3F"/>
    <w:rsid w:val="006E4AE0"/>
    <w:rsid w:val="006E64EF"/>
    <w:rsid w:val="006F694B"/>
    <w:rsid w:val="00702F7C"/>
    <w:rsid w:val="00703EBB"/>
    <w:rsid w:val="00705745"/>
    <w:rsid w:val="007145AF"/>
    <w:rsid w:val="0071612D"/>
    <w:rsid w:val="0072208C"/>
    <w:rsid w:val="00722934"/>
    <w:rsid w:val="00723F69"/>
    <w:rsid w:val="007250FB"/>
    <w:rsid w:val="00725D95"/>
    <w:rsid w:val="00727636"/>
    <w:rsid w:val="007276FB"/>
    <w:rsid w:val="007311F3"/>
    <w:rsid w:val="00731559"/>
    <w:rsid w:val="007330C8"/>
    <w:rsid w:val="00740199"/>
    <w:rsid w:val="007462E5"/>
    <w:rsid w:val="0074749E"/>
    <w:rsid w:val="007521E8"/>
    <w:rsid w:val="00754C95"/>
    <w:rsid w:val="00760031"/>
    <w:rsid w:val="00761E5C"/>
    <w:rsid w:val="00763916"/>
    <w:rsid w:val="007664B7"/>
    <w:rsid w:val="00767916"/>
    <w:rsid w:val="00767E61"/>
    <w:rsid w:val="0077106F"/>
    <w:rsid w:val="00771114"/>
    <w:rsid w:val="00774D98"/>
    <w:rsid w:val="00776E14"/>
    <w:rsid w:val="007826C2"/>
    <w:rsid w:val="007835A8"/>
    <w:rsid w:val="007838CF"/>
    <w:rsid w:val="00785A31"/>
    <w:rsid w:val="007903A0"/>
    <w:rsid w:val="007908DA"/>
    <w:rsid w:val="00795472"/>
    <w:rsid w:val="007A71A0"/>
    <w:rsid w:val="007A7EE9"/>
    <w:rsid w:val="007B2C70"/>
    <w:rsid w:val="007C2B41"/>
    <w:rsid w:val="007D4317"/>
    <w:rsid w:val="007D4637"/>
    <w:rsid w:val="007E0B18"/>
    <w:rsid w:val="007E180B"/>
    <w:rsid w:val="007E1FBE"/>
    <w:rsid w:val="007E4D47"/>
    <w:rsid w:val="007E6D8E"/>
    <w:rsid w:val="007F07CD"/>
    <w:rsid w:val="007F23CB"/>
    <w:rsid w:val="007F3F91"/>
    <w:rsid w:val="007F6553"/>
    <w:rsid w:val="007F74E9"/>
    <w:rsid w:val="007F7BE6"/>
    <w:rsid w:val="00800A44"/>
    <w:rsid w:val="00802D18"/>
    <w:rsid w:val="00802F63"/>
    <w:rsid w:val="00810838"/>
    <w:rsid w:val="00811635"/>
    <w:rsid w:val="008128B1"/>
    <w:rsid w:val="00814C56"/>
    <w:rsid w:val="00816E70"/>
    <w:rsid w:val="00817E00"/>
    <w:rsid w:val="00824599"/>
    <w:rsid w:val="008266EE"/>
    <w:rsid w:val="00827805"/>
    <w:rsid w:val="00832A31"/>
    <w:rsid w:val="00835064"/>
    <w:rsid w:val="00841055"/>
    <w:rsid w:val="008472C5"/>
    <w:rsid w:val="008524CA"/>
    <w:rsid w:val="008529D8"/>
    <w:rsid w:val="008558FB"/>
    <w:rsid w:val="008569FC"/>
    <w:rsid w:val="00857132"/>
    <w:rsid w:val="008622E4"/>
    <w:rsid w:val="00863C18"/>
    <w:rsid w:val="00864A72"/>
    <w:rsid w:val="00875956"/>
    <w:rsid w:val="00883DB6"/>
    <w:rsid w:val="00885CA7"/>
    <w:rsid w:val="00890D5F"/>
    <w:rsid w:val="008970DD"/>
    <w:rsid w:val="008A3031"/>
    <w:rsid w:val="008A3C35"/>
    <w:rsid w:val="008A6D05"/>
    <w:rsid w:val="008A7D90"/>
    <w:rsid w:val="008B1957"/>
    <w:rsid w:val="008B21FF"/>
    <w:rsid w:val="008B6593"/>
    <w:rsid w:val="008C304D"/>
    <w:rsid w:val="008C3D9E"/>
    <w:rsid w:val="008C67C9"/>
    <w:rsid w:val="008D00FD"/>
    <w:rsid w:val="008D5CD4"/>
    <w:rsid w:val="008D5FEB"/>
    <w:rsid w:val="008D77BC"/>
    <w:rsid w:val="008E5655"/>
    <w:rsid w:val="008E69BA"/>
    <w:rsid w:val="008F071F"/>
    <w:rsid w:val="008F13F8"/>
    <w:rsid w:val="008F2480"/>
    <w:rsid w:val="008F3401"/>
    <w:rsid w:val="008F45C9"/>
    <w:rsid w:val="009005DC"/>
    <w:rsid w:val="00900E33"/>
    <w:rsid w:val="0090557C"/>
    <w:rsid w:val="00907C93"/>
    <w:rsid w:val="00912EB7"/>
    <w:rsid w:val="00913425"/>
    <w:rsid w:val="00914D22"/>
    <w:rsid w:val="00915745"/>
    <w:rsid w:val="0092543A"/>
    <w:rsid w:val="00932203"/>
    <w:rsid w:val="00936E4D"/>
    <w:rsid w:val="009371AE"/>
    <w:rsid w:val="0093724F"/>
    <w:rsid w:val="00937A03"/>
    <w:rsid w:val="00937F8D"/>
    <w:rsid w:val="0094148A"/>
    <w:rsid w:val="009422A4"/>
    <w:rsid w:val="0094244A"/>
    <w:rsid w:val="00943FA3"/>
    <w:rsid w:val="00944C4B"/>
    <w:rsid w:val="00945B38"/>
    <w:rsid w:val="009469C4"/>
    <w:rsid w:val="00950DE4"/>
    <w:rsid w:val="00951412"/>
    <w:rsid w:val="00953317"/>
    <w:rsid w:val="00953E18"/>
    <w:rsid w:val="009564F0"/>
    <w:rsid w:val="00961A6D"/>
    <w:rsid w:val="00963997"/>
    <w:rsid w:val="00964EFA"/>
    <w:rsid w:val="00970126"/>
    <w:rsid w:val="00970F00"/>
    <w:rsid w:val="009756FE"/>
    <w:rsid w:val="00975B7D"/>
    <w:rsid w:val="00987D03"/>
    <w:rsid w:val="009956EF"/>
    <w:rsid w:val="009956FA"/>
    <w:rsid w:val="009A2B7B"/>
    <w:rsid w:val="009A6D02"/>
    <w:rsid w:val="009B512F"/>
    <w:rsid w:val="009B5A98"/>
    <w:rsid w:val="009B7273"/>
    <w:rsid w:val="009C0F92"/>
    <w:rsid w:val="009C16F0"/>
    <w:rsid w:val="009C180C"/>
    <w:rsid w:val="009C2F32"/>
    <w:rsid w:val="009C34BE"/>
    <w:rsid w:val="009C435A"/>
    <w:rsid w:val="009C4980"/>
    <w:rsid w:val="009C65AD"/>
    <w:rsid w:val="009D0A2B"/>
    <w:rsid w:val="009D133D"/>
    <w:rsid w:val="009D15A5"/>
    <w:rsid w:val="009D293D"/>
    <w:rsid w:val="009D3746"/>
    <w:rsid w:val="009D6EB2"/>
    <w:rsid w:val="009E44D5"/>
    <w:rsid w:val="009E62CF"/>
    <w:rsid w:val="009F0E2B"/>
    <w:rsid w:val="009F33FC"/>
    <w:rsid w:val="009F3614"/>
    <w:rsid w:val="009F3C5E"/>
    <w:rsid w:val="009F6131"/>
    <w:rsid w:val="009F7D0F"/>
    <w:rsid w:val="009F7E15"/>
    <w:rsid w:val="00A005A6"/>
    <w:rsid w:val="00A043AE"/>
    <w:rsid w:val="00A0508A"/>
    <w:rsid w:val="00A050D5"/>
    <w:rsid w:val="00A059AA"/>
    <w:rsid w:val="00A10553"/>
    <w:rsid w:val="00A12089"/>
    <w:rsid w:val="00A146C4"/>
    <w:rsid w:val="00A151C6"/>
    <w:rsid w:val="00A16359"/>
    <w:rsid w:val="00A17D51"/>
    <w:rsid w:val="00A21D2F"/>
    <w:rsid w:val="00A26A56"/>
    <w:rsid w:val="00A30454"/>
    <w:rsid w:val="00A310CE"/>
    <w:rsid w:val="00A33BF1"/>
    <w:rsid w:val="00A37D78"/>
    <w:rsid w:val="00A46362"/>
    <w:rsid w:val="00A52BA5"/>
    <w:rsid w:val="00A5406A"/>
    <w:rsid w:val="00A54D67"/>
    <w:rsid w:val="00A5590F"/>
    <w:rsid w:val="00A5734A"/>
    <w:rsid w:val="00A613BC"/>
    <w:rsid w:val="00A63A78"/>
    <w:rsid w:val="00A63EE4"/>
    <w:rsid w:val="00A6589B"/>
    <w:rsid w:val="00A72374"/>
    <w:rsid w:val="00A74023"/>
    <w:rsid w:val="00A75768"/>
    <w:rsid w:val="00A76925"/>
    <w:rsid w:val="00A8567E"/>
    <w:rsid w:val="00A87AB4"/>
    <w:rsid w:val="00A91ED5"/>
    <w:rsid w:val="00A93808"/>
    <w:rsid w:val="00A95660"/>
    <w:rsid w:val="00A97335"/>
    <w:rsid w:val="00A97800"/>
    <w:rsid w:val="00AA1C51"/>
    <w:rsid w:val="00AA1F31"/>
    <w:rsid w:val="00AA605A"/>
    <w:rsid w:val="00AA609D"/>
    <w:rsid w:val="00AA7878"/>
    <w:rsid w:val="00AB66AD"/>
    <w:rsid w:val="00AB7262"/>
    <w:rsid w:val="00AB7849"/>
    <w:rsid w:val="00AC0450"/>
    <w:rsid w:val="00AC153E"/>
    <w:rsid w:val="00AC23A2"/>
    <w:rsid w:val="00AD1A03"/>
    <w:rsid w:val="00AD23CD"/>
    <w:rsid w:val="00AD2EE5"/>
    <w:rsid w:val="00AD47DD"/>
    <w:rsid w:val="00AE11BD"/>
    <w:rsid w:val="00AE2BE0"/>
    <w:rsid w:val="00AE4891"/>
    <w:rsid w:val="00AF21D6"/>
    <w:rsid w:val="00AF34C3"/>
    <w:rsid w:val="00AF3B77"/>
    <w:rsid w:val="00AF51AF"/>
    <w:rsid w:val="00AF5BDF"/>
    <w:rsid w:val="00AF6CC3"/>
    <w:rsid w:val="00B040DB"/>
    <w:rsid w:val="00B04169"/>
    <w:rsid w:val="00B04196"/>
    <w:rsid w:val="00B07F86"/>
    <w:rsid w:val="00B10BBB"/>
    <w:rsid w:val="00B147BE"/>
    <w:rsid w:val="00B169CA"/>
    <w:rsid w:val="00B2072E"/>
    <w:rsid w:val="00B22C9A"/>
    <w:rsid w:val="00B238AB"/>
    <w:rsid w:val="00B24104"/>
    <w:rsid w:val="00B2567D"/>
    <w:rsid w:val="00B26560"/>
    <w:rsid w:val="00B30C39"/>
    <w:rsid w:val="00B32D57"/>
    <w:rsid w:val="00B33FA1"/>
    <w:rsid w:val="00B36DB1"/>
    <w:rsid w:val="00B40183"/>
    <w:rsid w:val="00B418D5"/>
    <w:rsid w:val="00B419E5"/>
    <w:rsid w:val="00B455F5"/>
    <w:rsid w:val="00B53DC2"/>
    <w:rsid w:val="00B55BB1"/>
    <w:rsid w:val="00B61F61"/>
    <w:rsid w:val="00B64CD6"/>
    <w:rsid w:val="00B64F7B"/>
    <w:rsid w:val="00B67BE2"/>
    <w:rsid w:val="00B749D9"/>
    <w:rsid w:val="00B75075"/>
    <w:rsid w:val="00B83822"/>
    <w:rsid w:val="00B84D83"/>
    <w:rsid w:val="00B90DD6"/>
    <w:rsid w:val="00B915A9"/>
    <w:rsid w:val="00B91CA3"/>
    <w:rsid w:val="00B93940"/>
    <w:rsid w:val="00B939C8"/>
    <w:rsid w:val="00B95E20"/>
    <w:rsid w:val="00B96384"/>
    <w:rsid w:val="00B97FBF"/>
    <w:rsid w:val="00BA1A1B"/>
    <w:rsid w:val="00BA679E"/>
    <w:rsid w:val="00BA6CD4"/>
    <w:rsid w:val="00BA71EA"/>
    <w:rsid w:val="00BA77C1"/>
    <w:rsid w:val="00BA7957"/>
    <w:rsid w:val="00BB0505"/>
    <w:rsid w:val="00BB09C4"/>
    <w:rsid w:val="00BB2CBF"/>
    <w:rsid w:val="00BB2E4B"/>
    <w:rsid w:val="00BB462F"/>
    <w:rsid w:val="00BC0B03"/>
    <w:rsid w:val="00BC0D0A"/>
    <w:rsid w:val="00BC1C28"/>
    <w:rsid w:val="00BC3323"/>
    <w:rsid w:val="00BC4B81"/>
    <w:rsid w:val="00BC5E92"/>
    <w:rsid w:val="00BC6C71"/>
    <w:rsid w:val="00BD0365"/>
    <w:rsid w:val="00BD23C1"/>
    <w:rsid w:val="00BD4C66"/>
    <w:rsid w:val="00BD5BF6"/>
    <w:rsid w:val="00BD5E30"/>
    <w:rsid w:val="00BE2792"/>
    <w:rsid w:val="00BE3002"/>
    <w:rsid w:val="00BE5447"/>
    <w:rsid w:val="00BF2AC6"/>
    <w:rsid w:val="00BF30E4"/>
    <w:rsid w:val="00BF4223"/>
    <w:rsid w:val="00C01E83"/>
    <w:rsid w:val="00C02F0B"/>
    <w:rsid w:val="00C05766"/>
    <w:rsid w:val="00C05A09"/>
    <w:rsid w:val="00C15570"/>
    <w:rsid w:val="00C249C9"/>
    <w:rsid w:val="00C26CC3"/>
    <w:rsid w:val="00C27149"/>
    <w:rsid w:val="00C3053D"/>
    <w:rsid w:val="00C308DF"/>
    <w:rsid w:val="00C31007"/>
    <w:rsid w:val="00C345B0"/>
    <w:rsid w:val="00C375B3"/>
    <w:rsid w:val="00C40C86"/>
    <w:rsid w:val="00C446A3"/>
    <w:rsid w:val="00C44E15"/>
    <w:rsid w:val="00C47020"/>
    <w:rsid w:val="00C5025F"/>
    <w:rsid w:val="00C56645"/>
    <w:rsid w:val="00C60B47"/>
    <w:rsid w:val="00C61EB4"/>
    <w:rsid w:val="00C63536"/>
    <w:rsid w:val="00C71D77"/>
    <w:rsid w:val="00C74A1F"/>
    <w:rsid w:val="00C75F40"/>
    <w:rsid w:val="00C77A1E"/>
    <w:rsid w:val="00C80C1B"/>
    <w:rsid w:val="00C8185E"/>
    <w:rsid w:val="00C83BCA"/>
    <w:rsid w:val="00C86693"/>
    <w:rsid w:val="00C8710A"/>
    <w:rsid w:val="00C90398"/>
    <w:rsid w:val="00C914B4"/>
    <w:rsid w:val="00C92825"/>
    <w:rsid w:val="00C95BB0"/>
    <w:rsid w:val="00CA6F0D"/>
    <w:rsid w:val="00CA7B7C"/>
    <w:rsid w:val="00CB0CDB"/>
    <w:rsid w:val="00CB23CD"/>
    <w:rsid w:val="00CB3926"/>
    <w:rsid w:val="00CB4CD1"/>
    <w:rsid w:val="00CB5361"/>
    <w:rsid w:val="00CC112D"/>
    <w:rsid w:val="00CC1EEC"/>
    <w:rsid w:val="00CC350B"/>
    <w:rsid w:val="00CC3BAB"/>
    <w:rsid w:val="00CD16CD"/>
    <w:rsid w:val="00CD53E9"/>
    <w:rsid w:val="00CD5F38"/>
    <w:rsid w:val="00CD6E36"/>
    <w:rsid w:val="00CD7274"/>
    <w:rsid w:val="00CD7732"/>
    <w:rsid w:val="00CE2AE6"/>
    <w:rsid w:val="00CE4EDD"/>
    <w:rsid w:val="00CE71B7"/>
    <w:rsid w:val="00CF047B"/>
    <w:rsid w:val="00CF09CA"/>
    <w:rsid w:val="00CF45C9"/>
    <w:rsid w:val="00D003C1"/>
    <w:rsid w:val="00D035CC"/>
    <w:rsid w:val="00D06A57"/>
    <w:rsid w:val="00D107B6"/>
    <w:rsid w:val="00D10E51"/>
    <w:rsid w:val="00D11D0C"/>
    <w:rsid w:val="00D151B2"/>
    <w:rsid w:val="00D21F1D"/>
    <w:rsid w:val="00D229BB"/>
    <w:rsid w:val="00D22F9E"/>
    <w:rsid w:val="00D268E5"/>
    <w:rsid w:val="00D26F12"/>
    <w:rsid w:val="00D33B25"/>
    <w:rsid w:val="00D3563C"/>
    <w:rsid w:val="00D369FB"/>
    <w:rsid w:val="00D376CE"/>
    <w:rsid w:val="00D413A4"/>
    <w:rsid w:val="00D46939"/>
    <w:rsid w:val="00D4699E"/>
    <w:rsid w:val="00D472BF"/>
    <w:rsid w:val="00D47AE0"/>
    <w:rsid w:val="00D54518"/>
    <w:rsid w:val="00D62E79"/>
    <w:rsid w:val="00D65D51"/>
    <w:rsid w:val="00D70B22"/>
    <w:rsid w:val="00D70F06"/>
    <w:rsid w:val="00D70F57"/>
    <w:rsid w:val="00D72665"/>
    <w:rsid w:val="00D73841"/>
    <w:rsid w:val="00D7461F"/>
    <w:rsid w:val="00D75504"/>
    <w:rsid w:val="00D76195"/>
    <w:rsid w:val="00D81309"/>
    <w:rsid w:val="00D84FEF"/>
    <w:rsid w:val="00D86227"/>
    <w:rsid w:val="00D90749"/>
    <w:rsid w:val="00D92766"/>
    <w:rsid w:val="00DA01DE"/>
    <w:rsid w:val="00DA146D"/>
    <w:rsid w:val="00DA31EE"/>
    <w:rsid w:val="00DA34E9"/>
    <w:rsid w:val="00DA48D2"/>
    <w:rsid w:val="00DA49BA"/>
    <w:rsid w:val="00DA4BBE"/>
    <w:rsid w:val="00DA5501"/>
    <w:rsid w:val="00DB610F"/>
    <w:rsid w:val="00DC410E"/>
    <w:rsid w:val="00DC411E"/>
    <w:rsid w:val="00DC4A7D"/>
    <w:rsid w:val="00DC69E3"/>
    <w:rsid w:val="00DD00A0"/>
    <w:rsid w:val="00DD0895"/>
    <w:rsid w:val="00DD0A3C"/>
    <w:rsid w:val="00DD3B3A"/>
    <w:rsid w:val="00DD4D67"/>
    <w:rsid w:val="00DD758E"/>
    <w:rsid w:val="00DE1977"/>
    <w:rsid w:val="00DE19FD"/>
    <w:rsid w:val="00DE1EF0"/>
    <w:rsid w:val="00DE2831"/>
    <w:rsid w:val="00DE50E2"/>
    <w:rsid w:val="00DF2095"/>
    <w:rsid w:val="00DF2704"/>
    <w:rsid w:val="00DF4133"/>
    <w:rsid w:val="00DF4E2C"/>
    <w:rsid w:val="00DF5332"/>
    <w:rsid w:val="00DF7008"/>
    <w:rsid w:val="00E034BE"/>
    <w:rsid w:val="00E06A0B"/>
    <w:rsid w:val="00E17073"/>
    <w:rsid w:val="00E17504"/>
    <w:rsid w:val="00E309F0"/>
    <w:rsid w:val="00E350B8"/>
    <w:rsid w:val="00E35A0E"/>
    <w:rsid w:val="00E4065A"/>
    <w:rsid w:val="00E4100B"/>
    <w:rsid w:val="00E43A74"/>
    <w:rsid w:val="00E45B34"/>
    <w:rsid w:val="00E468D3"/>
    <w:rsid w:val="00E5182E"/>
    <w:rsid w:val="00E53F3E"/>
    <w:rsid w:val="00E54F2A"/>
    <w:rsid w:val="00E57B10"/>
    <w:rsid w:val="00E57C0C"/>
    <w:rsid w:val="00E57EE1"/>
    <w:rsid w:val="00E62EDD"/>
    <w:rsid w:val="00E63422"/>
    <w:rsid w:val="00E63731"/>
    <w:rsid w:val="00E650B8"/>
    <w:rsid w:val="00E70E50"/>
    <w:rsid w:val="00E7119C"/>
    <w:rsid w:val="00E7189E"/>
    <w:rsid w:val="00E75284"/>
    <w:rsid w:val="00E814D3"/>
    <w:rsid w:val="00E8419F"/>
    <w:rsid w:val="00E8685A"/>
    <w:rsid w:val="00E87D5F"/>
    <w:rsid w:val="00E9430E"/>
    <w:rsid w:val="00E948BE"/>
    <w:rsid w:val="00E96B1A"/>
    <w:rsid w:val="00EB070D"/>
    <w:rsid w:val="00EB2600"/>
    <w:rsid w:val="00EB3A5E"/>
    <w:rsid w:val="00EB3E20"/>
    <w:rsid w:val="00EB7326"/>
    <w:rsid w:val="00EB7936"/>
    <w:rsid w:val="00EC5E9B"/>
    <w:rsid w:val="00EC65F3"/>
    <w:rsid w:val="00EC76A9"/>
    <w:rsid w:val="00ED24DE"/>
    <w:rsid w:val="00ED37ED"/>
    <w:rsid w:val="00ED4327"/>
    <w:rsid w:val="00EE27B0"/>
    <w:rsid w:val="00EE2B83"/>
    <w:rsid w:val="00EE39F0"/>
    <w:rsid w:val="00EE3E73"/>
    <w:rsid w:val="00EE415B"/>
    <w:rsid w:val="00EE5232"/>
    <w:rsid w:val="00EE5928"/>
    <w:rsid w:val="00EE6B91"/>
    <w:rsid w:val="00EF086E"/>
    <w:rsid w:val="00EF0CC8"/>
    <w:rsid w:val="00EF197A"/>
    <w:rsid w:val="00EF2260"/>
    <w:rsid w:val="00EF3A69"/>
    <w:rsid w:val="00EF5A5C"/>
    <w:rsid w:val="00F01803"/>
    <w:rsid w:val="00F023B2"/>
    <w:rsid w:val="00F051B7"/>
    <w:rsid w:val="00F0579F"/>
    <w:rsid w:val="00F06BF7"/>
    <w:rsid w:val="00F06FDE"/>
    <w:rsid w:val="00F115C5"/>
    <w:rsid w:val="00F142CE"/>
    <w:rsid w:val="00F16B94"/>
    <w:rsid w:val="00F17631"/>
    <w:rsid w:val="00F209D9"/>
    <w:rsid w:val="00F26F7A"/>
    <w:rsid w:val="00F37CF7"/>
    <w:rsid w:val="00F432F9"/>
    <w:rsid w:val="00F44534"/>
    <w:rsid w:val="00F50BA6"/>
    <w:rsid w:val="00F55EF3"/>
    <w:rsid w:val="00F57E6F"/>
    <w:rsid w:val="00F64F10"/>
    <w:rsid w:val="00F71777"/>
    <w:rsid w:val="00F74394"/>
    <w:rsid w:val="00F77048"/>
    <w:rsid w:val="00F778B2"/>
    <w:rsid w:val="00F807D2"/>
    <w:rsid w:val="00F84793"/>
    <w:rsid w:val="00F85CC2"/>
    <w:rsid w:val="00F86569"/>
    <w:rsid w:val="00F87CA7"/>
    <w:rsid w:val="00F93A95"/>
    <w:rsid w:val="00F96340"/>
    <w:rsid w:val="00F96584"/>
    <w:rsid w:val="00F97206"/>
    <w:rsid w:val="00F97504"/>
    <w:rsid w:val="00F97B88"/>
    <w:rsid w:val="00FA18FE"/>
    <w:rsid w:val="00FA1C6B"/>
    <w:rsid w:val="00FA3EDF"/>
    <w:rsid w:val="00FA4670"/>
    <w:rsid w:val="00FA55C2"/>
    <w:rsid w:val="00FA5656"/>
    <w:rsid w:val="00FA63A6"/>
    <w:rsid w:val="00FC4E33"/>
    <w:rsid w:val="00FD26AF"/>
    <w:rsid w:val="00FD49C0"/>
    <w:rsid w:val="00FD4C63"/>
    <w:rsid w:val="00FD56FF"/>
    <w:rsid w:val="00FD6078"/>
    <w:rsid w:val="00FD74EC"/>
    <w:rsid w:val="00FE122E"/>
    <w:rsid w:val="00FE1622"/>
    <w:rsid w:val="00FE3AD3"/>
    <w:rsid w:val="00FE3F6C"/>
    <w:rsid w:val="00FE6C98"/>
    <w:rsid w:val="00FE77CE"/>
    <w:rsid w:val="00FF16FE"/>
    <w:rsid w:val="00FF47FC"/>
    <w:rsid w:val="00FF5141"/>
    <w:rsid w:val="00FF52FE"/>
    <w:rsid w:val="00FF6CE4"/>
    <w:rsid w:val="014D5971"/>
    <w:rsid w:val="0167625E"/>
    <w:rsid w:val="01D00364"/>
    <w:rsid w:val="02507483"/>
    <w:rsid w:val="02767838"/>
    <w:rsid w:val="03024922"/>
    <w:rsid w:val="03720CB3"/>
    <w:rsid w:val="03722AB2"/>
    <w:rsid w:val="03BE1644"/>
    <w:rsid w:val="04AF5D5D"/>
    <w:rsid w:val="055760F5"/>
    <w:rsid w:val="05704ADD"/>
    <w:rsid w:val="058760FF"/>
    <w:rsid w:val="05A5456E"/>
    <w:rsid w:val="05DC443C"/>
    <w:rsid w:val="062C42CC"/>
    <w:rsid w:val="06350A7A"/>
    <w:rsid w:val="06E22751"/>
    <w:rsid w:val="070D0724"/>
    <w:rsid w:val="073B2296"/>
    <w:rsid w:val="08193505"/>
    <w:rsid w:val="08A00959"/>
    <w:rsid w:val="092701D5"/>
    <w:rsid w:val="09470F87"/>
    <w:rsid w:val="0A27473D"/>
    <w:rsid w:val="0A393C22"/>
    <w:rsid w:val="0A4B0665"/>
    <w:rsid w:val="0AC07C12"/>
    <w:rsid w:val="0B3C79C7"/>
    <w:rsid w:val="0B5A0041"/>
    <w:rsid w:val="0B616C59"/>
    <w:rsid w:val="0B8846AD"/>
    <w:rsid w:val="0B8A3CD0"/>
    <w:rsid w:val="0C5E4170"/>
    <w:rsid w:val="0CAA57AE"/>
    <w:rsid w:val="0D521FF1"/>
    <w:rsid w:val="0D5A34C8"/>
    <w:rsid w:val="0D5E3E85"/>
    <w:rsid w:val="0DA27E33"/>
    <w:rsid w:val="0E8E4C71"/>
    <w:rsid w:val="0F0724E5"/>
    <w:rsid w:val="0F140884"/>
    <w:rsid w:val="0F3D5FD3"/>
    <w:rsid w:val="0FF82EA4"/>
    <w:rsid w:val="105023D6"/>
    <w:rsid w:val="10812257"/>
    <w:rsid w:val="10D35F62"/>
    <w:rsid w:val="110C517B"/>
    <w:rsid w:val="111C630B"/>
    <w:rsid w:val="124063B8"/>
    <w:rsid w:val="1308366C"/>
    <w:rsid w:val="140C6FDF"/>
    <w:rsid w:val="147B5DFE"/>
    <w:rsid w:val="14AA6C59"/>
    <w:rsid w:val="14AD792A"/>
    <w:rsid w:val="151B0060"/>
    <w:rsid w:val="1563351B"/>
    <w:rsid w:val="156C1F46"/>
    <w:rsid w:val="15B559F6"/>
    <w:rsid w:val="15C252DE"/>
    <w:rsid w:val="15C9489A"/>
    <w:rsid w:val="161366C9"/>
    <w:rsid w:val="162E0F70"/>
    <w:rsid w:val="1632203F"/>
    <w:rsid w:val="165C56A8"/>
    <w:rsid w:val="16712494"/>
    <w:rsid w:val="176F21A2"/>
    <w:rsid w:val="179F20E9"/>
    <w:rsid w:val="17BD0E06"/>
    <w:rsid w:val="18806089"/>
    <w:rsid w:val="18D6206B"/>
    <w:rsid w:val="194B6DF5"/>
    <w:rsid w:val="19997E0D"/>
    <w:rsid w:val="19BA4355"/>
    <w:rsid w:val="19CE191F"/>
    <w:rsid w:val="1A51219A"/>
    <w:rsid w:val="1A9058A9"/>
    <w:rsid w:val="1AAB6055"/>
    <w:rsid w:val="1AC47D05"/>
    <w:rsid w:val="1B033422"/>
    <w:rsid w:val="1B292BB9"/>
    <w:rsid w:val="1B4D4655"/>
    <w:rsid w:val="1B67215F"/>
    <w:rsid w:val="1BC6748B"/>
    <w:rsid w:val="1C044C3B"/>
    <w:rsid w:val="1D3A72D5"/>
    <w:rsid w:val="1D8E3172"/>
    <w:rsid w:val="1E083AAB"/>
    <w:rsid w:val="1E734872"/>
    <w:rsid w:val="1E996BDA"/>
    <w:rsid w:val="1EA646F4"/>
    <w:rsid w:val="1EF85C90"/>
    <w:rsid w:val="1F025496"/>
    <w:rsid w:val="1F65796E"/>
    <w:rsid w:val="1F875293"/>
    <w:rsid w:val="1FBF7EBB"/>
    <w:rsid w:val="1FCA34E0"/>
    <w:rsid w:val="1FE52799"/>
    <w:rsid w:val="20282A2E"/>
    <w:rsid w:val="205462DB"/>
    <w:rsid w:val="214C4E1A"/>
    <w:rsid w:val="21504720"/>
    <w:rsid w:val="21F347CA"/>
    <w:rsid w:val="22230BF1"/>
    <w:rsid w:val="22D4312F"/>
    <w:rsid w:val="233F1FD4"/>
    <w:rsid w:val="236D789C"/>
    <w:rsid w:val="24101808"/>
    <w:rsid w:val="242654FE"/>
    <w:rsid w:val="24397EA3"/>
    <w:rsid w:val="24545B99"/>
    <w:rsid w:val="248637E6"/>
    <w:rsid w:val="2566124B"/>
    <w:rsid w:val="257F3B7A"/>
    <w:rsid w:val="258440AE"/>
    <w:rsid w:val="25ED05B0"/>
    <w:rsid w:val="266D40CA"/>
    <w:rsid w:val="26977CB1"/>
    <w:rsid w:val="269D5D12"/>
    <w:rsid w:val="26B3042C"/>
    <w:rsid w:val="2710526A"/>
    <w:rsid w:val="2744428A"/>
    <w:rsid w:val="277A26A9"/>
    <w:rsid w:val="281363EB"/>
    <w:rsid w:val="28BB6673"/>
    <w:rsid w:val="2A754FFC"/>
    <w:rsid w:val="2AD827AF"/>
    <w:rsid w:val="2AF21CB8"/>
    <w:rsid w:val="2B5239AA"/>
    <w:rsid w:val="2C7A13C1"/>
    <w:rsid w:val="2C8F4FB4"/>
    <w:rsid w:val="2D1C70D3"/>
    <w:rsid w:val="2D4E7BE9"/>
    <w:rsid w:val="2DFF4AE6"/>
    <w:rsid w:val="2EE51CAB"/>
    <w:rsid w:val="2F234F08"/>
    <w:rsid w:val="2F512825"/>
    <w:rsid w:val="304275D6"/>
    <w:rsid w:val="3048606B"/>
    <w:rsid w:val="30F065D0"/>
    <w:rsid w:val="31A5101B"/>
    <w:rsid w:val="320C7286"/>
    <w:rsid w:val="329C57E4"/>
    <w:rsid w:val="32AE2918"/>
    <w:rsid w:val="32F017AB"/>
    <w:rsid w:val="331956FF"/>
    <w:rsid w:val="33236824"/>
    <w:rsid w:val="33BA4772"/>
    <w:rsid w:val="34787029"/>
    <w:rsid w:val="34826C54"/>
    <w:rsid w:val="34B41374"/>
    <w:rsid w:val="3540235F"/>
    <w:rsid w:val="35E44B74"/>
    <w:rsid w:val="35EC7749"/>
    <w:rsid w:val="364F79D0"/>
    <w:rsid w:val="36593858"/>
    <w:rsid w:val="36EA5ECB"/>
    <w:rsid w:val="37F625A4"/>
    <w:rsid w:val="39127737"/>
    <w:rsid w:val="39752FE4"/>
    <w:rsid w:val="39BA6F5A"/>
    <w:rsid w:val="39E341FB"/>
    <w:rsid w:val="3A6E56D8"/>
    <w:rsid w:val="3AA97A94"/>
    <w:rsid w:val="3B2F2397"/>
    <w:rsid w:val="3B751C94"/>
    <w:rsid w:val="3BBE4831"/>
    <w:rsid w:val="3C053F67"/>
    <w:rsid w:val="3C175DEC"/>
    <w:rsid w:val="3C221C81"/>
    <w:rsid w:val="3C6424D1"/>
    <w:rsid w:val="3C653766"/>
    <w:rsid w:val="3C912D74"/>
    <w:rsid w:val="3CC36A7C"/>
    <w:rsid w:val="3DDC0F7B"/>
    <w:rsid w:val="3E6E1CEB"/>
    <w:rsid w:val="3F455B25"/>
    <w:rsid w:val="3FA43483"/>
    <w:rsid w:val="4041258D"/>
    <w:rsid w:val="40837FE2"/>
    <w:rsid w:val="40CF7046"/>
    <w:rsid w:val="412277B4"/>
    <w:rsid w:val="41307A9B"/>
    <w:rsid w:val="41413698"/>
    <w:rsid w:val="425F00D8"/>
    <w:rsid w:val="42BE4B22"/>
    <w:rsid w:val="436206E7"/>
    <w:rsid w:val="4367449A"/>
    <w:rsid w:val="436F1479"/>
    <w:rsid w:val="43BA5A33"/>
    <w:rsid w:val="43DD6D3D"/>
    <w:rsid w:val="44136161"/>
    <w:rsid w:val="441D4551"/>
    <w:rsid w:val="44456AF0"/>
    <w:rsid w:val="445C4121"/>
    <w:rsid w:val="44D277A4"/>
    <w:rsid w:val="45392119"/>
    <w:rsid w:val="45545993"/>
    <w:rsid w:val="45EF69A2"/>
    <w:rsid w:val="462E4370"/>
    <w:rsid w:val="463504B2"/>
    <w:rsid w:val="46C87F52"/>
    <w:rsid w:val="46F64344"/>
    <w:rsid w:val="470D0C0C"/>
    <w:rsid w:val="47227205"/>
    <w:rsid w:val="472D3587"/>
    <w:rsid w:val="4737167E"/>
    <w:rsid w:val="474F30CA"/>
    <w:rsid w:val="47CA3C2D"/>
    <w:rsid w:val="47D26A6C"/>
    <w:rsid w:val="47EC0897"/>
    <w:rsid w:val="48733B86"/>
    <w:rsid w:val="48B21239"/>
    <w:rsid w:val="49104335"/>
    <w:rsid w:val="4A072140"/>
    <w:rsid w:val="4A0F6FBF"/>
    <w:rsid w:val="4A192B6E"/>
    <w:rsid w:val="4A6242BC"/>
    <w:rsid w:val="4A7C4B24"/>
    <w:rsid w:val="4AC1220E"/>
    <w:rsid w:val="4AD25BC2"/>
    <w:rsid w:val="4B84704A"/>
    <w:rsid w:val="4BF25808"/>
    <w:rsid w:val="4C197C35"/>
    <w:rsid w:val="4CB64348"/>
    <w:rsid w:val="4D7D362D"/>
    <w:rsid w:val="4DDE37A9"/>
    <w:rsid w:val="4E6D403B"/>
    <w:rsid w:val="4ECB75A1"/>
    <w:rsid w:val="50125E3D"/>
    <w:rsid w:val="50AF7E25"/>
    <w:rsid w:val="50B85310"/>
    <w:rsid w:val="50D52EBC"/>
    <w:rsid w:val="51833D87"/>
    <w:rsid w:val="522A3E84"/>
    <w:rsid w:val="527302DD"/>
    <w:rsid w:val="538E2252"/>
    <w:rsid w:val="53D9194A"/>
    <w:rsid w:val="54D32557"/>
    <w:rsid w:val="561028CF"/>
    <w:rsid w:val="56CE5F80"/>
    <w:rsid w:val="5743612D"/>
    <w:rsid w:val="576F3538"/>
    <w:rsid w:val="57EE7B99"/>
    <w:rsid w:val="58854FB9"/>
    <w:rsid w:val="593D6601"/>
    <w:rsid w:val="59442663"/>
    <w:rsid w:val="59DD441F"/>
    <w:rsid w:val="59E4289F"/>
    <w:rsid w:val="59ED0937"/>
    <w:rsid w:val="5A356821"/>
    <w:rsid w:val="5A6455BB"/>
    <w:rsid w:val="5AC95EC0"/>
    <w:rsid w:val="5AE00348"/>
    <w:rsid w:val="5C53580B"/>
    <w:rsid w:val="5C8A76D5"/>
    <w:rsid w:val="5CD31964"/>
    <w:rsid w:val="5CDF37E9"/>
    <w:rsid w:val="5D8125BE"/>
    <w:rsid w:val="5DD40416"/>
    <w:rsid w:val="5DE33F74"/>
    <w:rsid w:val="5ED67BF4"/>
    <w:rsid w:val="5FEC48FC"/>
    <w:rsid w:val="60820899"/>
    <w:rsid w:val="60D314FC"/>
    <w:rsid w:val="612B3202"/>
    <w:rsid w:val="61786B33"/>
    <w:rsid w:val="617C51CF"/>
    <w:rsid w:val="619948D9"/>
    <w:rsid w:val="61CB4705"/>
    <w:rsid w:val="62966FF7"/>
    <w:rsid w:val="629A7DE2"/>
    <w:rsid w:val="63086A82"/>
    <w:rsid w:val="630E2816"/>
    <w:rsid w:val="63232EEA"/>
    <w:rsid w:val="637D1D0F"/>
    <w:rsid w:val="63A71F6A"/>
    <w:rsid w:val="63AA2A89"/>
    <w:rsid w:val="63B53257"/>
    <w:rsid w:val="63D67EED"/>
    <w:rsid w:val="640C134D"/>
    <w:rsid w:val="647226C1"/>
    <w:rsid w:val="64BC1407"/>
    <w:rsid w:val="64C93403"/>
    <w:rsid w:val="6505217B"/>
    <w:rsid w:val="6514737F"/>
    <w:rsid w:val="6555469B"/>
    <w:rsid w:val="658F555E"/>
    <w:rsid w:val="66041D86"/>
    <w:rsid w:val="66997604"/>
    <w:rsid w:val="66B351C6"/>
    <w:rsid w:val="66D3207C"/>
    <w:rsid w:val="66FD6E65"/>
    <w:rsid w:val="673A7802"/>
    <w:rsid w:val="677A19CD"/>
    <w:rsid w:val="67CF3AA7"/>
    <w:rsid w:val="67F856BB"/>
    <w:rsid w:val="68041508"/>
    <w:rsid w:val="68F36508"/>
    <w:rsid w:val="69E37F08"/>
    <w:rsid w:val="69F55964"/>
    <w:rsid w:val="6A3B4611"/>
    <w:rsid w:val="6A8D75AA"/>
    <w:rsid w:val="6ADF13DF"/>
    <w:rsid w:val="6AF90BF0"/>
    <w:rsid w:val="6B7C458F"/>
    <w:rsid w:val="6C167F90"/>
    <w:rsid w:val="6CCA4A6A"/>
    <w:rsid w:val="6D3F77BA"/>
    <w:rsid w:val="6D70203D"/>
    <w:rsid w:val="6E720DD1"/>
    <w:rsid w:val="6EC15BC3"/>
    <w:rsid w:val="6F9E086B"/>
    <w:rsid w:val="6FD64C2C"/>
    <w:rsid w:val="701B65DE"/>
    <w:rsid w:val="70257A4C"/>
    <w:rsid w:val="70384F0E"/>
    <w:rsid w:val="703B5B52"/>
    <w:rsid w:val="70594F28"/>
    <w:rsid w:val="705B4FE5"/>
    <w:rsid w:val="70961768"/>
    <w:rsid w:val="7139070B"/>
    <w:rsid w:val="716C4CBC"/>
    <w:rsid w:val="716E2A37"/>
    <w:rsid w:val="71953FA1"/>
    <w:rsid w:val="71B6295D"/>
    <w:rsid w:val="71EB5320"/>
    <w:rsid w:val="720C37C4"/>
    <w:rsid w:val="726A1EE3"/>
    <w:rsid w:val="727956AA"/>
    <w:rsid w:val="72E56F8C"/>
    <w:rsid w:val="732B19DC"/>
    <w:rsid w:val="73E14DFB"/>
    <w:rsid w:val="74637E17"/>
    <w:rsid w:val="747A16A7"/>
    <w:rsid w:val="747C3E81"/>
    <w:rsid w:val="74944914"/>
    <w:rsid w:val="74D8656F"/>
    <w:rsid w:val="750F6C63"/>
    <w:rsid w:val="75133FB1"/>
    <w:rsid w:val="75BC2223"/>
    <w:rsid w:val="768F42A4"/>
    <w:rsid w:val="76E42F58"/>
    <w:rsid w:val="76E86704"/>
    <w:rsid w:val="77130C4E"/>
    <w:rsid w:val="77381B59"/>
    <w:rsid w:val="77BA1C9A"/>
    <w:rsid w:val="77DE6BBF"/>
    <w:rsid w:val="785D236F"/>
    <w:rsid w:val="78636F18"/>
    <w:rsid w:val="78897121"/>
    <w:rsid w:val="78E43651"/>
    <w:rsid w:val="79FB15DB"/>
    <w:rsid w:val="7A262B9D"/>
    <w:rsid w:val="7B13382D"/>
    <w:rsid w:val="7C6F561D"/>
    <w:rsid w:val="7CAF06D6"/>
    <w:rsid w:val="7D1365EC"/>
    <w:rsid w:val="7D2F4842"/>
    <w:rsid w:val="7D417326"/>
    <w:rsid w:val="7D5E6F5C"/>
    <w:rsid w:val="7D7A72E3"/>
    <w:rsid w:val="7DAA0767"/>
    <w:rsid w:val="7DCA3E08"/>
    <w:rsid w:val="7DE72D25"/>
    <w:rsid w:val="7E70148A"/>
    <w:rsid w:val="7F041CC2"/>
    <w:rsid w:val="7F0A6740"/>
    <w:rsid w:val="7F66731B"/>
    <w:rsid w:val="7F6E0891"/>
    <w:rsid w:val="7F6E641C"/>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0"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qFormat="1" w:unhideWhenUsed="0" w:uiPriority="0" w:semiHidden="0"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sdException w:uiPriority="99" w:name="footnote text" w:locked="1"/>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semiHidden="0" w:name="annotation reference"/>
    <w:lsdException w:uiPriority="99" w:name="line number" w:locked="1"/>
    <w:lsdException w:qFormat="1" w:unhideWhenUsed="0" w:uiPriority="0" w:semiHidden="0"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qFormat="1" w:unhideWhenUsed="0" w:uiPriority="99" w:semiHidden="0" w:name="List 2"/>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qFormat="1" w:unhideWhenUsed="0" w:uiPriority="99" w:semiHidden="0" w:name="Date"/>
    <w:lsdException w:qFormat="1" w:unhideWhenUsed="0" w:uiPriority="0" w:semiHidden="0" w:name="Body Text First Indent" w:locked="1"/>
    <w:lsdException w:qFormat="1" w:unhideWhenUsed="0" w:uiPriority="0" w:semiHidden="0" w:name="Body Text First Indent 2" w:locked="1"/>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sdException w:qFormat="1" w:unhideWhenUsed="0" w:uiPriority="20" w:semiHidden="0" w:name="Emphasis" w:locked="1"/>
    <w:lsdException w:uiPriority="99" w:name="Document Map" w:locked="1"/>
    <w:lsdException w:qFormat="1" w:unhideWhenUsed="0" w:uiPriority="0" w:semiHidden="0" w:name="Plain Text"/>
    <w:lsdException w:uiPriority="99" w:name="E-mail Signature" w:locked="1"/>
    <w:lsdException w:qFormat="1" w:unhideWhenUsed="0" w:uiPriority="0"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paragraph" w:styleId="3">
    <w:name w:val="heading 1"/>
    <w:basedOn w:val="1"/>
    <w:next w:val="1"/>
    <w:link w:val="33"/>
    <w:qFormat/>
    <w:uiPriority w:val="99"/>
    <w:pPr>
      <w:keepNext/>
      <w:keepLines/>
      <w:spacing w:before="340" w:after="330" w:line="578" w:lineRule="auto"/>
      <w:outlineLvl w:val="0"/>
    </w:pPr>
    <w:rPr>
      <w:b/>
      <w:bCs/>
      <w:kern w:val="44"/>
      <w:sz w:val="44"/>
      <w:szCs w:val="44"/>
    </w:rPr>
  </w:style>
  <w:style w:type="paragraph" w:styleId="4">
    <w:name w:val="heading 2"/>
    <w:basedOn w:val="1"/>
    <w:next w:val="1"/>
    <w:link w:val="34"/>
    <w:qFormat/>
    <w:uiPriority w:val="99"/>
    <w:pPr>
      <w:keepLines/>
      <w:widowControl w:val="0"/>
      <w:numPr>
        <w:ilvl w:val="0"/>
        <w:numId w:val="1"/>
      </w:numPr>
      <w:tabs>
        <w:tab w:val="left" w:pos="239"/>
      </w:tabs>
      <w:spacing w:beforeLines="150" w:afterLines="50"/>
      <w:jc w:val="both"/>
      <w:outlineLvl w:val="1"/>
    </w:pPr>
    <w:rPr>
      <w:rFonts w:ascii="宋体" w:hAnsi="Arial"/>
      <w:b/>
      <w:bCs/>
      <w:sz w:val="24"/>
      <w:szCs w:val="32"/>
    </w:rPr>
  </w:style>
  <w:style w:type="paragraph" w:styleId="5">
    <w:name w:val="heading 3"/>
    <w:basedOn w:val="1"/>
    <w:next w:val="1"/>
    <w:link w:val="35"/>
    <w:qFormat/>
    <w:uiPriority w:val="0"/>
    <w:pPr>
      <w:widowControl w:val="0"/>
      <w:spacing w:line="360" w:lineRule="auto"/>
      <w:jc w:val="both"/>
      <w:outlineLvl w:val="2"/>
    </w:pPr>
    <w:rPr>
      <w:rFonts w:ascii="宋体"/>
      <w:sz w:val="20"/>
    </w:rPr>
  </w:style>
  <w:style w:type="character" w:default="1" w:styleId="26">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40"/>
    <w:qFormat/>
    <w:uiPriority w:val="0"/>
    <w:pPr>
      <w:spacing w:after="120"/>
      <w:ind w:left="420" w:leftChars="200"/>
    </w:pPr>
    <w:rPr>
      <w:sz w:val="20"/>
    </w:rPr>
  </w:style>
  <w:style w:type="paragraph" w:styleId="6">
    <w:name w:val="Normal Indent"/>
    <w:basedOn w:val="1"/>
    <w:link w:val="59"/>
    <w:qFormat/>
    <w:uiPriority w:val="99"/>
    <w:pPr>
      <w:widowControl w:val="0"/>
      <w:autoSpaceDE w:val="0"/>
      <w:autoSpaceDN w:val="0"/>
      <w:adjustRightInd w:val="0"/>
      <w:ind w:firstLine="420"/>
    </w:pPr>
    <w:rPr>
      <w:rFonts w:ascii="宋体"/>
      <w:sz w:val="34"/>
    </w:rPr>
  </w:style>
  <w:style w:type="paragraph" w:styleId="7">
    <w:name w:val="caption"/>
    <w:basedOn w:val="1"/>
    <w:next w:val="1"/>
    <w:qFormat/>
    <w:uiPriority w:val="99"/>
    <w:rPr>
      <w:rFonts w:ascii="Cambria" w:hAnsi="Cambria" w:eastAsia="黑体"/>
      <w:sz w:val="20"/>
    </w:rPr>
  </w:style>
  <w:style w:type="paragraph" w:styleId="8">
    <w:name w:val="index 5"/>
    <w:basedOn w:val="1"/>
    <w:next w:val="1"/>
    <w:qFormat/>
    <w:locked/>
    <w:uiPriority w:val="0"/>
    <w:pPr>
      <w:ind w:left="1680"/>
    </w:pPr>
  </w:style>
  <w:style w:type="paragraph" w:styleId="9">
    <w:name w:val="annotation text"/>
    <w:basedOn w:val="1"/>
    <w:link w:val="36"/>
    <w:qFormat/>
    <w:uiPriority w:val="0"/>
  </w:style>
  <w:style w:type="paragraph" w:styleId="10">
    <w:name w:val="Body Text 3"/>
    <w:basedOn w:val="1"/>
    <w:link w:val="38"/>
    <w:qFormat/>
    <w:uiPriority w:val="99"/>
    <w:pPr>
      <w:spacing w:after="120"/>
    </w:pPr>
    <w:rPr>
      <w:sz w:val="16"/>
      <w:szCs w:val="16"/>
    </w:rPr>
  </w:style>
  <w:style w:type="paragraph" w:styleId="11">
    <w:name w:val="Body Text"/>
    <w:basedOn w:val="1"/>
    <w:next w:val="12"/>
    <w:link w:val="39"/>
    <w:qFormat/>
    <w:uiPriority w:val="99"/>
    <w:pPr>
      <w:widowControl w:val="0"/>
      <w:spacing w:after="120"/>
      <w:jc w:val="both"/>
    </w:pPr>
    <w:rPr>
      <w:rFonts w:ascii="仿宋_GB2312" w:eastAsia="仿宋_GB2312"/>
      <w:spacing w:val="20"/>
      <w:kern w:val="2"/>
      <w:sz w:val="28"/>
      <w:szCs w:val="24"/>
    </w:rPr>
  </w:style>
  <w:style w:type="paragraph" w:customStyle="1" w:styleId="12">
    <w:name w:val="_Style 2"/>
    <w:basedOn w:val="1"/>
    <w:next w:val="1"/>
    <w:qFormat/>
    <w:uiPriority w:val="0"/>
    <w:pPr>
      <w:ind w:firstLine="420"/>
    </w:pPr>
    <w:rPr>
      <w:szCs w:val="21"/>
    </w:rPr>
  </w:style>
  <w:style w:type="paragraph" w:styleId="13">
    <w:name w:val="List 2"/>
    <w:basedOn w:val="1"/>
    <w:qFormat/>
    <w:uiPriority w:val="99"/>
    <w:pPr>
      <w:widowControl w:val="0"/>
      <w:autoSpaceDE w:val="0"/>
      <w:autoSpaceDN w:val="0"/>
      <w:adjustRightInd w:val="0"/>
      <w:ind w:left="100" w:leftChars="200" w:hanging="200" w:hangingChars="200"/>
    </w:pPr>
    <w:rPr>
      <w:szCs w:val="21"/>
    </w:rPr>
  </w:style>
  <w:style w:type="paragraph" w:styleId="14">
    <w:name w:val="Plain Text"/>
    <w:basedOn w:val="1"/>
    <w:link w:val="41"/>
    <w:qFormat/>
    <w:uiPriority w:val="0"/>
    <w:pPr>
      <w:widowControl w:val="0"/>
      <w:jc w:val="both"/>
    </w:pPr>
    <w:rPr>
      <w:rFonts w:ascii="宋体" w:hAnsi="Courier New"/>
      <w:kern w:val="2"/>
    </w:rPr>
  </w:style>
  <w:style w:type="paragraph" w:styleId="15">
    <w:name w:val="Date"/>
    <w:basedOn w:val="1"/>
    <w:next w:val="1"/>
    <w:link w:val="42"/>
    <w:qFormat/>
    <w:uiPriority w:val="99"/>
    <w:pPr>
      <w:widowControl w:val="0"/>
      <w:jc w:val="both"/>
    </w:pPr>
    <w:rPr>
      <w:sz w:val="20"/>
    </w:rPr>
  </w:style>
  <w:style w:type="paragraph" w:styleId="16">
    <w:name w:val="Body Text Indent 2"/>
    <w:basedOn w:val="1"/>
    <w:link w:val="43"/>
    <w:qFormat/>
    <w:uiPriority w:val="99"/>
    <w:pPr>
      <w:spacing w:after="120" w:line="480" w:lineRule="auto"/>
      <w:ind w:left="420" w:leftChars="200"/>
    </w:pPr>
  </w:style>
  <w:style w:type="paragraph" w:styleId="17">
    <w:name w:val="Balloon Text"/>
    <w:basedOn w:val="1"/>
    <w:link w:val="44"/>
    <w:qFormat/>
    <w:uiPriority w:val="99"/>
    <w:rPr>
      <w:sz w:val="18"/>
      <w:szCs w:val="18"/>
    </w:rPr>
  </w:style>
  <w:style w:type="paragraph" w:styleId="18">
    <w:name w:val="footer"/>
    <w:basedOn w:val="1"/>
    <w:link w:val="45"/>
    <w:qFormat/>
    <w:uiPriority w:val="99"/>
    <w:pPr>
      <w:tabs>
        <w:tab w:val="center" w:pos="4153"/>
        <w:tab w:val="right" w:pos="8306"/>
      </w:tabs>
      <w:snapToGrid w:val="0"/>
    </w:pPr>
    <w:rPr>
      <w:sz w:val="18"/>
      <w:szCs w:val="18"/>
    </w:rPr>
  </w:style>
  <w:style w:type="paragraph" w:styleId="19">
    <w:name w:val="header"/>
    <w:basedOn w:val="1"/>
    <w:link w:val="46"/>
    <w:qFormat/>
    <w:uiPriority w:val="99"/>
    <w:pPr>
      <w:pBdr>
        <w:bottom w:val="single" w:color="auto" w:sz="6" w:space="1"/>
      </w:pBdr>
      <w:tabs>
        <w:tab w:val="center" w:pos="4153"/>
        <w:tab w:val="right" w:pos="8306"/>
      </w:tabs>
      <w:snapToGrid w:val="0"/>
      <w:jc w:val="center"/>
    </w:pPr>
    <w:rPr>
      <w:sz w:val="18"/>
      <w:szCs w:val="18"/>
    </w:rPr>
  </w:style>
  <w:style w:type="paragraph" w:styleId="20">
    <w:name w:val="Normal (Web)"/>
    <w:basedOn w:val="1"/>
    <w:qFormat/>
    <w:uiPriority w:val="0"/>
    <w:pPr>
      <w:spacing w:before="100" w:beforeAutospacing="1" w:after="100" w:afterAutospacing="1"/>
    </w:pPr>
    <w:rPr>
      <w:rFonts w:ascii="宋体" w:hAnsi="宋体" w:cs="宋体"/>
      <w:sz w:val="24"/>
      <w:szCs w:val="24"/>
    </w:rPr>
  </w:style>
  <w:style w:type="paragraph" w:styleId="21">
    <w:name w:val="Title"/>
    <w:basedOn w:val="1"/>
    <w:next w:val="1"/>
    <w:link w:val="47"/>
    <w:qFormat/>
    <w:uiPriority w:val="99"/>
    <w:pPr>
      <w:widowControl w:val="0"/>
      <w:autoSpaceDE w:val="0"/>
      <w:autoSpaceDN w:val="0"/>
      <w:adjustRightInd w:val="0"/>
      <w:spacing w:before="240" w:after="60"/>
      <w:jc w:val="center"/>
      <w:outlineLvl w:val="0"/>
    </w:pPr>
    <w:rPr>
      <w:rFonts w:ascii="Cambria" w:hAnsi="Cambria"/>
      <w:b/>
      <w:bCs/>
      <w:sz w:val="32"/>
      <w:szCs w:val="32"/>
    </w:rPr>
  </w:style>
  <w:style w:type="paragraph" w:styleId="22">
    <w:name w:val="annotation subject"/>
    <w:basedOn w:val="9"/>
    <w:next w:val="9"/>
    <w:link w:val="37"/>
    <w:qFormat/>
    <w:uiPriority w:val="99"/>
    <w:rPr>
      <w:b/>
      <w:bCs/>
    </w:rPr>
  </w:style>
  <w:style w:type="paragraph" w:styleId="23">
    <w:name w:val="Body Text First Indent"/>
    <w:basedOn w:val="11"/>
    <w:qFormat/>
    <w:locked/>
    <w:uiPriority w:val="0"/>
    <w:pPr>
      <w:ind w:firstLine="420" w:firstLineChars="100"/>
    </w:pPr>
    <w:rPr>
      <w:rFonts w:ascii="宋体" w:eastAsia="宋体"/>
      <w:color w:val="000000"/>
      <w:spacing w:val="0"/>
      <w:sz w:val="21"/>
      <w:szCs w:val="20"/>
    </w:rPr>
  </w:style>
  <w:style w:type="paragraph" w:styleId="24">
    <w:name w:val="Body Text First Indent 2"/>
    <w:basedOn w:val="2"/>
    <w:qFormat/>
    <w:locked/>
    <w:uiPriority w:val="0"/>
    <w:pPr>
      <w:widowControl w:val="0"/>
      <w:tabs>
        <w:tab w:val="left" w:pos="-720"/>
      </w:tabs>
      <w:ind w:firstLine="420" w:firstLineChars="200"/>
    </w:pPr>
    <w:rPr>
      <w:rFonts w:hAnsi="Calibri"/>
    </w:rPr>
  </w:style>
  <w:style w:type="character" w:styleId="27">
    <w:name w:val="Strong"/>
    <w:basedOn w:val="26"/>
    <w:qFormat/>
    <w:uiPriority w:val="0"/>
    <w:rPr>
      <w:rFonts w:cs="Times New Roman"/>
      <w:b/>
    </w:rPr>
  </w:style>
  <w:style w:type="character" w:styleId="28">
    <w:name w:val="page number"/>
    <w:basedOn w:val="26"/>
    <w:qFormat/>
    <w:locked/>
    <w:uiPriority w:val="0"/>
  </w:style>
  <w:style w:type="character" w:styleId="29">
    <w:name w:val="Emphasis"/>
    <w:basedOn w:val="26"/>
    <w:qFormat/>
    <w:locked/>
    <w:uiPriority w:val="20"/>
    <w:rPr>
      <w:i/>
    </w:rPr>
  </w:style>
  <w:style w:type="character" w:styleId="30">
    <w:name w:val="Hyperlink"/>
    <w:basedOn w:val="26"/>
    <w:qFormat/>
    <w:uiPriority w:val="99"/>
    <w:rPr>
      <w:rFonts w:cs="Times New Roman"/>
      <w:color w:val="0000FF"/>
      <w:u w:val="single"/>
    </w:rPr>
  </w:style>
  <w:style w:type="character" w:styleId="31">
    <w:name w:val="annotation reference"/>
    <w:basedOn w:val="26"/>
    <w:qFormat/>
    <w:uiPriority w:val="99"/>
    <w:rPr>
      <w:rFonts w:cs="Times New Roman"/>
      <w:sz w:val="21"/>
    </w:rPr>
  </w:style>
  <w:style w:type="paragraph" w:customStyle="1" w:styleId="32">
    <w:name w:val="正文1"/>
    <w:qFormat/>
    <w:uiPriority w:val="99"/>
    <w:pPr>
      <w:jc w:val="both"/>
    </w:pPr>
    <w:rPr>
      <w:rFonts w:ascii="Calibri" w:hAnsi="Calibri" w:eastAsia="宋体" w:cs="宋体"/>
      <w:kern w:val="2"/>
      <w:sz w:val="21"/>
      <w:szCs w:val="21"/>
      <w:lang w:val="en-US" w:eastAsia="zh-CN" w:bidi="ar-SA"/>
    </w:rPr>
  </w:style>
  <w:style w:type="character" w:customStyle="1" w:styleId="33">
    <w:name w:val="标题 1 字符"/>
    <w:basedOn w:val="26"/>
    <w:link w:val="3"/>
    <w:qFormat/>
    <w:locked/>
    <w:uiPriority w:val="99"/>
    <w:rPr>
      <w:rFonts w:ascii="Times New Roman" w:hAnsi="Times New Roman" w:eastAsia="宋体" w:cs="Times New Roman"/>
      <w:b/>
      <w:kern w:val="44"/>
      <w:sz w:val="44"/>
    </w:rPr>
  </w:style>
  <w:style w:type="character" w:customStyle="1" w:styleId="34">
    <w:name w:val="标题 2 字符"/>
    <w:basedOn w:val="26"/>
    <w:link w:val="4"/>
    <w:qFormat/>
    <w:locked/>
    <w:uiPriority w:val="99"/>
    <w:rPr>
      <w:rFonts w:ascii="宋体" w:hAnsi="Arial" w:cs="Times New Roman"/>
      <w:b/>
      <w:sz w:val="32"/>
    </w:rPr>
  </w:style>
  <w:style w:type="character" w:customStyle="1" w:styleId="35">
    <w:name w:val="标题 3 字符"/>
    <w:basedOn w:val="26"/>
    <w:link w:val="5"/>
    <w:qFormat/>
    <w:locked/>
    <w:uiPriority w:val="0"/>
    <w:rPr>
      <w:rFonts w:ascii="宋体" w:hAnsi="Times New Roman" w:eastAsia="宋体" w:cs="Times New Roman"/>
      <w:kern w:val="0"/>
      <w:sz w:val="20"/>
    </w:rPr>
  </w:style>
  <w:style w:type="character" w:customStyle="1" w:styleId="36">
    <w:name w:val="批注文字 字符"/>
    <w:basedOn w:val="26"/>
    <w:link w:val="9"/>
    <w:qFormat/>
    <w:locked/>
    <w:uiPriority w:val="0"/>
    <w:rPr>
      <w:rFonts w:ascii="Times New Roman" w:hAnsi="Times New Roman" w:cs="Times New Roman"/>
      <w:sz w:val="21"/>
    </w:rPr>
  </w:style>
  <w:style w:type="character" w:customStyle="1" w:styleId="37">
    <w:name w:val="批注主题 字符"/>
    <w:basedOn w:val="36"/>
    <w:link w:val="22"/>
    <w:semiHidden/>
    <w:qFormat/>
    <w:locked/>
    <w:uiPriority w:val="99"/>
    <w:rPr>
      <w:rFonts w:ascii="Times New Roman" w:hAnsi="Times New Roman" w:cs="Times New Roman"/>
      <w:b/>
      <w:sz w:val="21"/>
    </w:rPr>
  </w:style>
  <w:style w:type="character" w:customStyle="1" w:styleId="38">
    <w:name w:val="正文文本 3 字符"/>
    <w:basedOn w:val="26"/>
    <w:link w:val="10"/>
    <w:qFormat/>
    <w:locked/>
    <w:uiPriority w:val="99"/>
    <w:rPr>
      <w:rFonts w:cs="Times New Roman"/>
      <w:sz w:val="16"/>
    </w:rPr>
  </w:style>
  <w:style w:type="character" w:customStyle="1" w:styleId="39">
    <w:name w:val="正文文本 字符"/>
    <w:basedOn w:val="26"/>
    <w:link w:val="11"/>
    <w:qFormat/>
    <w:locked/>
    <w:uiPriority w:val="99"/>
    <w:rPr>
      <w:rFonts w:ascii="仿宋_GB2312" w:eastAsia="仿宋_GB2312" w:cs="Times New Roman"/>
      <w:spacing w:val="20"/>
      <w:kern w:val="2"/>
      <w:sz w:val="24"/>
    </w:rPr>
  </w:style>
  <w:style w:type="character" w:customStyle="1" w:styleId="40">
    <w:name w:val="正文文本缩进 字符"/>
    <w:basedOn w:val="26"/>
    <w:link w:val="2"/>
    <w:qFormat/>
    <w:locked/>
    <w:uiPriority w:val="0"/>
    <w:rPr>
      <w:rFonts w:ascii="Times New Roman" w:hAnsi="Times New Roman" w:eastAsia="宋体" w:cs="Times New Roman"/>
      <w:kern w:val="0"/>
      <w:sz w:val="20"/>
    </w:rPr>
  </w:style>
  <w:style w:type="character" w:customStyle="1" w:styleId="41">
    <w:name w:val="纯文本 字符"/>
    <w:basedOn w:val="26"/>
    <w:link w:val="14"/>
    <w:qFormat/>
    <w:locked/>
    <w:uiPriority w:val="0"/>
    <w:rPr>
      <w:rFonts w:ascii="宋体" w:hAnsi="Courier New" w:cs="Times New Roman"/>
      <w:kern w:val="2"/>
      <w:sz w:val="21"/>
    </w:rPr>
  </w:style>
  <w:style w:type="character" w:customStyle="1" w:styleId="42">
    <w:name w:val="日期 字符"/>
    <w:basedOn w:val="26"/>
    <w:link w:val="15"/>
    <w:qFormat/>
    <w:locked/>
    <w:uiPriority w:val="99"/>
    <w:rPr>
      <w:rFonts w:ascii="Times New Roman" w:hAnsi="Times New Roman" w:eastAsia="宋体" w:cs="Times New Roman"/>
      <w:sz w:val="20"/>
    </w:rPr>
  </w:style>
  <w:style w:type="character" w:customStyle="1" w:styleId="43">
    <w:name w:val="正文文本缩进 2 字符"/>
    <w:basedOn w:val="26"/>
    <w:link w:val="16"/>
    <w:qFormat/>
    <w:locked/>
    <w:uiPriority w:val="99"/>
    <w:rPr>
      <w:rFonts w:ascii="Times New Roman" w:hAnsi="Times New Roman" w:cs="Times New Roman"/>
      <w:sz w:val="21"/>
    </w:rPr>
  </w:style>
  <w:style w:type="character" w:customStyle="1" w:styleId="44">
    <w:name w:val="批注框文本 字符"/>
    <w:basedOn w:val="26"/>
    <w:link w:val="17"/>
    <w:semiHidden/>
    <w:qFormat/>
    <w:locked/>
    <w:uiPriority w:val="99"/>
    <w:rPr>
      <w:rFonts w:ascii="Times New Roman" w:hAnsi="Times New Roman" w:cs="Times New Roman"/>
      <w:sz w:val="18"/>
    </w:rPr>
  </w:style>
  <w:style w:type="character" w:customStyle="1" w:styleId="45">
    <w:name w:val="页脚 字符"/>
    <w:basedOn w:val="26"/>
    <w:link w:val="18"/>
    <w:qFormat/>
    <w:locked/>
    <w:uiPriority w:val="99"/>
    <w:rPr>
      <w:rFonts w:ascii="Times New Roman" w:hAnsi="Times New Roman" w:eastAsia="宋体" w:cs="Times New Roman"/>
      <w:kern w:val="0"/>
      <w:sz w:val="18"/>
    </w:rPr>
  </w:style>
  <w:style w:type="character" w:customStyle="1" w:styleId="46">
    <w:name w:val="页眉 字符"/>
    <w:basedOn w:val="26"/>
    <w:link w:val="19"/>
    <w:qFormat/>
    <w:locked/>
    <w:uiPriority w:val="99"/>
    <w:rPr>
      <w:rFonts w:eastAsia="宋体" w:cs="Times New Roman"/>
      <w:sz w:val="18"/>
    </w:rPr>
  </w:style>
  <w:style w:type="character" w:customStyle="1" w:styleId="47">
    <w:name w:val="标题 字符"/>
    <w:basedOn w:val="26"/>
    <w:link w:val="21"/>
    <w:qFormat/>
    <w:locked/>
    <w:uiPriority w:val="99"/>
    <w:rPr>
      <w:rFonts w:ascii="Cambria" w:hAnsi="Cambria" w:cs="Times New Roman"/>
      <w:b/>
      <w:bCs/>
      <w:sz w:val="32"/>
      <w:szCs w:val="32"/>
    </w:rPr>
  </w:style>
  <w:style w:type="character" w:customStyle="1" w:styleId="48">
    <w:name w:val="正文文本 3 Char1"/>
    <w:semiHidden/>
    <w:qFormat/>
    <w:uiPriority w:val="99"/>
    <w:rPr>
      <w:rFonts w:ascii="Times New Roman" w:hAnsi="Times New Roman"/>
      <w:sz w:val="16"/>
    </w:rPr>
  </w:style>
  <w:style w:type="character" w:customStyle="1" w:styleId="49">
    <w:name w:val="Char Char1"/>
    <w:semiHidden/>
    <w:qFormat/>
    <w:uiPriority w:val="99"/>
    <w:rPr>
      <w:rFonts w:ascii="Times New Roman" w:hAnsi="Times New Roman"/>
      <w:sz w:val="21"/>
    </w:rPr>
  </w:style>
  <w:style w:type="character" w:customStyle="1" w:styleId="50">
    <w:name w:val="纯文本 Char1"/>
    <w:semiHidden/>
    <w:qFormat/>
    <w:uiPriority w:val="99"/>
    <w:rPr>
      <w:rFonts w:ascii="宋体" w:hAnsi="Courier New"/>
      <w:sz w:val="21"/>
    </w:rPr>
  </w:style>
  <w:style w:type="character" w:customStyle="1" w:styleId="51">
    <w:name w:val="页眉 Char1"/>
    <w:semiHidden/>
    <w:qFormat/>
    <w:uiPriority w:val="99"/>
    <w:rPr>
      <w:rFonts w:ascii="Times New Roman" w:hAnsi="Times New Roman" w:eastAsia="宋体"/>
      <w:kern w:val="0"/>
      <w:sz w:val="18"/>
    </w:rPr>
  </w:style>
  <w:style w:type="character" w:customStyle="1" w:styleId="52">
    <w:name w:val="正文文本 Char1"/>
    <w:semiHidden/>
    <w:qFormat/>
    <w:uiPriority w:val="99"/>
    <w:rPr>
      <w:rFonts w:ascii="Times New Roman" w:hAnsi="Times New Roman"/>
      <w:sz w:val="21"/>
    </w:rPr>
  </w:style>
  <w:style w:type="paragraph" w:customStyle="1" w:styleId="53">
    <w:name w:val="报告正文"/>
    <w:basedOn w:val="1"/>
    <w:qFormat/>
    <w:uiPriority w:val="99"/>
    <w:pPr>
      <w:widowControl w:val="0"/>
      <w:adjustRightInd w:val="0"/>
      <w:snapToGrid w:val="0"/>
      <w:spacing w:line="288" w:lineRule="auto"/>
      <w:ind w:left="3060" w:leftChars="1700"/>
      <w:jc w:val="both"/>
    </w:pPr>
    <w:rPr>
      <w:rFonts w:ascii="华文细黑" w:hAnsi="华文细黑" w:eastAsia="华文细黑" w:cs="宋体"/>
      <w:kern w:val="2"/>
    </w:rPr>
  </w:style>
  <w:style w:type="paragraph" w:customStyle="1" w:styleId="54">
    <w:name w:val="题注4"/>
    <w:basedOn w:val="1"/>
    <w:next w:val="7"/>
    <w:qFormat/>
    <w:uiPriority w:val="99"/>
    <w:pPr>
      <w:widowControl w:val="0"/>
      <w:ind w:left="-132" w:leftChars="-64" w:right="-105" w:rightChars="-50" w:hanging="2"/>
      <w:jc w:val="center"/>
    </w:pPr>
    <w:rPr>
      <w:b/>
      <w:color w:val="FF0000"/>
      <w:kern w:val="2"/>
      <w:szCs w:val="21"/>
      <w:lang w:val="en-GB"/>
    </w:rPr>
  </w:style>
  <w:style w:type="paragraph" w:customStyle="1" w:styleId="55">
    <w:name w:val="列出段落1"/>
    <w:basedOn w:val="1"/>
    <w:qFormat/>
    <w:uiPriority w:val="99"/>
    <w:pPr>
      <w:ind w:firstLine="420" w:firstLineChars="200"/>
    </w:pPr>
  </w:style>
  <w:style w:type="paragraph" w:customStyle="1" w:styleId="56">
    <w:name w:val="图"/>
    <w:basedOn w:val="1"/>
    <w:qFormat/>
    <w:uiPriority w:val="99"/>
    <w:pPr>
      <w:keepNext/>
      <w:widowControl w:val="0"/>
      <w:adjustRightInd w:val="0"/>
      <w:spacing w:before="60" w:after="60" w:line="300" w:lineRule="auto"/>
      <w:jc w:val="center"/>
      <w:textAlignment w:val="center"/>
    </w:pPr>
    <w:rPr>
      <w:spacing w:val="20"/>
      <w:sz w:val="24"/>
      <w:szCs w:val="21"/>
    </w:rPr>
  </w:style>
  <w:style w:type="paragraph" w:customStyle="1" w:styleId="57">
    <w:name w:val="样式 宋体 左 行距: 固定值 22 磅"/>
    <w:basedOn w:val="1"/>
    <w:qFormat/>
    <w:uiPriority w:val="99"/>
    <w:pPr>
      <w:widowControl w:val="0"/>
      <w:spacing w:line="440" w:lineRule="exact"/>
      <w:ind w:firstLine="480" w:firstLineChars="200"/>
    </w:pPr>
    <w:rPr>
      <w:rFonts w:ascii="宋体" w:hAnsi="宋体" w:cs="宋体"/>
      <w:kern w:val="2"/>
      <w:sz w:val="24"/>
    </w:rPr>
  </w:style>
  <w:style w:type="paragraph" w:customStyle="1" w:styleId="58">
    <w:name w:val="列出段落2"/>
    <w:basedOn w:val="1"/>
    <w:qFormat/>
    <w:uiPriority w:val="99"/>
    <w:pPr>
      <w:ind w:firstLine="420" w:firstLineChars="200"/>
    </w:pPr>
  </w:style>
  <w:style w:type="character" w:customStyle="1" w:styleId="59">
    <w:name w:val="正文缩进 字符"/>
    <w:link w:val="6"/>
    <w:qFormat/>
    <w:locked/>
    <w:uiPriority w:val="99"/>
    <w:rPr>
      <w:rFonts w:ascii="宋体"/>
      <w:sz w:val="34"/>
    </w:rPr>
  </w:style>
  <w:style w:type="paragraph" w:customStyle="1" w:styleId="60">
    <w:name w:val="样式4"/>
    <w:basedOn w:val="1"/>
    <w:qFormat/>
    <w:uiPriority w:val="99"/>
    <w:pPr>
      <w:widowControl w:val="0"/>
      <w:numPr>
        <w:ilvl w:val="3"/>
        <w:numId w:val="2"/>
      </w:numPr>
      <w:jc w:val="both"/>
    </w:pPr>
    <w:rPr>
      <w:kern w:val="2"/>
      <w:szCs w:val="24"/>
    </w:rPr>
  </w:style>
  <w:style w:type="paragraph" w:customStyle="1" w:styleId="61">
    <w:name w:val="样式1"/>
    <w:basedOn w:val="1"/>
    <w:qFormat/>
    <w:uiPriority w:val="99"/>
    <w:pPr>
      <w:widowControl w:val="0"/>
      <w:numPr>
        <w:ilvl w:val="0"/>
        <w:numId w:val="2"/>
      </w:numPr>
      <w:tabs>
        <w:tab w:val="left" w:pos="709"/>
      </w:tabs>
      <w:adjustRightInd w:val="0"/>
      <w:jc w:val="both"/>
      <w:textAlignment w:val="baseline"/>
    </w:pPr>
    <w:rPr>
      <w:rFonts w:ascii="宋体" w:hAnsi="宋体"/>
      <w:szCs w:val="21"/>
    </w:rPr>
  </w:style>
  <w:style w:type="paragraph" w:styleId="62">
    <w:name w:val="List Paragraph"/>
    <w:basedOn w:val="1"/>
    <w:unhideWhenUsed/>
    <w:qFormat/>
    <w:uiPriority w:val="99"/>
    <w:pPr>
      <w:ind w:firstLine="420" w:firstLineChars="200"/>
    </w:pPr>
  </w:style>
  <w:style w:type="paragraph" w:customStyle="1" w:styleId="63">
    <w:name w:val="xl27"/>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rPr>
  </w:style>
  <w:style w:type="character" w:customStyle="1" w:styleId="64">
    <w:name w:val="font41"/>
    <w:basedOn w:val="26"/>
    <w:qFormat/>
    <w:uiPriority w:val="0"/>
    <w:rPr>
      <w:rFonts w:hint="eastAsia" w:ascii="宋体" w:hAnsi="宋体" w:eastAsia="宋体" w:cs="宋体"/>
      <w:color w:val="FF0000"/>
      <w:sz w:val="24"/>
      <w:szCs w:val="24"/>
      <w:u w:val="none"/>
    </w:rPr>
  </w:style>
  <w:style w:type="character" w:customStyle="1" w:styleId="65">
    <w:name w:val="font51"/>
    <w:basedOn w:val="26"/>
    <w:qFormat/>
    <w:uiPriority w:val="0"/>
    <w:rPr>
      <w:rFonts w:hint="eastAsia" w:ascii="宋体" w:hAnsi="宋体" w:eastAsia="宋体" w:cs="宋体"/>
      <w:color w:val="0066CC"/>
      <w:sz w:val="24"/>
      <w:szCs w:val="24"/>
      <w:u w:val="none"/>
    </w:rPr>
  </w:style>
  <w:style w:type="character" w:customStyle="1" w:styleId="66">
    <w:name w:val="font01"/>
    <w:basedOn w:val="26"/>
    <w:qFormat/>
    <w:uiPriority w:val="0"/>
    <w:rPr>
      <w:rFonts w:hint="eastAsia" w:ascii="宋体" w:hAnsi="宋体" w:eastAsia="宋体" w:cs="宋体"/>
      <w:color w:val="333399"/>
      <w:sz w:val="24"/>
      <w:szCs w:val="24"/>
      <w:u w:val="none"/>
    </w:rPr>
  </w:style>
  <w:style w:type="paragraph" w:customStyle="1" w:styleId="67">
    <w:name w:val="表格文字"/>
    <w:basedOn w:val="2"/>
    <w:qFormat/>
    <w:uiPriority w:val="0"/>
    <w:pPr>
      <w:widowControl w:val="0"/>
      <w:tabs>
        <w:tab w:val="left" w:pos="-720"/>
      </w:tabs>
      <w:spacing w:before="20" w:after="20"/>
      <w:ind w:left="0"/>
    </w:pPr>
    <w:rPr>
      <w:rFonts w:ascii="Century Gothic" w:hAnsi="Century Gothic"/>
    </w:rPr>
  </w:style>
  <w:style w:type="paragraph" w:customStyle="1" w:styleId="68">
    <w:name w:val="普通 (Web)"/>
    <w:basedOn w:val="1"/>
    <w:qFormat/>
    <w:uiPriority w:val="0"/>
    <w:pPr>
      <w:spacing w:before="100" w:beforeAutospacing="1" w:after="100" w:afterAutospacing="1"/>
    </w:pPr>
    <w:rPr>
      <w:rFonts w:ascii="宋体" w:hAnsi="宋体"/>
      <w:sz w:val="24"/>
    </w:rPr>
  </w:style>
  <w:style w:type="paragraph" w:customStyle="1" w:styleId="69">
    <w:name w:val="Table Paragraph"/>
    <w:basedOn w:val="1"/>
    <w:qFormat/>
    <w:uiPriority w:val="1"/>
    <w:rPr>
      <w:rFonts w:ascii="仿宋" w:hAnsi="仿宋" w:eastAsia="仿宋" w:cs="仿宋"/>
    </w:rPr>
  </w:style>
  <w:style w:type="paragraph" w:customStyle="1" w:styleId="70">
    <w:name w:val="null3"/>
    <w:hidden/>
    <w:qFormat/>
    <w:uiPriority w:val="0"/>
    <w:rPr>
      <w:rFonts w:hint="eastAsia" w:asciiTheme="minorHAnsi" w:hAnsiTheme="minorHAnsi" w:eastAsiaTheme="minorEastAsia" w:cstheme="minorBidi"/>
      <w:lang w:val="en-US" w:eastAsia="zh-Hans" w:bidi="ar-SA"/>
    </w:rPr>
  </w:style>
  <w:style w:type="paragraph" w:customStyle="1" w:styleId="71">
    <w:name w:val="Revision"/>
    <w:hidden/>
    <w:unhideWhenUsed/>
    <w:qFormat/>
    <w:uiPriority w:val="99"/>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96</Pages>
  <Words>46483</Words>
  <Characters>48402</Characters>
  <Lines>3017</Lines>
  <Paragraphs>2630</Paragraphs>
  <TotalTime>1</TotalTime>
  <ScaleCrop>false</ScaleCrop>
  <LinksUpToDate>false</LinksUpToDate>
  <CharactersWithSpaces>54472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2025-08-13T07:24:00Z</dcterms:created>
  <dc:creator>any</dc:creator>
  <cp:lastModifiedBy>华信达-郑工</cp:lastModifiedBy>
  <cp:lastPrinted>2025-08-13T06:10:00Z</cp:lastPrinted>
  <dcterms:modified xsi:type="dcterms:W3CDTF">2025-08-14T06:34:25Z</dcterms:modified>
  <dc:title>新福街道老年人日间照料中心消防工程</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E0FCCE685CFB4F15B2A03967C7E998C4_13</vt:lpwstr>
  </property>
  <property fmtid="{D5CDD505-2E9C-101B-9397-08002B2CF9AE}" pid="4" name="KSOTemplateDocerSaveRecord">
    <vt:lpwstr>eyJoZGlkIjoiYmNiNDNmYzc4YzZhNTJkZGRjNzFiZmFlNjM4NjMyZDIiLCJ1c2VySWQiOiIzOTQ0MjI2ODUifQ==</vt:lpwstr>
  </property>
</Properties>
</file>