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EAD8E">
      <w:pPr>
        <w:keepNext w:val="0"/>
        <w:keepLines w:val="0"/>
        <w:pageBreakBefore w:val="0"/>
        <w:widowControl w:val="0"/>
        <w:kinsoku/>
        <w:wordWrap/>
        <w:overflowPunct/>
        <w:topLinePunct w:val="0"/>
        <w:bidi w:val="0"/>
        <w:spacing w:line="500" w:lineRule="exact"/>
        <w:jc w:val="left"/>
        <w:textAlignment w:val="auto"/>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附件3：</w:t>
      </w:r>
    </w:p>
    <w:p w14:paraId="771CDEDE">
      <w:pPr>
        <w:keepNext w:val="0"/>
        <w:keepLines w:val="0"/>
        <w:pageBreakBefore w:val="0"/>
        <w:widowControl w:val="0"/>
        <w:kinsoku/>
        <w:wordWrap/>
        <w:overflowPunct/>
        <w:topLinePunct w:val="0"/>
        <w:bidi w:val="0"/>
        <w:spacing w:line="5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评分</w:t>
      </w:r>
      <w:r>
        <w:rPr>
          <w:rFonts w:hint="eastAsia" w:ascii="方正小标宋简体" w:hAnsi="方正小标宋简体" w:eastAsia="方正小标宋简体" w:cs="方正小标宋简体"/>
          <w:sz w:val="44"/>
          <w:szCs w:val="44"/>
          <w:lang w:eastAsia="zh-CN"/>
        </w:rPr>
        <w:t>细则</w:t>
      </w:r>
    </w:p>
    <w:p w14:paraId="2889D7FC">
      <w:pPr>
        <w:keepNext w:val="0"/>
        <w:keepLines w:val="0"/>
        <w:pageBreakBefore w:val="0"/>
        <w:widowControl w:val="0"/>
        <w:kinsoku/>
        <w:wordWrap/>
        <w:overflowPunct/>
        <w:topLinePunct w:val="0"/>
        <w:bidi w:val="0"/>
        <w:spacing w:line="500" w:lineRule="exact"/>
        <w:ind w:firstLine="880" w:firstLineChars="200"/>
        <w:textAlignment w:val="auto"/>
        <w:rPr>
          <w:rFonts w:ascii="方正小标宋简体" w:hAnsi="方正小标宋简体" w:eastAsia="方正小标宋简体" w:cs="方正小标宋简体"/>
          <w:sz w:val="44"/>
          <w:szCs w:val="44"/>
        </w:rPr>
      </w:pPr>
    </w:p>
    <w:p w14:paraId="6FEFD116">
      <w:pPr>
        <w:keepNext w:val="0"/>
        <w:keepLines w:val="0"/>
        <w:pageBreakBefore w:val="0"/>
        <w:widowControl w:val="0"/>
        <w:kinsoku/>
        <w:wordWrap/>
        <w:overflowPunct/>
        <w:topLinePunct w:val="0"/>
        <w:bidi w:val="0"/>
        <w:spacing w:line="5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年度横琴粤澳深度合作区房地产领域及保障性住房巡检辅助服务项目采用综合评分法</w:t>
      </w:r>
      <w:r>
        <w:rPr>
          <w:rFonts w:hint="eastAsia" w:ascii="仿宋_GB2312" w:hAnsi="仿宋_GB2312" w:eastAsia="仿宋_GB2312" w:cs="仿宋_GB2312"/>
          <w:sz w:val="28"/>
          <w:szCs w:val="28"/>
          <w:lang w:eastAsia="zh-CN"/>
        </w:rPr>
        <w:t>方式</w:t>
      </w:r>
      <w:r>
        <w:rPr>
          <w:rFonts w:hint="eastAsia" w:ascii="仿宋_GB2312" w:hAnsi="仿宋_GB2312" w:eastAsia="仿宋_GB2312" w:cs="仿宋_GB2312"/>
          <w:sz w:val="28"/>
          <w:szCs w:val="28"/>
        </w:rPr>
        <w:t>进行评分，具体评分细则详见下表。</w:t>
      </w:r>
    </w:p>
    <w:tbl>
      <w:tblPr>
        <w:tblStyle w:val="8"/>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1583"/>
        <w:gridCol w:w="6086"/>
      </w:tblGrid>
      <w:tr w14:paraId="6B9FDCC5">
        <w:trPr>
          <w:trHeight w:val="587" w:hRule="atLeast"/>
          <w:jc w:val="center"/>
        </w:trPr>
        <w:tc>
          <w:tcPr>
            <w:tcW w:w="8573" w:type="dxa"/>
            <w:gridSpan w:val="3"/>
            <w:tcBorders>
              <w:top w:val="single" w:color="auto" w:sz="4" w:space="0"/>
              <w:left w:val="single" w:color="auto" w:sz="4" w:space="0"/>
              <w:bottom w:val="single" w:color="auto" w:sz="4" w:space="0"/>
              <w:right w:val="single" w:color="auto" w:sz="4" w:space="0"/>
            </w:tcBorders>
            <w:vAlign w:val="center"/>
          </w:tcPr>
          <w:p w14:paraId="2BD27B11">
            <w:pPr>
              <w:keepNext w:val="0"/>
              <w:keepLines w:val="0"/>
              <w:pageBreakBefore w:val="0"/>
              <w:widowControl w:val="0"/>
              <w:kinsoku/>
              <w:wordWrap/>
              <w:overflowPunct/>
              <w:topLinePunct w:val="0"/>
              <w:bidi w:val="0"/>
              <w:spacing w:line="500" w:lineRule="exact"/>
              <w:ind w:firstLine="562" w:firstLineChars="200"/>
              <w:jc w:val="center"/>
              <w:textAlignment w:val="auto"/>
              <w:rPr>
                <w:rFonts w:hint="eastAsia" w:ascii="仿宋_GB2312" w:hAnsi="仿宋_GB2312" w:eastAsia="仿宋_GB2312" w:cs="仿宋_GB2312"/>
                <w:b/>
                <w:sz w:val="28"/>
                <w:szCs w:val="28"/>
                <w:highlight w:val="none"/>
                <w:lang w:val="en-US" w:eastAsia="zh-CN"/>
              </w:rPr>
            </w:pPr>
            <w:r>
              <w:rPr>
                <w:rFonts w:hint="eastAsia" w:ascii="仿宋_GB2312" w:hAnsi="仿宋_GB2312" w:eastAsia="仿宋_GB2312" w:cs="仿宋_GB2312"/>
                <w:b/>
                <w:sz w:val="28"/>
                <w:szCs w:val="28"/>
                <w:highlight w:val="none"/>
                <w:lang w:val="en-US" w:eastAsia="zh-CN"/>
              </w:rPr>
              <w:t>1.技术部分（45分）</w:t>
            </w:r>
          </w:p>
        </w:tc>
      </w:tr>
      <w:tr w14:paraId="15874061">
        <w:trPr>
          <w:trHeight w:val="502" w:hRule="atLeast"/>
          <w:jc w:val="center"/>
        </w:trPr>
        <w:tc>
          <w:tcPr>
            <w:tcW w:w="2487" w:type="dxa"/>
            <w:gridSpan w:val="2"/>
            <w:tcBorders>
              <w:top w:val="single" w:color="auto" w:sz="4" w:space="0"/>
              <w:left w:val="single" w:color="auto" w:sz="4" w:space="0"/>
              <w:bottom w:val="single" w:color="auto" w:sz="4" w:space="0"/>
              <w:right w:val="single" w:color="auto" w:sz="4" w:space="0"/>
            </w:tcBorders>
            <w:vAlign w:val="center"/>
          </w:tcPr>
          <w:p w14:paraId="4ACB44FB">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评审内容及分值</w:t>
            </w:r>
          </w:p>
        </w:tc>
        <w:tc>
          <w:tcPr>
            <w:tcW w:w="6086" w:type="dxa"/>
            <w:tcBorders>
              <w:top w:val="single" w:color="auto" w:sz="4" w:space="0"/>
              <w:left w:val="single" w:color="auto" w:sz="4" w:space="0"/>
              <w:bottom w:val="single" w:color="auto" w:sz="4" w:space="0"/>
              <w:right w:val="single" w:color="auto" w:sz="4" w:space="0"/>
            </w:tcBorders>
            <w:vAlign w:val="center"/>
          </w:tcPr>
          <w:p w14:paraId="3053C835">
            <w:pPr>
              <w:keepNext w:val="0"/>
              <w:keepLines w:val="0"/>
              <w:pageBreakBefore w:val="0"/>
              <w:widowControl w:val="0"/>
              <w:kinsoku/>
              <w:wordWrap/>
              <w:overflowPunct/>
              <w:topLinePunct w:val="0"/>
              <w:bidi w:val="0"/>
              <w:spacing w:line="500" w:lineRule="exact"/>
              <w:ind w:firstLine="562" w:firstLineChars="200"/>
              <w:jc w:val="center"/>
              <w:textAlignment w:val="auto"/>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评分细则</w:t>
            </w:r>
          </w:p>
        </w:tc>
      </w:tr>
      <w:tr w14:paraId="2CE6ECF6">
        <w:trPr>
          <w:trHeight w:val="531" w:hRule="atLeast"/>
          <w:jc w:val="center"/>
        </w:trPr>
        <w:tc>
          <w:tcPr>
            <w:tcW w:w="904" w:type="dxa"/>
            <w:vMerge w:val="restart"/>
            <w:tcBorders>
              <w:top w:val="single" w:color="auto" w:sz="4" w:space="0"/>
              <w:left w:val="single" w:color="auto" w:sz="4" w:space="0"/>
              <w:right w:val="single" w:color="auto" w:sz="4" w:space="0"/>
            </w:tcBorders>
            <w:vAlign w:val="center"/>
          </w:tcPr>
          <w:p w14:paraId="79BD325E">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项目实施</w:t>
            </w:r>
            <w:r>
              <w:rPr>
                <w:rFonts w:hint="eastAsia" w:ascii="仿宋_GB2312" w:hAnsi="仿宋_GB2312" w:eastAsia="仿宋_GB2312" w:cs="仿宋_GB2312"/>
                <w:sz w:val="28"/>
                <w:szCs w:val="28"/>
                <w:highlight w:val="none"/>
              </w:rPr>
              <w:t>方案</w:t>
            </w:r>
          </w:p>
        </w:tc>
        <w:tc>
          <w:tcPr>
            <w:tcW w:w="1583" w:type="dxa"/>
            <w:tcBorders>
              <w:top w:val="single" w:color="auto" w:sz="4" w:space="0"/>
              <w:left w:val="single" w:color="auto" w:sz="4" w:space="0"/>
              <w:right w:val="single" w:color="auto" w:sz="4" w:space="0"/>
            </w:tcBorders>
            <w:vAlign w:val="center"/>
          </w:tcPr>
          <w:p w14:paraId="45F4B578">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对项目的理解及认识</w:t>
            </w:r>
          </w:p>
          <w:p w14:paraId="10BD1DBC">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15</w:t>
            </w:r>
            <w:r>
              <w:rPr>
                <w:rFonts w:hint="eastAsia" w:ascii="仿宋_GB2312" w:hAnsi="仿宋_GB2312" w:eastAsia="仿宋_GB2312" w:cs="仿宋_GB2312"/>
                <w:sz w:val="28"/>
                <w:szCs w:val="28"/>
                <w:highlight w:val="none"/>
              </w:rPr>
              <w:t>分</w:t>
            </w:r>
          </w:p>
        </w:tc>
        <w:tc>
          <w:tcPr>
            <w:tcW w:w="6086" w:type="dxa"/>
            <w:tcBorders>
              <w:top w:val="single" w:color="auto" w:sz="4" w:space="0"/>
              <w:left w:val="single" w:color="auto" w:sz="4" w:space="0"/>
              <w:right w:val="single" w:color="auto" w:sz="4" w:space="0"/>
            </w:tcBorders>
            <w:vAlign w:val="center"/>
          </w:tcPr>
          <w:p w14:paraId="28F4F8DF">
            <w:pPr>
              <w:keepNext w:val="0"/>
              <w:keepLines w:val="0"/>
              <w:pageBreakBefore w:val="0"/>
              <w:widowControl w:val="0"/>
              <w:kinsoku/>
              <w:wordWrap/>
              <w:overflowPunct/>
              <w:topLinePunct w:val="0"/>
              <w:bidi w:val="0"/>
              <w:spacing w:line="500" w:lineRule="exact"/>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 xml:space="preserve">（1）项目理解准确，分析到位，对工作背景、目标、内容及工作量认知度高，得15分； </w:t>
            </w:r>
          </w:p>
          <w:p w14:paraId="0ADC23BC">
            <w:pPr>
              <w:keepNext w:val="0"/>
              <w:keepLines w:val="0"/>
              <w:pageBreakBefore w:val="0"/>
              <w:widowControl w:val="0"/>
              <w:kinsoku/>
              <w:wordWrap/>
              <w:overflowPunct/>
              <w:topLinePunct w:val="0"/>
              <w:bidi w:val="0"/>
              <w:spacing w:line="500" w:lineRule="exact"/>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（2）项目理解、分析较准确、对工作背景、目标、内容及工作量认知度不高，得10分；</w:t>
            </w:r>
          </w:p>
          <w:p w14:paraId="5A97F4DD">
            <w:pPr>
              <w:keepNext w:val="0"/>
              <w:keepLines w:val="0"/>
              <w:pageBreakBefore w:val="0"/>
              <w:widowControl w:val="0"/>
              <w:kinsoku/>
              <w:wordWrap/>
              <w:overflowPunct/>
              <w:topLinePunct w:val="0"/>
              <w:bidi w:val="0"/>
              <w:spacing w:line="500" w:lineRule="exact"/>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（3）项目理解，分析差，对工作背景、目标、内容及工作量认知差，得5分；</w:t>
            </w:r>
          </w:p>
          <w:p w14:paraId="745B55A3">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（4）方案未体现本项内容或未提供方案，得0分。</w:t>
            </w:r>
          </w:p>
        </w:tc>
      </w:tr>
      <w:tr w14:paraId="1C0EA8F7">
        <w:trPr>
          <w:trHeight w:val="6495" w:hRule="atLeast"/>
          <w:jc w:val="center"/>
        </w:trPr>
        <w:tc>
          <w:tcPr>
            <w:tcW w:w="904" w:type="dxa"/>
            <w:vMerge w:val="continue"/>
            <w:tcBorders>
              <w:left w:val="single" w:color="auto" w:sz="4" w:space="0"/>
              <w:right w:val="single" w:color="auto" w:sz="4" w:space="0"/>
            </w:tcBorders>
            <w:vAlign w:val="center"/>
          </w:tcPr>
          <w:p w14:paraId="12440DFC">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val="en-US" w:eastAsia="zh-CN"/>
              </w:rPr>
            </w:pPr>
          </w:p>
        </w:tc>
        <w:tc>
          <w:tcPr>
            <w:tcW w:w="1583" w:type="dxa"/>
            <w:tcBorders>
              <w:top w:val="single" w:color="auto" w:sz="4" w:space="0"/>
              <w:left w:val="single" w:color="auto" w:sz="4" w:space="0"/>
              <w:right w:val="single" w:color="auto" w:sz="4" w:space="0"/>
            </w:tcBorders>
            <w:vAlign w:val="center"/>
          </w:tcPr>
          <w:p w14:paraId="5EDD0EDC">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整体服务方案</w:t>
            </w:r>
          </w:p>
          <w:p w14:paraId="23BFA2E0">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15分</w:t>
            </w:r>
          </w:p>
        </w:tc>
        <w:tc>
          <w:tcPr>
            <w:tcW w:w="6086" w:type="dxa"/>
            <w:tcBorders>
              <w:top w:val="single" w:color="auto" w:sz="4" w:space="0"/>
              <w:left w:val="single" w:color="auto" w:sz="4" w:space="0"/>
              <w:right w:val="single" w:color="auto" w:sz="4" w:space="0"/>
            </w:tcBorders>
            <w:vAlign w:val="center"/>
          </w:tcPr>
          <w:p w14:paraId="635D9CE8">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rPr>
              <w:t>服务方案针对本项目的现状和实际需求制定，整体结构完整、切中关键问题、整体方案实用可行、详细具体，得</w:t>
            </w:r>
            <w:r>
              <w:rPr>
                <w:rFonts w:hint="eastAsia" w:ascii="仿宋_GB2312" w:hAnsi="仿宋_GB2312" w:eastAsia="仿宋_GB2312" w:cs="仿宋_GB2312"/>
                <w:sz w:val="28"/>
                <w:szCs w:val="28"/>
                <w:highlight w:val="none"/>
                <w:lang w:val="en-US" w:eastAsia="zh-CN"/>
              </w:rPr>
              <w:t>15</w:t>
            </w:r>
            <w:r>
              <w:rPr>
                <w:rFonts w:hint="eastAsia" w:ascii="仿宋_GB2312" w:hAnsi="仿宋_GB2312" w:eastAsia="仿宋_GB2312" w:cs="仿宋_GB2312"/>
                <w:sz w:val="28"/>
                <w:szCs w:val="28"/>
                <w:highlight w:val="none"/>
              </w:rPr>
              <w:t>分；</w:t>
            </w:r>
          </w:p>
          <w:p w14:paraId="3A9FF637">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rPr>
              <w:t>服务方案整体结构完整，服务内容及工作流程等全面、具有一定的合理性，得</w:t>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rPr>
              <w:t>分；</w:t>
            </w:r>
          </w:p>
          <w:p w14:paraId="02E93C6F">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rPr>
              <w:t>服务方案整体结构</w:t>
            </w:r>
            <w:r>
              <w:rPr>
                <w:rFonts w:hint="eastAsia" w:ascii="仿宋_GB2312" w:hAnsi="仿宋_GB2312" w:eastAsia="仿宋_GB2312" w:cs="仿宋_GB2312"/>
                <w:sz w:val="28"/>
                <w:szCs w:val="28"/>
                <w:highlight w:val="none"/>
                <w:lang w:val="en-US" w:eastAsia="zh-CN"/>
              </w:rPr>
              <w:t>较</w:t>
            </w:r>
            <w:r>
              <w:rPr>
                <w:rFonts w:hint="eastAsia" w:ascii="仿宋_GB2312" w:hAnsi="仿宋_GB2312" w:eastAsia="仿宋_GB2312" w:cs="仿宋_GB2312"/>
                <w:sz w:val="28"/>
                <w:szCs w:val="28"/>
                <w:highlight w:val="none"/>
              </w:rPr>
              <w:t>完整，服务内容及工作流程等</w:t>
            </w:r>
            <w:r>
              <w:rPr>
                <w:rFonts w:hint="eastAsia" w:ascii="仿宋_GB2312" w:hAnsi="仿宋_GB2312" w:eastAsia="仿宋_GB2312" w:cs="仿宋_GB2312"/>
                <w:sz w:val="28"/>
                <w:szCs w:val="28"/>
                <w:highlight w:val="none"/>
                <w:lang w:val="en-US" w:eastAsia="zh-CN"/>
              </w:rPr>
              <w:t>较全面</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val="en-US" w:eastAsia="zh-CN"/>
              </w:rPr>
              <w:t>合理实用性一般</w:t>
            </w:r>
            <w:r>
              <w:rPr>
                <w:rFonts w:hint="eastAsia" w:ascii="仿宋_GB2312" w:hAnsi="仿宋_GB2312" w:eastAsia="仿宋_GB2312" w:cs="仿宋_GB2312"/>
                <w:sz w:val="28"/>
                <w:szCs w:val="28"/>
                <w:highlight w:val="none"/>
              </w:rPr>
              <w:t>得</w:t>
            </w:r>
            <w:r>
              <w:rPr>
                <w:rFonts w:hint="eastAsia" w:ascii="仿宋_GB2312" w:hAnsi="仿宋_GB2312" w:eastAsia="仿宋_GB2312" w:cs="仿宋_GB2312"/>
                <w:sz w:val="28"/>
                <w:szCs w:val="28"/>
                <w:highlight w:val="none"/>
                <w:lang w:val="en-US" w:eastAsia="zh-CN"/>
              </w:rPr>
              <w:t>7</w:t>
            </w:r>
            <w:r>
              <w:rPr>
                <w:rFonts w:hint="eastAsia" w:ascii="仿宋_GB2312" w:hAnsi="仿宋_GB2312" w:eastAsia="仿宋_GB2312" w:cs="仿宋_GB2312"/>
                <w:sz w:val="28"/>
                <w:szCs w:val="28"/>
                <w:highlight w:val="none"/>
              </w:rPr>
              <w:t>分</w:t>
            </w:r>
            <w:r>
              <w:rPr>
                <w:rFonts w:hint="eastAsia" w:ascii="仿宋_GB2312" w:hAnsi="仿宋_GB2312" w:eastAsia="仿宋_GB2312" w:cs="仿宋_GB2312"/>
                <w:sz w:val="28"/>
                <w:szCs w:val="28"/>
                <w:highlight w:val="none"/>
                <w:lang w:eastAsia="zh-CN"/>
              </w:rPr>
              <w:t>；</w:t>
            </w:r>
          </w:p>
          <w:p w14:paraId="4A7F4BE5">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（4）</w:t>
            </w:r>
            <w:r>
              <w:rPr>
                <w:rFonts w:hint="eastAsia" w:ascii="仿宋_GB2312" w:hAnsi="仿宋_GB2312" w:eastAsia="仿宋_GB2312" w:cs="仿宋_GB2312"/>
                <w:sz w:val="28"/>
                <w:szCs w:val="28"/>
                <w:highlight w:val="none"/>
              </w:rPr>
              <w:t>服务方案不具体、描述模糊、实施内容不清晰，</w:t>
            </w:r>
            <w:r>
              <w:rPr>
                <w:rFonts w:hint="eastAsia" w:ascii="仿宋_GB2312" w:hAnsi="仿宋_GB2312" w:eastAsia="仿宋_GB2312" w:cs="仿宋_GB2312"/>
                <w:sz w:val="28"/>
                <w:szCs w:val="28"/>
                <w:highlight w:val="none"/>
                <w:lang w:val="en-US" w:eastAsia="zh-CN"/>
              </w:rPr>
              <w:t>得5</w:t>
            </w:r>
            <w:r>
              <w:rPr>
                <w:rFonts w:hint="eastAsia" w:ascii="仿宋_GB2312" w:hAnsi="仿宋_GB2312" w:eastAsia="仿宋_GB2312" w:cs="仿宋_GB2312"/>
                <w:sz w:val="28"/>
                <w:szCs w:val="28"/>
                <w:highlight w:val="none"/>
              </w:rPr>
              <w:t>分；</w:t>
            </w:r>
          </w:p>
          <w:p w14:paraId="40980F2E">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rPr>
              <w:t>服务方案不</w:t>
            </w:r>
            <w:r>
              <w:rPr>
                <w:rFonts w:hint="eastAsia" w:ascii="仿宋_GB2312" w:hAnsi="仿宋_GB2312" w:eastAsia="仿宋_GB2312" w:cs="仿宋_GB2312"/>
                <w:sz w:val="28"/>
                <w:szCs w:val="28"/>
                <w:highlight w:val="none"/>
                <w:lang w:val="en-US" w:eastAsia="zh-CN"/>
              </w:rPr>
              <w:t>适用、明显网络上照搬内容的，得2分；</w:t>
            </w:r>
          </w:p>
          <w:p w14:paraId="75750169">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（6）方案未体现本项内容或未提供方案，得0分。</w:t>
            </w:r>
          </w:p>
        </w:tc>
      </w:tr>
      <w:tr w14:paraId="6BAD012F">
        <w:trPr>
          <w:trHeight w:val="53" w:hRule="atLeast"/>
          <w:jc w:val="center"/>
        </w:trPr>
        <w:tc>
          <w:tcPr>
            <w:tcW w:w="904" w:type="dxa"/>
            <w:vMerge w:val="continue"/>
            <w:tcBorders>
              <w:left w:val="single" w:color="auto" w:sz="4" w:space="0"/>
              <w:right w:val="single" w:color="auto" w:sz="4" w:space="0"/>
            </w:tcBorders>
            <w:vAlign w:val="center"/>
          </w:tcPr>
          <w:p w14:paraId="34538C2E">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val="en-US" w:eastAsia="zh-CN"/>
              </w:rPr>
            </w:pPr>
          </w:p>
        </w:tc>
        <w:tc>
          <w:tcPr>
            <w:tcW w:w="1583" w:type="dxa"/>
            <w:tcBorders>
              <w:top w:val="single" w:color="auto" w:sz="4" w:space="0"/>
              <w:left w:val="single" w:color="auto" w:sz="4" w:space="0"/>
              <w:right w:val="single" w:color="auto" w:sz="4" w:space="0"/>
            </w:tcBorders>
            <w:vAlign w:val="center"/>
          </w:tcPr>
          <w:p w14:paraId="535CD352">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服务实施计划</w:t>
            </w:r>
          </w:p>
          <w:p w14:paraId="4F84B86E">
            <w:pPr>
              <w:keepNext w:val="0"/>
              <w:keepLines w:val="0"/>
              <w:pageBreakBefore w:val="0"/>
              <w:widowControl w:val="0"/>
              <w:kinsoku/>
              <w:wordWrap/>
              <w:overflowPunct/>
              <w:topLinePunct w:val="0"/>
              <w:bidi w:val="0"/>
              <w:spacing w:line="500" w:lineRule="exact"/>
              <w:jc w:val="center"/>
              <w:textAlignment w:val="auto"/>
              <w:rPr>
                <w:rFonts w:hint="default"/>
                <w:lang w:val="en-US" w:eastAsia="zh-CN"/>
              </w:rPr>
            </w:pPr>
            <w:r>
              <w:rPr>
                <w:rFonts w:hint="eastAsia" w:ascii="仿宋_GB2312" w:hAnsi="仿宋_GB2312" w:eastAsia="仿宋_GB2312" w:cs="仿宋_GB2312"/>
                <w:sz w:val="28"/>
                <w:szCs w:val="28"/>
                <w:highlight w:val="none"/>
                <w:lang w:val="en-US" w:eastAsia="zh-CN"/>
              </w:rPr>
              <w:t>10分</w:t>
            </w:r>
          </w:p>
        </w:tc>
        <w:tc>
          <w:tcPr>
            <w:tcW w:w="6086" w:type="dxa"/>
            <w:tcBorders>
              <w:top w:val="single" w:color="auto" w:sz="4" w:space="0"/>
              <w:left w:val="single" w:color="auto" w:sz="4" w:space="0"/>
              <w:right w:val="single" w:color="auto" w:sz="4" w:space="0"/>
            </w:tcBorders>
            <w:vAlign w:val="center"/>
          </w:tcPr>
          <w:p w14:paraId="07C87A3E">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（1）实施计划时间安排合理，进度控制可行，得10分；</w:t>
            </w:r>
          </w:p>
          <w:p w14:paraId="634CA12C">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（2）实施计划时间安排较合理，进度控制基本可行，得6分；</w:t>
            </w:r>
          </w:p>
          <w:p w14:paraId="6F9B112E">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（3）实施计划时间安排不合理，进度控制不可行得3分；</w:t>
            </w:r>
          </w:p>
          <w:p w14:paraId="459C4CAB">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（4）方案未体现本项内容或未提供方案，得0分。</w:t>
            </w:r>
          </w:p>
        </w:tc>
      </w:tr>
      <w:tr w14:paraId="3E25C193">
        <w:trPr>
          <w:trHeight w:val="53" w:hRule="atLeast"/>
          <w:jc w:val="center"/>
        </w:trPr>
        <w:tc>
          <w:tcPr>
            <w:tcW w:w="904" w:type="dxa"/>
            <w:vMerge w:val="continue"/>
            <w:tcBorders>
              <w:left w:val="single" w:color="auto" w:sz="4" w:space="0"/>
              <w:right w:val="single" w:color="auto" w:sz="4" w:space="0"/>
            </w:tcBorders>
            <w:vAlign w:val="center"/>
          </w:tcPr>
          <w:p w14:paraId="532C9802">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val="en-US" w:eastAsia="zh-CN"/>
              </w:rPr>
            </w:pPr>
          </w:p>
          <w:p w14:paraId="27D568FA">
            <w:pPr>
              <w:pStyle w:val="10"/>
              <w:rPr>
                <w:rFonts w:hint="eastAsia"/>
                <w:lang w:val="en-US" w:eastAsia="zh-CN"/>
              </w:rPr>
            </w:pPr>
          </w:p>
        </w:tc>
        <w:tc>
          <w:tcPr>
            <w:tcW w:w="1583" w:type="dxa"/>
            <w:tcBorders>
              <w:top w:val="single" w:color="auto" w:sz="4" w:space="0"/>
              <w:left w:val="single" w:color="auto" w:sz="4" w:space="0"/>
              <w:right w:val="single" w:color="auto" w:sz="4" w:space="0"/>
            </w:tcBorders>
            <w:vAlign w:val="center"/>
          </w:tcPr>
          <w:p w14:paraId="10328791">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质量保证措施</w:t>
            </w:r>
          </w:p>
          <w:p w14:paraId="48E64D95">
            <w:pPr>
              <w:pStyle w:val="2"/>
              <w:ind w:firstLine="280" w:firstLineChars="100"/>
              <w:rPr>
                <w:rFonts w:hint="default"/>
                <w:lang w:val="en-US" w:eastAsia="zh-CN"/>
              </w:rPr>
            </w:pPr>
            <w:r>
              <w:rPr>
                <w:rFonts w:hint="eastAsia" w:ascii="仿宋_GB2312" w:hAnsi="仿宋_GB2312" w:eastAsia="仿宋_GB2312" w:cs="仿宋_GB2312"/>
                <w:sz w:val="28"/>
                <w:szCs w:val="28"/>
                <w:highlight w:val="none"/>
                <w:lang w:val="en-US" w:eastAsia="zh-CN"/>
              </w:rPr>
              <w:t>5分</w:t>
            </w:r>
          </w:p>
        </w:tc>
        <w:tc>
          <w:tcPr>
            <w:tcW w:w="6086" w:type="dxa"/>
            <w:tcBorders>
              <w:top w:val="single" w:color="auto" w:sz="4" w:space="0"/>
              <w:left w:val="single" w:color="auto" w:sz="4" w:space="0"/>
              <w:right w:val="single" w:color="auto" w:sz="4" w:space="0"/>
            </w:tcBorders>
            <w:shd w:val="clear" w:color="auto" w:fill="auto"/>
            <w:vAlign w:val="center"/>
          </w:tcPr>
          <w:p w14:paraId="050EF2FF">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（1）保障措施表述清晰完整，可行合理，满足或优于采购单位需求，服务质量满足要求，各个环节质量控制措施详细可行、全面合理，得5分；</w:t>
            </w:r>
          </w:p>
          <w:p w14:paraId="77C47FFB">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（2）保障措施清晰，符合采购单位需求，服务质量基本满足采购要求，具体措施较全面合理，得3分；</w:t>
            </w:r>
          </w:p>
          <w:p w14:paraId="44EE66DA">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（3）保障措施较差，不能全面保证服务质量，得1分；</w:t>
            </w:r>
          </w:p>
          <w:p w14:paraId="687A97D0">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bidi="ar-SA"/>
              </w:rPr>
            </w:pPr>
            <w:r>
              <w:rPr>
                <w:rFonts w:hint="eastAsia" w:ascii="仿宋_GB2312" w:hAnsi="仿宋_GB2312" w:eastAsia="仿宋_GB2312" w:cs="仿宋_GB2312"/>
                <w:sz w:val="28"/>
                <w:szCs w:val="28"/>
                <w:highlight w:val="none"/>
                <w:lang w:val="en-US" w:eastAsia="zh-CN"/>
              </w:rPr>
              <w:t>（4）未提供者不得分。</w:t>
            </w:r>
          </w:p>
        </w:tc>
      </w:tr>
      <w:tr w14:paraId="0A3B20BB">
        <w:trPr>
          <w:trHeight w:val="90" w:hRule="atLeast"/>
          <w:jc w:val="center"/>
        </w:trPr>
        <w:tc>
          <w:tcPr>
            <w:tcW w:w="8573" w:type="dxa"/>
            <w:gridSpan w:val="3"/>
            <w:tcBorders>
              <w:top w:val="single" w:color="auto" w:sz="4" w:space="0"/>
              <w:left w:val="single" w:color="auto" w:sz="4" w:space="0"/>
              <w:right w:val="single" w:color="auto" w:sz="4" w:space="0"/>
            </w:tcBorders>
            <w:vAlign w:val="center"/>
          </w:tcPr>
          <w:p w14:paraId="1D0E4831">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2.商务部分（40分）</w:t>
            </w:r>
          </w:p>
        </w:tc>
      </w:tr>
      <w:tr w14:paraId="12D2BFAA">
        <w:trPr>
          <w:trHeight w:val="487" w:hRule="atLeast"/>
          <w:jc w:val="center"/>
        </w:trPr>
        <w:tc>
          <w:tcPr>
            <w:tcW w:w="2487" w:type="dxa"/>
            <w:gridSpan w:val="2"/>
            <w:tcBorders>
              <w:top w:val="single" w:color="auto" w:sz="4" w:space="0"/>
              <w:left w:val="single" w:color="auto" w:sz="4" w:space="0"/>
              <w:right w:val="single" w:color="auto" w:sz="4" w:space="0"/>
            </w:tcBorders>
            <w:vAlign w:val="center"/>
          </w:tcPr>
          <w:p w14:paraId="0EF9FBCD">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b/>
                <w:sz w:val="28"/>
                <w:szCs w:val="28"/>
                <w:highlight w:val="none"/>
                <w:lang w:val="en-US" w:eastAsia="zh-CN" w:bidi="ar-SA"/>
              </w:rPr>
            </w:pPr>
            <w:r>
              <w:rPr>
                <w:rFonts w:hint="eastAsia" w:ascii="仿宋_GB2312" w:hAnsi="仿宋_GB2312" w:eastAsia="仿宋_GB2312" w:cs="仿宋_GB2312"/>
                <w:b/>
                <w:sz w:val="28"/>
                <w:szCs w:val="28"/>
                <w:highlight w:val="none"/>
              </w:rPr>
              <w:t>评审内容及分值</w:t>
            </w:r>
          </w:p>
        </w:tc>
        <w:tc>
          <w:tcPr>
            <w:tcW w:w="6086" w:type="dxa"/>
            <w:tcBorders>
              <w:top w:val="single" w:color="auto" w:sz="4" w:space="0"/>
              <w:left w:val="single" w:color="auto" w:sz="4" w:space="0"/>
              <w:right w:val="single" w:color="auto" w:sz="4" w:space="0"/>
            </w:tcBorders>
            <w:shd w:val="clear" w:color="auto" w:fill="auto"/>
            <w:vAlign w:val="center"/>
          </w:tcPr>
          <w:p w14:paraId="0BC64746">
            <w:pPr>
              <w:keepNext w:val="0"/>
              <w:keepLines w:val="0"/>
              <w:pageBreakBefore w:val="0"/>
              <w:widowControl w:val="0"/>
              <w:kinsoku/>
              <w:wordWrap/>
              <w:overflowPunct/>
              <w:topLinePunct w:val="0"/>
              <w:bidi w:val="0"/>
              <w:spacing w:line="500" w:lineRule="exact"/>
              <w:ind w:firstLine="562" w:firstLineChars="200"/>
              <w:jc w:val="center"/>
              <w:textAlignment w:val="auto"/>
              <w:rPr>
                <w:rFonts w:hint="eastAsia" w:ascii="仿宋_GB2312" w:hAnsi="仿宋_GB2312" w:eastAsia="仿宋_GB2312" w:cs="仿宋_GB2312"/>
                <w:b/>
                <w:sz w:val="28"/>
                <w:szCs w:val="28"/>
                <w:highlight w:val="none"/>
                <w:lang w:val="en-US" w:eastAsia="zh-CN" w:bidi="ar-SA"/>
              </w:rPr>
            </w:pPr>
            <w:r>
              <w:rPr>
                <w:rFonts w:hint="eastAsia" w:ascii="仿宋_GB2312" w:hAnsi="仿宋_GB2312" w:eastAsia="仿宋_GB2312" w:cs="仿宋_GB2312"/>
                <w:b/>
                <w:sz w:val="28"/>
                <w:szCs w:val="28"/>
                <w:highlight w:val="none"/>
              </w:rPr>
              <w:t>评分细则</w:t>
            </w:r>
          </w:p>
        </w:tc>
      </w:tr>
      <w:tr w14:paraId="523BBEB9">
        <w:trPr>
          <w:trHeight w:val="1599" w:hRule="atLeast"/>
          <w:jc w:val="center"/>
        </w:trPr>
        <w:tc>
          <w:tcPr>
            <w:tcW w:w="904" w:type="dxa"/>
            <w:vMerge w:val="restart"/>
            <w:tcBorders>
              <w:top w:val="single" w:color="auto" w:sz="4" w:space="0"/>
              <w:left w:val="single" w:color="auto" w:sz="4" w:space="0"/>
              <w:right w:val="single" w:color="auto" w:sz="4" w:space="0"/>
            </w:tcBorders>
            <w:vAlign w:val="center"/>
          </w:tcPr>
          <w:p w14:paraId="0B565993">
            <w:pPr>
              <w:keepNext w:val="0"/>
              <w:keepLines w:val="0"/>
              <w:pageBreakBefore w:val="0"/>
              <w:widowControl w:val="0"/>
              <w:kinsoku/>
              <w:wordWrap/>
              <w:overflowPunct/>
              <w:topLinePunct w:val="0"/>
              <w:bidi w:val="0"/>
              <w:spacing w:line="500" w:lineRule="exact"/>
              <w:jc w:val="center"/>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综合实力</w:t>
            </w:r>
          </w:p>
        </w:tc>
        <w:tc>
          <w:tcPr>
            <w:tcW w:w="1583" w:type="dxa"/>
            <w:tcBorders>
              <w:top w:val="single" w:color="auto" w:sz="4" w:space="0"/>
              <w:left w:val="single" w:color="auto" w:sz="4" w:space="0"/>
              <w:right w:val="single" w:color="auto" w:sz="4" w:space="0"/>
            </w:tcBorders>
            <w:vAlign w:val="center"/>
          </w:tcPr>
          <w:p w14:paraId="3C1A1EB6">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相关业绩</w:t>
            </w:r>
          </w:p>
          <w:p w14:paraId="40B02DCE">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15</w:t>
            </w:r>
            <w:r>
              <w:rPr>
                <w:rFonts w:hint="eastAsia" w:ascii="仿宋_GB2312" w:hAnsi="仿宋_GB2312" w:eastAsia="仿宋_GB2312" w:cs="仿宋_GB2312"/>
                <w:sz w:val="28"/>
                <w:szCs w:val="28"/>
                <w:highlight w:val="none"/>
              </w:rPr>
              <w:t>分</w:t>
            </w:r>
          </w:p>
        </w:tc>
        <w:tc>
          <w:tcPr>
            <w:tcW w:w="6086" w:type="dxa"/>
            <w:tcBorders>
              <w:top w:val="single" w:color="auto" w:sz="4" w:space="0"/>
              <w:left w:val="single" w:color="auto" w:sz="4" w:space="0"/>
              <w:right w:val="single" w:color="auto" w:sz="4" w:space="0"/>
            </w:tcBorders>
            <w:shd w:val="clear" w:color="auto" w:fill="auto"/>
            <w:vAlign w:val="center"/>
          </w:tcPr>
          <w:p w14:paraId="0C4E7594">
            <w:pPr>
              <w:keepNext w:val="0"/>
              <w:keepLines w:val="0"/>
              <w:pageBreakBefore w:val="0"/>
              <w:widowControl w:val="0"/>
              <w:kinsoku/>
              <w:wordWrap/>
              <w:overflowPunct/>
              <w:topLinePunct w:val="0"/>
              <w:bidi w:val="0"/>
              <w:spacing w:line="500" w:lineRule="exact"/>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根据</w:t>
            </w:r>
            <w:r>
              <w:rPr>
                <w:rFonts w:hint="eastAsia" w:ascii="仿宋_GB2312" w:hAnsi="仿宋_GB2312" w:eastAsia="仿宋_GB2312" w:cs="仿宋_GB2312"/>
                <w:b w:val="0"/>
                <w:bCs w:val="0"/>
                <w:sz w:val="28"/>
                <w:szCs w:val="28"/>
                <w:highlight w:val="none"/>
                <w:lang w:val="en-US" w:eastAsia="zh-CN"/>
              </w:rPr>
              <w:t>供应商</w:t>
            </w:r>
            <w:r>
              <w:rPr>
                <w:rFonts w:hint="eastAsia" w:ascii="仿宋_GB2312" w:hAnsi="仿宋_GB2312" w:eastAsia="仿宋_GB2312" w:cs="仿宋_GB2312"/>
                <w:b w:val="0"/>
                <w:bCs w:val="0"/>
                <w:sz w:val="28"/>
                <w:szCs w:val="28"/>
                <w:highlight w:val="none"/>
              </w:rPr>
              <w:t>自</w:t>
            </w:r>
            <w:r>
              <w:rPr>
                <w:rFonts w:hint="eastAsia" w:ascii="仿宋_GB2312" w:hAnsi="仿宋_GB2312" w:eastAsia="仿宋_GB2312" w:cs="仿宋_GB2312"/>
                <w:b w:val="0"/>
                <w:bCs w:val="0"/>
                <w:sz w:val="28"/>
                <w:szCs w:val="28"/>
                <w:highlight w:val="none"/>
                <w:lang w:val="en-US" w:eastAsia="zh-CN"/>
              </w:rPr>
              <w:t>2022</w:t>
            </w:r>
            <w:r>
              <w:rPr>
                <w:rFonts w:hint="eastAsia" w:ascii="仿宋_GB2312" w:hAnsi="仿宋_GB2312" w:eastAsia="仿宋_GB2312" w:cs="仿宋_GB2312"/>
                <w:b w:val="0"/>
                <w:bCs w:val="0"/>
                <w:sz w:val="28"/>
                <w:szCs w:val="28"/>
                <w:highlight w:val="none"/>
              </w:rPr>
              <w:t>年以来（以合同签订时间为准）承接过同类合同业绩（同类业绩指合同内容中包含</w:t>
            </w:r>
            <w:r>
              <w:rPr>
                <w:rFonts w:hint="eastAsia" w:ascii="仿宋_GB2312" w:hAnsi="仿宋_GB2312" w:eastAsia="仿宋_GB2312" w:cs="仿宋_GB2312"/>
                <w:b w:val="0"/>
                <w:bCs w:val="0"/>
                <w:sz w:val="28"/>
                <w:szCs w:val="28"/>
                <w:highlight w:val="none"/>
                <w:lang w:val="en-US" w:eastAsia="zh-CN"/>
              </w:rPr>
              <w:t>房地产领域或住房保障领域巡检辅助服务</w:t>
            </w:r>
            <w:r>
              <w:rPr>
                <w:rFonts w:hint="eastAsia" w:ascii="仿宋_GB2312" w:hAnsi="仿宋_GB2312" w:eastAsia="仿宋_GB2312" w:cs="仿宋_GB2312"/>
                <w:b w:val="0"/>
                <w:bCs w:val="0"/>
                <w:sz w:val="28"/>
                <w:szCs w:val="28"/>
                <w:highlight w:val="none"/>
              </w:rPr>
              <w:t>）的情况进行评分，每个业绩得</w:t>
            </w:r>
            <w:r>
              <w:rPr>
                <w:rFonts w:hint="eastAsia" w:ascii="仿宋_GB2312" w:hAnsi="仿宋_GB2312" w:eastAsia="仿宋_GB2312" w:cs="仿宋_GB2312"/>
                <w:b w:val="0"/>
                <w:bCs w:val="0"/>
                <w:sz w:val="28"/>
                <w:szCs w:val="28"/>
                <w:highlight w:val="none"/>
                <w:lang w:val="en-US" w:eastAsia="zh-CN"/>
              </w:rPr>
              <w:t>3</w:t>
            </w:r>
            <w:r>
              <w:rPr>
                <w:rFonts w:hint="eastAsia" w:ascii="仿宋_GB2312" w:hAnsi="仿宋_GB2312" w:eastAsia="仿宋_GB2312" w:cs="仿宋_GB2312"/>
                <w:b w:val="0"/>
                <w:bCs w:val="0"/>
                <w:sz w:val="28"/>
                <w:szCs w:val="28"/>
                <w:highlight w:val="none"/>
              </w:rPr>
              <w:t>分</w:t>
            </w:r>
            <w:r>
              <w:rPr>
                <w:rFonts w:hint="eastAsia" w:ascii="仿宋_GB2312" w:hAnsi="仿宋_GB2312" w:eastAsia="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rPr>
              <w:t>本项满分</w:t>
            </w:r>
            <w:r>
              <w:rPr>
                <w:rFonts w:hint="eastAsia" w:ascii="仿宋_GB2312" w:hAnsi="仿宋_GB2312" w:eastAsia="仿宋_GB2312" w:cs="仿宋_GB2312"/>
                <w:b w:val="0"/>
                <w:bCs w:val="0"/>
                <w:sz w:val="28"/>
                <w:szCs w:val="28"/>
                <w:highlight w:val="none"/>
                <w:lang w:val="en-US" w:eastAsia="zh-CN"/>
              </w:rPr>
              <w:t>15</w:t>
            </w:r>
            <w:r>
              <w:rPr>
                <w:rFonts w:hint="eastAsia" w:ascii="仿宋_GB2312" w:hAnsi="仿宋_GB2312" w:eastAsia="仿宋_GB2312" w:cs="仿宋_GB2312"/>
                <w:b w:val="0"/>
                <w:bCs w:val="0"/>
                <w:sz w:val="28"/>
                <w:szCs w:val="28"/>
                <w:highlight w:val="none"/>
              </w:rPr>
              <w:t>分。</w:t>
            </w:r>
          </w:p>
          <w:p w14:paraId="5C36FDA7">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注：需提供合同复印件加盖</w:t>
            </w:r>
            <w:r>
              <w:rPr>
                <w:rFonts w:hint="eastAsia" w:ascii="仿宋_GB2312" w:hAnsi="仿宋_GB2312" w:eastAsia="仿宋_GB2312" w:cs="仿宋_GB2312"/>
                <w:b w:val="0"/>
                <w:bCs w:val="0"/>
                <w:sz w:val="28"/>
                <w:szCs w:val="28"/>
                <w:highlight w:val="none"/>
                <w:lang w:val="en-US" w:eastAsia="zh-CN"/>
              </w:rPr>
              <w:t>供应商</w:t>
            </w:r>
            <w:r>
              <w:rPr>
                <w:rFonts w:hint="eastAsia" w:ascii="仿宋_GB2312" w:hAnsi="仿宋_GB2312" w:eastAsia="仿宋_GB2312" w:cs="仿宋_GB2312"/>
                <w:b w:val="0"/>
                <w:bCs w:val="0"/>
                <w:sz w:val="28"/>
                <w:szCs w:val="28"/>
                <w:highlight w:val="none"/>
              </w:rPr>
              <w:t>公章，否则不得分。</w:t>
            </w:r>
          </w:p>
        </w:tc>
      </w:tr>
      <w:tr w14:paraId="14B67D43">
        <w:trPr>
          <w:trHeight w:val="469" w:hRule="atLeast"/>
          <w:jc w:val="center"/>
        </w:trPr>
        <w:tc>
          <w:tcPr>
            <w:tcW w:w="904" w:type="dxa"/>
            <w:vMerge w:val="continue"/>
            <w:tcBorders>
              <w:left w:val="single" w:color="auto" w:sz="4" w:space="0"/>
              <w:right w:val="single" w:color="auto" w:sz="4" w:space="0"/>
            </w:tcBorders>
            <w:vAlign w:val="center"/>
          </w:tcPr>
          <w:p w14:paraId="540EDC7D">
            <w:pPr>
              <w:keepNext w:val="0"/>
              <w:keepLines w:val="0"/>
              <w:pageBreakBefore w:val="0"/>
              <w:widowControl w:val="0"/>
              <w:kinsoku/>
              <w:wordWrap/>
              <w:overflowPunct/>
              <w:topLinePunct w:val="0"/>
              <w:bidi w:val="0"/>
              <w:snapToGrid w:val="0"/>
              <w:spacing w:line="500" w:lineRule="exact"/>
              <w:jc w:val="center"/>
              <w:textAlignment w:val="auto"/>
              <w:rPr>
                <w:rFonts w:hint="eastAsia" w:ascii="仿宋_GB2312" w:hAnsi="仿宋_GB2312" w:eastAsia="仿宋_GB2312" w:cs="仿宋_GB2312"/>
                <w:sz w:val="28"/>
                <w:szCs w:val="28"/>
                <w:highlight w:val="none"/>
                <w:lang w:val="en-US" w:eastAsia="zh-CN"/>
              </w:rPr>
            </w:pPr>
          </w:p>
        </w:tc>
        <w:tc>
          <w:tcPr>
            <w:tcW w:w="1583" w:type="dxa"/>
            <w:tcBorders>
              <w:top w:val="single" w:color="auto" w:sz="4" w:space="0"/>
              <w:left w:val="single" w:color="auto" w:sz="4" w:space="0"/>
              <w:right w:val="single" w:color="auto" w:sz="4" w:space="0"/>
            </w:tcBorders>
            <w:vAlign w:val="center"/>
          </w:tcPr>
          <w:p w14:paraId="63E87DDF">
            <w:pPr>
              <w:keepNext w:val="0"/>
              <w:keepLines w:val="0"/>
              <w:pageBreakBefore w:val="0"/>
              <w:widowControl w:val="0"/>
              <w:kinsoku/>
              <w:wordWrap/>
              <w:overflowPunct/>
              <w:topLinePunct w:val="0"/>
              <w:bidi w:val="0"/>
              <w:snapToGrid w:val="0"/>
              <w:spacing w:line="500" w:lineRule="exact"/>
              <w:jc w:val="center"/>
              <w:textAlignment w:val="auto"/>
              <w:rPr>
                <w:rFonts w:hint="eastAsia" w:ascii="仿宋_GB2312" w:hAnsi="仿宋_GB2312" w:eastAsia="仿宋_GB2312" w:cs="仿宋_GB2312"/>
                <w:bCs/>
                <w:sz w:val="28"/>
                <w:szCs w:val="28"/>
                <w:highlight w:val="none"/>
                <w:lang w:val="en-US" w:eastAsia="zh-CN"/>
              </w:rPr>
            </w:pPr>
            <w:r>
              <w:rPr>
                <w:rFonts w:hint="eastAsia" w:ascii="仿宋_GB2312" w:hAnsi="仿宋_GB2312" w:eastAsia="仿宋_GB2312" w:cs="仿宋_GB2312"/>
                <w:bCs/>
                <w:sz w:val="28"/>
                <w:szCs w:val="28"/>
                <w:highlight w:val="none"/>
                <w:lang w:val="en-US" w:eastAsia="zh-CN"/>
              </w:rPr>
              <w:t>人员配置情况</w:t>
            </w:r>
          </w:p>
          <w:p w14:paraId="44811E7D">
            <w:pPr>
              <w:keepNext w:val="0"/>
              <w:keepLines w:val="0"/>
              <w:pageBreakBefore w:val="0"/>
              <w:widowControl w:val="0"/>
              <w:kinsoku/>
              <w:wordWrap/>
              <w:overflowPunct/>
              <w:topLinePunct w:val="0"/>
              <w:bidi w:val="0"/>
              <w:snapToGrid w:val="0"/>
              <w:spacing w:line="500" w:lineRule="exact"/>
              <w:jc w:val="center"/>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19</w:t>
            </w:r>
            <w:r>
              <w:rPr>
                <w:rFonts w:hint="eastAsia" w:ascii="仿宋_GB2312" w:hAnsi="仿宋_GB2312" w:eastAsia="仿宋_GB2312" w:cs="仿宋_GB2312"/>
                <w:sz w:val="28"/>
                <w:szCs w:val="28"/>
                <w:highlight w:val="none"/>
              </w:rPr>
              <w:t>分</w:t>
            </w:r>
          </w:p>
        </w:tc>
        <w:tc>
          <w:tcPr>
            <w:tcW w:w="6086" w:type="dxa"/>
            <w:tcBorders>
              <w:top w:val="single" w:color="auto" w:sz="4" w:space="0"/>
              <w:left w:val="single" w:color="auto" w:sz="4" w:space="0"/>
              <w:right w:val="single" w:color="auto" w:sz="4" w:space="0"/>
            </w:tcBorders>
            <w:shd w:val="clear" w:color="auto" w:fill="auto"/>
          </w:tcPr>
          <w:p w14:paraId="58DAAE48">
            <w:pPr>
              <w:keepNext w:val="0"/>
              <w:keepLines w:val="0"/>
              <w:pageBreakBefore w:val="0"/>
              <w:widowControl w:val="0"/>
              <w:numPr>
                <w:ilvl w:val="0"/>
                <w:numId w:val="0"/>
              </w:numPr>
              <w:kinsoku/>
              <w:wordWrap/>
              <w:overflowPunct/>
              <w:topLinePunct w:val="0"/>
              <w:bidi w:val="0"/>
              <w:snapToGrid w:val="0"/>
              <w:spacing w:line="500" w:lineRule="exact"/>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根据供应商拟投入本项目的团队专业人员情况进行评分：</w:t>
            </w:r>
          </w:p>
          <w:p w14:paraId="20159319">
            <w:pPr>
              <w:keepNext w:val="0"/>
              <w:keepLines w:val="0"/>
              <w:pageBreakBefore w:val="0"/>
              <w:widowControl w:val="0"/>
              <w:numPr>
                <w:ilvl w:val="0"/>
                <w:numId w:val="0"/>
              </w:numPr>
              <w:kinsoku/>
              <w:wordWrap/>
              <w:overflowPunct/>
              <w:topLinePunct w:val="0"/>
              <w:bidi w:val="0"/>
              <w:spacing w:line="500" w:lineRule="exact"/>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bidi="ar-SA"/>
              </w:rPr>
              <w:t>（1）</w:t>
            </w:r>
            <w:r>
              <w:rPr>
                <w:rFonts w:hint="eastAsia" w:ascii="仿宋_GB2312" w:hAnsi="仿宋_GB2312" w:eastAsia="仿宋_GB2312" w:cs="仿宋_GB2312"/>
                <w:b w:val="0"/>
                <w:bCs w:val="0"/>
                <w:sz w:val="28"/>
                <w:szCs w:val="28"/>
                <w:lang w:val="en-US" w:eastAsia="zh-CN"/>
              </w:rPr>
              <w:t>驻场人员中具有律师执业证的，每有1人得2分，本项最高得6分；</w:t>
            </w:r>
          </w:p>
          <w:p w14:paraId="2D667AC2">
            <w:pPr>
              <w:pStyle w:val="7"/>
              <w:keepNext w:val="0"/>
              <w:keepLines w:val="0"/>
              <w:pageBreakBefore w:val="0"/>
              <w:widowControl w:val="0"/>
              <w:numPr>
                <w:ilvl w:val="0"/>
                <w:numId w:val="0"/>
              </w:numPr>
              <w:kinsoku/>
              <w:wordWrap/>
              <w:overflowPunct/>
              <w:topLinePunct w:val="0"/>
              <w:bidi w:val="0"/>
              <w:spacing w:line="500" w:lineRule="exact"/>
              <w:ind w:left="0" w:leftChars="0" w:firstLine="0" w:firstLineChars="0"/>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kern w:val="2"/>
                <w:sz w:val="28"/>
                <w:szCs w:val="28"/>
                <w:lang w:val="en-US" w:eastAsia="zh-CN" w:bidi="ar-SA"/>
              </w:rPr>
              <w:t>（2）驻场</w:t>
            </w:r>
            <w:r>
              <w:rPr>
                <w:rFonts w:hint="eastAsia" w:ascii="仿宋_GB2312" w:hAnsi="仿宋_GB2312" w:eastAsia="仿宋_GB2312" w:cs="仿宋_GB2312"/>
                <w:b w:val="0"/>
                <w:bCs w:val="0"/>
                <w:sz w:val="28"/>
                <w:szCs w:val="28"/>
                <w:lang w:val="en-US" w:eastAsia="zh-CN"/>
              </w:rPr>
              <w:t>人员中具有本科或以上学历的（法学），每有一人得1分，本项最高得3分；</w:t>
            </w:r>
          </w:p>
          <w:p w14:paraId="3D9712F6">
            <w:pPr>
              <w:rPr>
                <w:rFonts w:hint="default"/>
                <w:lang w:val="en-US" w:eastAsia="zh-CN"/>
              </w:rPr>
            </w:pPr>
            <w:r>
              <w:rPr>
                <w:rFonts w:hint="eastAsia" w:ascii="仿宋_GB2312" w:hAnsi="仿宋_GB2312" w:eastAsia="仿宋_GB2312" w:cs="仿宋_GB2312"/>
                <w:b w:val="0"/>
                <w:bCs w:val="0"/>
                <w:sz w:val="28"/>
                <w:szCs w:val="28"/>
                <w:lang w:val="en-US" w:eastAsia="zh-CN"/>
              </w:rPr>
              <w:t>（3）专家团队满足至少有3名分别具有专业审计、消防、装修工程相关领域的高级职称，且具有三年以上从业经验的，得10分，少1名相关专家扣3分，未提供专家团队得0分。</w:t>
            </w:r>
          </w:p>
          <w:p w14:paraId="1D9A19E4">
            <w:pPr>
              <w:keepNext w:val="0"/>
              <w:keepLines w:val="0"/>
              <w:pageBreakBefore w:val="0"/>
              <w:widowControl w:val="0"/>
              <w:kinsoku/>
              <w:wordWrap/>
              <w:overflowPunct/>
              <w:topLinePunct w:val="0"/>
              <w:bidi w:val="0"/>
              <w:snapToGrid w:val="0"/>
              <w:spacing w:line="500" w:lineRule="exact"/>
              <w:textAlignment w:val="auto"/>
              <w:rPr>
                <w:rFonts w:hint="default" w:ascii="仿宋_GB2312" w:hAnsi="仿宋_GB2312" w:eastAsia="仿宋_GB2312" w:cs="仿宋_GB2312"/>
                <w:b w:val="0"/>
                <w:bCs w:val="0"/>
                <w:sz w:val="28"/>
                <w:szCs w:val="28"/>
                <w:highlight w:val="none"/>
                <w:lang w:val="en-US"/>
              </w:rPr>
            </w:pPr>
            <w:r>
              <w:rPr>
                <w:rFonts w:hint="eastAsia" w:ascii="仿宋_GB2312" w:hAnsi="仿宋_GB2312" w:eastAsia="仿宋_GB2312" w:cs="仿宋_GB2312"/>
                <w:b w:val="0"/>
                <w:bCs w:val="0"/>
                <w:sz w:val="28"/>
                <w:szCs w:val="28"/>
                <w:highlight w:val="none"/>
              </w:rPr>
              <w:t>注：</w:t>
            </w:r>
            <w:r>
              <w:rPr>
                <w:rFonts w:hint="eastAsia" w:ascii="仿宋_GB2312" w:hAnsi="仿宋_GB2312" w:eastAsia="仿宋_GB2312" w:cs="仿宋_GB2312"/>
                <w:b w:val="0"/>
                <w:bCs w:val="0"/>
                <w:sz w:val="28"/>
                <w:szCs w:val="28"/>
                <w:highlight w:val="none"/>
                <w:lang w:val="en-US" w:eastAsia="zh-CN"/>
              </w:rPr>
              <w:t>驻场人员须</w:t>
            </w:r>
            <w:r>
              <w:rPr>
                <w:rFonts w:hint="eastAsia" w:ascii="仿宋_GB2312" w:hAnsi="仿宋_GB2312" w:eastAsia="仿宋_GB2312" w:cs="仿宋_GB2312"/>
                <w:b w:val="0"/>
                <w:bCs w:val="0"/>
                <w:sz w:val="28"/>
                <w:szCs w:val="28"/>
                <w:highlight w:val="none"/>
              </w:rPr>
              <w:t>提供</w:t>
            </w:r>
            <w:r>
              <w:rPr>
                <w:rFonts w:hint="eastAsia" w:ascii="仿宋_GB2312" w:hAnsi="仿宋_GB2312" w:eastAsia="仿宋_GB2312" w:cs="仿宋_GB2312"/>
                <w:b w:val="0"/>
                <w:bCs w:val="0"/>
                <w:sz w:val="28"/>
                <w:szCs w:val="28"/>
                <w:highlight w:val="none"/>
                <w:lang w:val="en-US" w:eastAsia="zh-CN"/>
              </w:rPr>
              <w:t>学历证书或者职称证书、相关证书</w:t>
            </w:r>
            <w:r>
              <w:rPr>
                <w:rFonts w:hint="eastAsia" w:ascii="仿宋_GB2312" w:hAnsi="仿宋_GB2312" w:eastAsia="仿宋_GB2312" w:cs="仿宋_GB2312"/>
                <w:b w:val="0"/>
                <w:bCs w:val="0"/>
                <w:sz w:val="28"/>
                <w:szCs w:val="28"/>
                <w:highlight w:val="none"/>
              </w:rPr>
              <w:t>复印件加盖供应商公章及社保机构出具的该人员的社保证明</w:t>
            </w:r>
            <w:r>
              <w:rPr>
                <w:rFonts w:hint="eastAsia" w:ascii="仿宋_GB2312" w:hAnsi="仿宋_GB2312" w:eastAsia="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lang w:val="en-US" w:eastAsia="zh-CN"/>
              </w:rPr>
              <w:t>以采购公告发布之日起计算，近三个月中的任意一月</w:t>
            </w:r>
            <w:r>
              <w:rPr>
                <w:rFonts w:hint="eastAsia" w:ascii="仿宋_GB2312" w:hAnsi="仿宋_GB2312" w:eastAsia="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lang w:val="en-US" w:eastAsia="zh-CN"/>
              </w:rPr>
              <w:t>否则不得分；专家团队需提供能满足</w:t>
            </w:r>
            <w:r>
              <w:rPr>
                <w:rFonts w:hint="eastAsia" w:ascii="仿宋_GB2312" w:hAnsi="仿宋_GB2312" w:eastAsia="仿宋_GB2312" w:cs="仿宋_GB2312"/>
                <w:sz w:val="28"/>
                <w:szCs w:val="28"/>
                <w:lang w:val="en-US" w:eastAsia="zh-CN"/>
              </w:rPr>
              <w:t>专项巡检要求的承诺函，</w:t>
            </w:r>
            <w:r>
              <w:rPr>
                <w:rFonts w:hint="eastAsia" w:ascii="仿宋_GB2312" w:hAnsi="仿宋_GB2312" w:eastAsia="仿宋_GB2312" w:cs="仿宋_GB2312"/>
                <w:b w:val="0"/>
                <w:bCs/>
                <w:sz w:val="28"/>
                <w:szCs w:val="28"/>
                <w:highlight w:val="none"/>
                <w:lang w:val="en-US" w:eastAsia="zh-CN"/>
              </w:rPr>
              <w:t>格式自拟，未提供相关材料不得分。</w:t>
            </w:r>
          </w:p>
        </w:tc>
      </w:tr>
      <w:tr w14:paraId="635D10E2">
        <w:trPr>
          <w:trHeight w:val="1660" w:hRule="atLeast"/>
          <w:jc w:val="center"/>
        </w:trPr>
        <w:tc>
          <w:tcPr>
            <w:tcW w:w="904" w:type="dxa"/>
            <w:vMerge w:val="continue"/>
            <w:tcBorders>
              <w:left w:val="single" w:color="auto" w:sz="4" w:space="0"/>
              <w:right w:val="single" w:color="auto" w:sz="4" w:space="0"/>
            </w:tcBorders>
            <w:vAlign w:val="center"/>
          </w:tcPr>
          <w:p w14:paraId="79BDA78A">
            <w:pPr>
              <w:pStyle w:val="6"/>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rPr>
            </w:pPr>
          </w:p>
        </w:tc>
        <w:tc>
          <w:tcPr>
            <w:tcW w:w="1583" w:type="dxa"/>
            <w:tcBorders>
              <w:top w:val="single" w:color="auto" w:sz="4" w:space="0"/>
              <w:left w:val="single" w:color="auto" w:sz="4" w:space="0"/>
              <w:right w:val="single" w:color="auto" w:sz="4" w:space="0"/>
            </w:tcBorders>
            <w:vAlign w:val="center"/>
          </w:tcPr>
          <w:p w14:paraId="4275CF42">
            <w:pPr>
              <w:keepNext w:val="0"/>
              <w:keepLines w:val="0"/>
              <w:pageBreakBefore w:val="0"/>
              <w:widowControl w:val="0"/>
              <w:kinsoku/>
              <w:wordWrap/>
              <w:overflowPunct/>
              <w:topLinePunct w:val="0"/>
              <w:bidi w:val="0"/>
              <w:snapToGrid w:val="0"/>
              <w:spacing w:line="500" w:lineRule="exact"/>
              <w:jc w:val="center"/>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设备配备</w:t>
            </w:r>
          </w:p>
          <w:p w14:paraId="370B3DF4">
            <w:pPr>
              <w:pStyle w:val="6"/>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lang w:val="en-US" w:eastAsia="zh-CN"/>
              </w:rPr>
              <w:t>6分</w:t>
            </w:r>
          </w:p>
        </w:tc>
        <w:tc>
          <w:tcPr>
            <w:tcW w:w="6086" w:type="dxa"/>
            <w:tcBorders>
              <w:top w:val="single" w:color="auto" w:sz="4" w:space="0"/>
              <w:left w:val="single" w:color="auto" w:sz="4" w:space="0"/>
              <w:right w:val="single" w:color="auto" w:sz="4" w:space="0"/>
            </w:tcBorders>
            <w:shd w:val="clear" w:color="auto" w:fill="auto"/>
            <w:vAlign w:val="center"/>
          </w:tcPr>
          <w:p w14:paraId="314C193B">
            <w:pPr>
              <w:keepNext w:val="0"/>
              <w:keepLines w:val="0"/>
              <w:pageBreakBefore w:val="0"/>
              <w:widowControl w:val="0"/>
              <w:kinsoku/>
              <w:wordWrap/>
              <w:overflowPunct/>
              <w:topLinePunct w:val="0"/>
              <w:bidi w:val="0"/>
              <w:snapToGrid w:val="0"/>
              <w:spacing w:line="500" w:lineRule="exact"/>
              <w:jc w:val="both"/>
              <w:textAlignment w:val="auto"/>
              <w:rPr>
                <w:rFonts w:hint="eastAsia" w:ascii="仿宋_GB2312" w:hAnsi="仿宋_GB2312" w:eastAsia="仿宋_GB2312" w:cs="仿宋_GB2312"/>
                <w:b w:val="0"/>
                <w:bCs/>
                <w:sz w:val="28"/>
                <w:szCs w:val="28"/>
                <w:highlight w:val="none"/>
              </w:rPr>
            </w:pPr>
            <w:r>
              <w:rPr>
                <w:rFonts w:hint="eastAsia" w:ascii="仿宋_GB2312" w:hAnsi="仿宋_GB2312" w:eastAsia="仿宋_GB2312" w:cs="仿宋_GB2312"/>
                <w:b w:val="0"/>
                <w:bCs/>
                <w:sz w:val="28"/>
                <w:szCs w:val="28"/>
                <w:highlight w:val="none"/>
                <w:lang w:val="en-US" w:eastAsia="zh-CN"/>
              </w:rPr>
              <w:t xml:space="preserve">供应商拟派常驻车辆一台，车龄在2年以内且公里数不超过5万公里，得6分。 </w:t>
            </w:r>
          </w:p>
          <w:p w14:paraId="77227856">
            <w:pPr>
              <w:keepNext w:val="0"/>
              <w:keepLines w:val="0"/>
              <w:pageBreakBefore w:val="0"/>
              <w:widowControl w:val="0"/>
              <w:kinsoku/>
              <w:wordWrap/>
              <w:overflowPunct/>
              <w:topLinePunct w:val="0"/>
              <w:bidi w:val="0"/>
              <w:snapToGrid w:val="0"/>
              <w:spacing w:line="500" w:lineRule="exact"/>
              <w:jc w:val="both"/>
              <w:textAlignment w:val="auto"/>
              <w:rPr>
                <w:rFonts w:hint="eastAsia" w:ascii="仿宋_GB2312" w:hAnsi="仿宋_GB2312" w:eastAsia="仿宋_GB2312" w:cs="仿宋_GB2312"/>
                <w:sz w:val="28"/>
                <w:szCs w:val="28"/>
                <w:lang w:val="en-US"/>
              </w:rPr>
            </w:pPr>
            <w:r>
              <w:rPr>
                <w:rFonts w:hint="eastAsia" w:ascii="仿宋_GB2312" w:hAnsi="仿宋_GB2312" w:eastAsia="仿宋_GB2312" w:cs="仿宋_GB2312"/>
                <w:b w:val="0"/>
                <w:bCs/>
                <w:sz w:val="28"/>
                <w:szCs w:val="28"/>
                <w:highlight w:val="none"/>
                <w:lang w:val="en-US" w:eastAsia="zh-CN"/>
              </w:rPr>
              <w:t>注：提供车辆行驶证复印件或租赁意向合同复印件以及常驻车辆仅用于本项目的承诺函，格式自拟。未提供相关材料不得分。</w:t>
            </w:r>
          </w:p>
        </w:tc>
      </w:tr>
      <w:tr w14:paraId="5F7264C6">
        <w:trPr>
          <w:trHeight w:val="589" w:hRule="atLeast"/>
          <w:jc w:val="center"/>
        </w:trPr>
        <w:tc>
          <w:tcPr>
            <w:tcW w:w="8573" w:type="dxa"/>
            <w:gridSpan w:val="3"/>
            <w:tcBorders>
              <w:top w:val="single" w:color="auto" w:sz="4" w:space="0"/>
              <w:left w:val="single" w:color="auto" w:sz="4" w:space="0"/>
              <w:right w:val="single" w:color="auto" w:sz="4" w:space="0"/>
            </w:tcBorders>
            <w:shd w:val="clear" w:color="auto" w:fill="auto"/>
            <w:vAlign w:val="center"/>
          </w:tcPr>
          <w:p w14:paraId="350DEB18">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lang w:val="en-US" w:eastAsia="zh-CN"/>
              </w:rPr>
              <w:t>3.经济价格（15分）</w:t>
            </w:r>
          </w:p>
        </w:tc>
      </w:tr>
      <w:tr w14:paraId="397135D0">
        <w:trPr>
          <w:trHeight w:val="493" w:hRule="atLeast"/>
          <w:jc w:val="center"/>
        </w:trPr>
        <w:tc>
          <w:tcPr>
            <w:tcW w:w="2487" w:type="dxa"/>
            <w:gridSpan w:val="2"/>
            <w:tcBorders>
              <w:top w:val="single" w:color="auto" w:sz="4" w:space="0"/>
              <w:left w:val="single" w:color="auto" w:sz="4" w:space="0"/>
              <w:right w:val="single" w:color="auto" w:sz="4" w:space="0"/>
            </w:tcBorders>
            <w:shd w:val="clear" w:color="auto" w:fill="auto"/>
            <w:vAlign w:val="center"/>
          </w:tcPr>
          <w:p w14:paraId="5B333A3E">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b/>
                <w:sz w:val="28"/>
                <w:szCs w:val="28"/>
                <w:highlight w:val="none"/>
                <w:lang w:val="en-US" w:eastAsia="zh-CN" w:bidi="ar-SA"/>
              </w:rPr>
            </w:pPr>
            <w:r>
              <w:rPr>
                <w:rFonts w:hint="eastAsia" w:ascii="仿宋_GB2312" w:hAnsi="仿宋_GB2312" w:eastAsia="仿宋_GB2312" w:cs="仿宋_GB2312"/>
                <w:b/>
                <w:sz w:val="28"/>
                <w:szCs w:val="28"/>
                <w:highlight w:val="none"/>
              </w:rPr>
              <w:t>评审内容及分值</w:t>
            </w:r>
          </w:p>
        </w:tc>
        <w:tc>
          <w:tcPr>
            <w:tcW w:w="6086" w:type="dxa"/>
            <w:tcBorders>
              <w:top w:val="single" w:color="auto" w:sz="4" w:space="0"/>
              <w:left w:val="single" w:color="auto" w:sz="4" w:space="0"/>
              <w:right w:val="single" w:color="auto" w:sz="4" w:space="0"/>
            </w:tcBorders>
            <w:shd w:val="clear" w:color="auto" w:fill="auto"/>
            <w:vAlign w:val="center"/>
          </w:tcPr>
          <w:p w14:paraId="0769D530">
            <w:pPr>
              <w:keepNext w:val="0"/>
              <w:keepLines w:val="0"/>
              <w:pageBreakBefore w:val="0"/>
              <w:widowControl w:val="0"/>
              <w:kinsoku/>
              <w:wordWrap/>
              <w:overflowPunct/>
              <w:topLinePunct w:val="0"/>
              <w:bidi w:val="0"/>
              <w:spacing w:line="500" w:lineRule="exact"/>
              <w:ind w:firstLine="562" w:firstLineChars="200"/>
              <w:jc w:val="center"/>
              <w:textAlignment w:val="auto"/>
              <w:rPr>
                <w:rFonts w:hint="eastAsia" w:ascii="仿宋_GB2312" w:hAnsi="仿宋_GB2312" w:eastAsia="仿宋_GB2312" w:cs="仿宋_GB2312"/>
                <w:b/>
                <w:sz w:val="28"/>
                <w:szCs w:val="28"/>
                <w:highlight w:val="none"/>
                <w:lang w:val="en-US" w:eastAsia="zh-CN" w:bidi="ar-SA"/>
              </w:rPr>
            </w:pPr>
            <w:r>
              <w:rPr>
                <w:rFonts w:hint="eastAsia" w:ascii="仿宋_GB2312" w:hAnsi="仿宋_GB2312" w:eastAsia="仿宋_GB2312" w:cs="仿宋_GB2312"/>
                <w:b/>
                <w:sz w:val="28"/>
                <w:szCs w:val="28"/>
                <w:highlight w:val="none"/>
              </w:rPr>
              <w:t>评分细则</w:t>
            </w:r>
          </w:p>
        </w:tc>
      </w:tr>
      <w:tr w14:paraId="6405F59A">
        <w:trPr>
          <w:trHeight w:val="1932" w:hRule="atLeast"/>
          <w:jc w:val="center"/>
        </w:trPr>
        <w:tc>
          <w:tcPr>
            <w:tcW w:w="904" w:type="dxa"/>
            <w:tcBorders>
              <w:top w:val="single" w:color="auto" w:sz="4" w:space="0"/>
              <w:left w:val="single" w:color="auto" w:sz="4" w:space="0"/>
              <w:right w:val="single" w:color="auto" w:sz="4" w:space="0"/>
            </w:tcBorders>
            <w:shd w:val="clear" w:color="auto" w:fill="auto"/>
            <w:vAlign w:val="center"/>
          </w:tcPr>
          <w:p w14:paraId="2B336774">
            <w:pPr>
              <w:keepNext w:val="0"/>
              <w:keepLines w:val="0"/>
              <w:pageBreakBefore w:val="0"/>
              <w:widowControl w:val="0"/>
              <w:kinsoku/>
              <w:wordWrap/>
              <w:overflowPunct/>
              <w:topLinePunct w:val="0"/>
              <w:bidi w:val="0"/>
              <w:spacing w:line="500" w:lineRule="exact"/>
              <w:jc w:val="center"/>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经济价格</w:t>
            </w:r>
          </w:p>
        </w:tc>
        <w:tc>
          <w:tcPr>
            <w:tcW w:w="1583" w:type="dxa"/>
            <w:tcBorders>
              <w:top w:val="single" w:color="auto" w:sz="4" w:space="0"/>
              <w:left w:val="single" w:color="auto" w:sz="4" w:space="0"/>
              <w:right w:val="single" w:color="auto" w:sz="4" w:space="0"/>
            </w:tcBorders>
            <w:shd w:val="clear" w:color="auto" w:fill="auto"/>
            <w:vAlign w:val="center"/>
          </w:tcPr>
          <w:p w14:paraId="709A3224">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rPr>
              <w:t>价格</w:t>
            </w:r>
            <w:r>
              <w:rPr>
                <w:rFonts w:hint="eastAsia" w:ascii="仿宋_GB2312" w:hAnsi="仿宋_GB2312" w:eastAsia="仿宋_GB2312" w:cs="仿宋_GB2312"/>
                <w:sz w:val="28"/>
                <w:szCs w:val="28"/>
                <w:highlight w:val="none"/>
                <w:lang w:val="en-US" w:eastAsia="zh-CN"/>
              </w:rPr>
              <w:t>部分</w:t>
            </w:r>
          </w:p>
          <w:p w14:paraId="6D00CE1D">
            <w:pPr>
              <w:keepNext w:val="0"/>
              <w:keepLines w:val="0"/>
              <w:pageBreakBefore w:val="0"/>
              <w:widowControl w:val="0"/>
              <w:kinsoku/>
              <w:wordWrap/>
              <w:overflowPunct/>
              <w:topLinePunct w:val="0"/>
              <w:bidi w:val="0"/>
              <w:spacing w:line="500" w:lineRule="exact"/>
              <w:jc w:val="center"/>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rPr>
              <w:t>1</w:t>
            </w: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rPr>
              <w:t>分</w:t>
            </w:r>
          </w:p>
        </w:tc>
        <w:tc>
          <w:tcPr>
            <w:tcW w:w="6086" w:type="dxa"/>
            <w:tcBorders>
              <w:top w:val="single" w:color="auto" w:sz="4" w:space="0"/>
              <w:left w:val="single" w:color="auto" w:sz="4" w:space="0"/>
              <w:right w:val="single" w:color="auto" w:sz="4" w:space="0"/>
            </w:tcBorders>
            <w:shd w:val="clear" w:color="auto" w:fill="auto"/>
            <w:vAlign w:val="center"/>
          </w:tcPr>
          <w:p w14:paraId="0E4AC26D">
            <w:pPr>
              <w:keepNext w:val="0"/>
              <w:keepLines w:val="0"/>
              <w:pageBreakBefore w:val="0"/>
              <w:widowControl w:val="0"/>
              <w:kinsoku/>
              <w:wordWrap/>
              <w:overflowPunct/>
              <w:topLinePunct w:val="0"/>
              <w:bidi w:val="0"/>
              <w:spacing w:line="5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rPr>
              <w:t>经济价格得分=(评标基准价/评标价)×1</w:t>
            </w: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rPr>
              <w:t>%×100备注：经济价格得分四舍五入后，小数点后保留</w:t>
            </w:r>
            <w:r>
              <w:rPr>
                <w:rFonts w:hint="eastAsia" w:ascii="仿宋_GB2312" w:hAnsi="仿宋_GB2312" w:eastAsia="仿宋_GB2312" w:cs="仿宋_GB2312"/>
                <w:sz w:val="28"/>
                <w:szCs w:val="28"/>
                <w:highlight w:val="none"/>
                <w:lang w:val="en-US" w:eastAsia="zh-CN"/>
              </w:rPr>
              <w:t>两位</w:t>
            </w:r>
            <w:r>
              <w:rPr>
                <w:rFonts w:hint="eastAsia" w:ascii="仿宋_GB2312" w:hAnsi="仿宋_GB2312" w:eastAsia="仿宋_GB2312" w:cs="仿宋_GB2312"/>
                <w:sz w:val="28"/>
                <w:szCs w:val="28"/>
                <w:highlight w:val="none"/>
              </w:rPr>
              <w:t>有效数</w:t>
            </w:r>
            <w:r>
              <w:rPr>
                <w:rFonts w:hint="eastAsia" w:ascii="仿宋_GB2312" w:hAnsi="仿宋_GB2312" w:eastAsia="仿宋_GB2312" w:cs="仿宋_GB2312"/>
                <w:sz w:val="28"/>
                <w:szCs w:val="28"/>
                <w:highlight w:val="none"/>
                <w:lang w:eastAsia="zh-CN"/>
              </w:rPr>
              <w:t>。</w:t>
            </w:r>
          </w:p>
        </w:tc>
      </w:tr>
    </w:tbl>
    <w:p w14:paraId="6978CC1E">
      <w:pPr>
        <w:keepNext w:val="0"/>
        <w:keepLines w:val="0"/>
        <w:pageBreakBefore w:val="0"/>
        <w:widowControl w:val="0"/>
        <w:kinsoku/>
        <w:wordWrap/>
        <w:overflowPunct/>
        <w:topLinePunct w:val="0"/>
        <w:bidi w:val="0"/>
        <w:spacing w:line="5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特别说明：</w:t>
      </w:r>
    </w:p>
    <w:p w14:paraId="0BF35697">
      <w:pPr>
        <w:keepNext w:val="0"/>
        <w:keepLines w:val="0"/>
        <w:pageBreakBefore w:val="0"/>
        <w:widowControl w:val="0"/>
        <w:kinsoku/>
        <w:wordWrap/>
        <w:overflowPunct/>
        <w:topLinePunct w:val="0"/>
        <w:bidi w:val="0"/>
        <w:spacing w:line="5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（一）将所有商务技术评价指标所得实际评价分数相加，即为该投标人的商务技术评价得分，所有评委评出的商务技术评价得分取平均值为该投标人的商务技术标得分。</w:t>
      </w:r>
    </w:p>
    <w:p w14:paraId="5AF73610">
      <w:pPr>
        <w:keepNext w:val="0"/>
        <w:keepLines w:val="0"/>
        <w:pageBreakBefore w:val="0"/>
        <w:widowControl w:val="0"/>
        <w:kinsoku/>
        <w:wordWrap/>
        <w:overflowPunct/>
        <w:topLinePunct w:val="0"/>
        <w:bidi w:val="0"/>
        <w:spacing w:line="5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（二）经济价格得分=(评标基准价/</w:t>
      </w:r>
      <w:r>
        <w:rPr>
          <w:rFonts w:hint="eastAsia" w:ascii="仿宋_GB2312" w:hAnsi="仿宋_GB2312" w:eastAsia="仿宋_GB2312" w:cs="仿宋_GB2312"/>
          <w:sz w:val="28"/>
          <w:szCs w:val="28"/>
          <w:highlight w:val="none"/>
        </w:rPr>
        <w:t>评标价</w:t>
      </w:r>
      <w:r>
        <w:rPr>
          <w:rFonts w:hint="eastAsia" w:ascii="仿宋_GB2312" w:hAnsi="仿宋_GB2312" w:eastAsia="仿宋_GB2312" w:cs="仿宋_GB2312"/>
          <w:sz w:val="28"/>
          <w:szCs w:val="28"/>
        </w:rPr>
        <w:t>)×价格指标权重×100。</w:t>
      </w:r>
    </w:p>
    <w:p w14:paraId="0AFF0A8F">
      <w:pPr>
        <w:keepNext w:val="0"/>
        <w:keepLines w:val="0"/>
        <w:pageBreakBefore w:val="0"/>
        <w:widowControl w:val="0"/>
        <w:kinsoku/>
        <w:wordWrap/>
        <w:overflowPunct/>
        <w:topLinePunct w:val="0"/>
        <w:bidi w:val="0"/>
        <w:spacing w:line="5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上述公式中的评标基准价为满足项目需求书要求的最低评标价，其价格得分为满分。评标价为在报价基础上作算术修正后的价格，无算术修正情况下，报价即为评标价。</w:t>
      </w:r>
    </w:p>
    <w:p w14:paraId="6712D4CA">
      <w:pPr>
        <w:keepNext w:val="0"/>
        <w:keepLines w:val="0"/>
        <w:pageBreakBefore w:val="0"/>
        <w:widowControl w:val="0"/>
        <w:numPr>
          <w:ilvl w:val="-1"/>
          <w:numId w:val="0"/>
        </w:numPr>
        <w:kinsoku/>
        <w:wordWrap/>
        <w:overflowPunct/>
        <w:topLinePunct w:val="0"/>
        <w:bidi w:val="0"/>
        <w:spacing w:line="500" w:lineRule="exact"/>
        <w:ind w:firstLine="560" w:firstLineChars="200"/>
        <w:textAlignment w:val="auto"/>
        <w:rPr>
          <w:sz w:val="28"/>
          <w:szCs w:val="28"/>
        </w:rPr>
      </w:pPr>
      <w:r>
        <w:rPr>
          <w:rFonts w:hint="eastAsia" w:ascii="仿宋_GB2312" w:hAnsi="仿宋_GB2312" w:eastAsia="仿宋_GB2312" w:cs="仿宋_GB2312"/>
          <w:sz w:val="28"/>
          <w:szCs w:val="28"/>
          <w:lang w:eastAsia="zh-CN"/>
        </w:rPr>
        <w:t>（三）</w:t>
      </w:r>
      <w:r>
        <w:rPr>
          <w:rFonts w:hint="eastAsia" w:ascii="仿宋_GB2312" w:hAnsi="仿宋_GB2312" w:eastAsia="仿宋_GB2312" w:cs="仿宋_GB2312"/>
          <w:sz w:val="28"/>
          <w:szCs w:val="28"/>
        </w:rPr>
        <w:t>最终得分 = 商务标得分 + 技术标得分＋经济价格得分。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EF" w:usb1="C0007841" w:usb2="00000009" w:usb3="00000000" w:csb0="400001FF" w:csb1="FFFF0000"/>
    <w:embedRegular r:id="rId1" w:fontKey="{F3E27A69-F21B-0B28-2124-A56807F6A2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embedRegular r:id="rId2" w:fontKey="{1F87FBA3-03BD-738E-2124-A568A05E22FA}"/>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doNotDisplayPageBoundaries w:val="1"/>
  <w:embedTrueTypeFonts/>
  <w:saveSubsetFonts/>
  <w:bordersDoNotSurroundHeader w:val="0"/>
  <w:bordersDoNotSurroundFooter w:val="0"/>
  <w:attachedTemplate r:id="rId1"/>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zYTlhZjgxYjFhMjJlMWVjNWM3MjNhZTg4YjJjZmQifQ=="/>
  </w:docVars>
  <w:rsids>
    <w:rsidRoot w:val="75467012"/>
    <w:rsid w:val="01333EFA"/>
    <w:rsid w:val="01353907"/>
    <w:rsid w:val="016775C9"/>
    <w:rsid w:val="02C7081A"/>
    <w:rsid w:val="05CB238B"/>
    <w:rsid w:val="0740242D"/>
    <w:rsid w:val="07F6399B"/>
    <w:rsid w:val="0930241E"/>
    <w:rsid w:val="09364D6A"/>
    <w:rsid w:val="0E2322C1"/>
    <w:rsid w:val="0E98447E"/>
    <w:rsid w:val="0EAC1F5C"/>
    <w:rsid w:val="10142A71"/>
    <w:rsid w:val="10BE501A"/>
    <w:rsid w:val="110E6C2A"/>
    <w:rsid w:val="131F19F2"/>
    <w:rsid w:val="148F3C1E"/>
    <w:rsid w:val="15BD1CB8"/>
    <w:rsid w:val="1C1A2027"/>
    <w:rsid w:val="1F7F392B"/>
    <w:rsid w:val="21917CA3"/>
    <w:rsid w:val="24966613"/>
    <w:rsid w:val="26621687"/>
    <w:rsid w:val="267E381A"/>
    <w:rsid w:val="299448BD"/>
    <w:rsid w:val="2EDC2325"/>
    <w:rsid w:val="30E12E30"/>
    <w:rsid w:val="31D73E68"/>
    <w:rsid w:val="33390CD2"/>
    <w:rsid w:val="35F11A78"/>
    <w:rsid w:val="37874E28"/>
    <w:rsid w:val="3B4A6B2E"/>
    <w:rsid w:val="3BA55E2A"/>
    <w:rsid w:val="3C90253B"/>
    <w:rsid w:val="3CC43385"/>
    <w:rsid w:val="3D932F50"/>
    <w:rsid w:val="3DE3654C"/>
    <w:rsid w:val="40377AF7"/>
    <w:rsid w:val="42C01396"/>
    <w:rsid w:val="45673698"/>
    <w:rsid w:val="475E7622"/>
    <w:rsid w:val="49CA5FE7"/>
    <w:rsid w:val="4B490519"/>
    <w:rsid w:val="4B9254F3"/>
    <w:rsid w:val="4C683867"/>
    <w:rsid w:val="4F5F5AC3"/>
    <w:rsid w:val="4FBC4261"/>
    <w:rsid w:val="50016951"/>
    <w:rsid w:val="518F15DB"/>
    <w:rsid w:val="53F342C8"/>
    <w:rsid w:val="54F33E6B"/>
    <w:rsid w:val="5515577B"/>
    <w:rsid w:val="558C2B5A"/>
    <w:rsid w:val="57237983"/>
    <w:rsid w:val="58766ECF"/>
    <w:rsid w:val="5A025274"/>
    <w:rsid w:val="5A33034C"/>
    <w:rsid w:val="5AE75AB0"/>
    <w:rsid w:val="5F3C1030"/>
    <w:rsid w:val="61994C6D"/>
    <w:rsid w:val="61F7645C"/>
    <w:rsid w:val="63DA0F2F"/>
    <w:rsid w:val="651E036D"/>
    <w:rsid w:val="69837628"/>
    <w:rsid w:val="69AA7C16"/>
    <w:rsid w:val="6AA23DFF"/>
    <w:rsid w:val="6C7117A6"/>
    <w:rsid w:val="6D290723"/>
    <w:rsid w:val="6D6066C4"/>
    <w:rsid w:val="6DAF7B6B"/>
    <w:rsid w:val="7199408B"/>
    <w:rsid w:val="71E41366"/>
    <w:rsid w:val="74AC1B7A"/>
    <w:rsid w:val="75467012"/>
    <w:rsid w:val="79955265"/>
    <w:rsid w:val="7A427BA1"/>
    <w:rsid w:val="7B1779BE"/>
    <w:rsid w:val="7CF5040F"/>
    <w:rsid w:val="FC9689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adjustRightInd w:val="0"/>
    </w:pPr>
    <w:rPr>
      <w:rFonts w:ascii="Times New Roman" w:hAnsi="Times New Roman" w:eastAsia="宋体" w:cs="Times New Roman"/>
      <w:sz w:val="21"/>
      <w:szCs w:val="21"/>
      <w:lang w:val="en-US" w:eastAsia="zh-CN" w:bidi="ar-SA"/>
    </w:rPr>
  </w:style>
  <w:style w:type="paragraph" w:styleId="3">
    <w:name w:val="heading 1"/>
    <w:basedOn w:val="1"/>
    <w:next w:val="1"/>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4">
    <w:name w:val="heading 2"/>
    <w:basedOn w:val="1"/>
    <w:next w:val="1"/>
    <w:qFormat/>
    <w:uiPriority w:val="0"/>
    <w:pPr>
      <w:keepNext/>
      <w:keepLines/>
      <w:autoSpaceDE/>
      <w:autoSpaceDN/>
      <w:adjustRightInd/>
      <w:spacing w:before="260" w:after="260" w:line="416" w:lineRule="auto"/>
      <w:jc w:val="both"/>
      <w:outlineLvl w:val="1"/>
    </w:pPr>
    <w:rPr>
      <w:rFonts w:ascii="Arial" w:hAnsi="Arial" w:eastAsia="黑体"/>
      <w:b/>
      <w:bCs/>
      <w:kern w:val="2"/>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utoSpaceDE/>
      <w:autoSpaceDN/>
      <w:adjustRightInd/>
      <w:spacing w:after="120"/>
      <w:jc w:val="both"/>
    </w:pPr>
    <w:rPr>
      <w:kern w:val="2"/>
      <w:szCs w:val="24"/>
    </w:rPr>
  </w:style>
  <w:style w:type="paragraph" w:styleId="5">
    <w:name w:val="annotation text"/>
    <w:basedOn w:val="1"/>
    <w:qFormat/>
    <w:uiPriority w:val="0"/>
    <w:pPr>
      <w:jc w:val="left"/>
    </w:pPr>
  </w:style>
  <w:style w:type="paragraph" w:styleId="6">
    <w:name w:val="Plain Text"/>
    <w:basedOn w:val="1"/>
    <w:unhideWhenUsed/>
    <w:qFormat/>
    <w:uiPriority w:val="0"/>
    <w:rPr>
      <w:rFonts w:hAnsi="Courier New" w:cs="Courier New" w:asciiTheme="minorEastAsia" w:eastAsiaTheme="minorEastAsia"/>
    </w:rPr>
  </w:style>
  <w:style w:type="paragraph" w:styleId="7">
    <w:name w:val="Body Text First Indent"/>
    <w:basedOn w:val="2"/>
    <w:next w:val="1"/>
    <w:qFormat/>
    <w:uiPriority w:val="0"/>
    <w:pPr>
      <w:spacing w:after="120" w:line="240" w:lineRule="auto"/>
      <w:ind w:firstLine="420" w:firstLineChars="100"/>
    </w:pPr>
    <w:rPr>
      <w:rFonts w:ascii="Times New Roman" w:hAnsi="Times New Roman"/>
      <w:sz w:val="21"/>
    </w:rPr>
  </w:style>
  <w:style w:type="paragraph" w:customStyle="1" w:styleId="10">
    <w:name w:val="样式 标题 1 + 四号 加粗"/>
    <w:basedOn w:val="3"/>
    <w:qFormat/>
    <w:uiPriority w:val="0"/>
  </w:style>
  <w:style w:type="paragraph" w:customStyle="1" w:styleId="11">
    <w:name w:val="Table Paragraph"/>
    <w:basedOn w:val="1"/>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Users/xiaomuying/Library/Containers/com.kingsoft.wpsoffice.mac/Data/C:\dreamsoft\DSOA\wdzx97.dot"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wdzx97.dot</Template>
  <Pages>4</Pages>
  <Words>1510</Words>
  <Characters>1572</Characters>
  <Lines>0</Lines>
  <Paragraphs>0</Paragraphs>
  <TotalTime>60</TotalTime>
  <ScaleCrop>false</ScaleCrop>
  <LinksUpToDate>false</LinksUpToDate>
  <CharactersWithSpaces>1578</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2024-05-31T17:06:00Z</dcterms:created>
  <dc:creator>黄焕忠</dc:creator>
  <cp:lastModifiedBy>RaphaelL</cp:lastModifiedBy>
  <dcterms:modified xsi:type="dcterms:W3CDTF">2025-08-20T09:25:53Z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3B0C1392F37C460C87EDFB7CFA935420</vt:lpwstr>
  </property>
  <property fmtid="{D5CDD505-2E9C-101B-9397-08002B2CF9AE}" pid="4" name="KSOTemplateDocerSaveRecord">
    <vt:lpwstr>eyJoZGlkIjoiZjM5MzgxNzY3ZGE3ZWQ3OGZmMjFiM2M1Y2Q5NGYxZjQiLCJ1c2VySWQiOiIzNDcwMDQ5MzIifQ==</vt:lpwstr>
  </property>
</Properties>
</file>